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0701" w:rsidRPr="00F71B6F" w:rsidTr="00E37BBB">
        <w:trPr>
          <w:trHeight w:hRule="exact" w:val="1418"/>
        </w:trPr>
        <w:tc>
          <w:tcPr>
            <w:tcW w:w="6804" w:type="dxa"/>
            <w:shd w:val="clear" w:color="auto" w:fill="auto"/>
            <w:vAlign w:val="center"/>
          </w:tcPr>
          <w:p w:rsidR="00B13D6F" w:rsidRPr="00F71B6F" w:rsidRDefault="00246AA0" w:rsidP="00E37BBB">
            <w:pPr>
              <w:pStyle w:val="EPName"/>
            </w:pPr>
            <w:r w:rsidRPr="00F71B6F">
              <w:t>Parlement européen</w:t>
            </w:r>
          </w:p>
          <w:p w:rsidR="00B13D6F" w:rsidRPr="00F71B6F" w:rsidRDefault="00246AA0" w:rsidP="00E37BBB">
            <w:pPr>
              <w:pStyle w:val="EPTerm"/>
            </w:pPr>
            <w:r w:rsidRPr="00F71B6F">
              <w:t>2019-2024</w:t>
            </w:r>
          </w:p>
        </w:tc>
        <w:tc>
          <w:tcPr>
            <w:tcW w:w="2268" w:type="dxa"/>
            <w:shd w:val="clear" w:color="auto" w:fill="auto"/>
          </w:tcPr>
          <w:p w:rsidR="00B13D6F" w:rsidRPr="00F71B6F" w:rsidRDefault="00246AA0" w:rsidP="00E37BBB">
            <w:pPr>
              <w:pStyle w:val="EPLogo"/>
            </w:pPr>
            <w:r w:rsidRPr="00F71B6F">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71B6F" w:rsidRDefault="00461601" w:rsidP="00461601">
      <w:pPr>
        <w:pStyle w:val="LineTop"/>
      </w:pPr>
    </w:p>
    <w:p w:rsidR="00461601" w:rsidRPr="00F71B6F" w:rsidRDefault="00246AA0" w:rsidP="00461601">
      <w:pPr>
        <w:pStyle w:val="EPBody"/>
      </w:pPr>
      <w:r w:rsidRPr="00F71B6F">
        <w:t>Document de séance</w:t>
      </w:r>
    </w:p>
    <w:p w:rsidR="00461601" w:rsidRPr="00F71B6F" w:rsidRDefault="00461601" w:rsidP="00461601">
      <w:pPr>
        <w:pStyle w:val="LineBottom"/>
      </w:pPr>
    </w:p>
    <w:p w:rsidR="00793EA9" w:rsidRPr="00F71B6F" w:rsidRDefault="00246AA0">
      <w:pPr>
        <w:pStyle w:val="CoverReference"/>
      </w:pPr>
      <w:r w:rsidRPr="00F71B6F">
        <w:rPr>
          <w:rStyle w:val="HideTWBExt"/>
          <w:b w:val="0"/>
        </w:rPr>
        <w:t>&lt;NoDocSe&gt;</w:t>
      </w:r>
      <w:r w:rsidRPr="00F71B6F">
        <w:t>A9</w:t>
      </w:r>
      <w:r w:rsidRPr="00F71B6F">
        <w:noBreakHyphen/>
        <w:t>0394/2023</w:t>
      </w:r>
      <w:r w:rsidRPr="00F71B6F">
        <w:rPr>
          <w:rStyle w:val="HideTWBExt"/>
          <w:b w:val="0"/>
        </w:rPr>
        <w:t>&lt;/NoDocSe&gt;</w:t>
      </w:r>
    </w:p>
    <w:p w:rsidR="00793EA9" w:rsidRPr="00F71B6F" w:rsidRDefault="00246AA0">
      <w:pPr>
        <w:pStyle w:val="CoverDate"/>
      </w:pPr>
      <w:r w:rsidRPr="00F71B6F">
        <w:rPr>
          <w:rStyle w:val="HideTWBExt"/>
        </w:rPr>
        <w:t>&lt;Date&gt;</w:t>
      </w:r>
      <w:r w:rsidRPr="00F71B6F">
        <w:rPr>
          <w:rStyle w:val="HideTWBInt"/>
        </w:rPr>
        <w:t>{05/12/2023}</w:t>
      </w:r>
      <w:r w:rsidRPr="00F71B6F">
        <w:t>5.12.2023</w:t>
      </w:r>
      <w:r w:rsidRPr="00F71B6F">
        <w:rPr>
          <w:rStyle w:val="HideTWBExt"/>
        </w:rPr>
        <w:t>&lt;/Date&gt;</w:t>
      </w:r>
    </w:p>
    <w:p w:rsidR="00793EA9" w:rsidRPr="00F71B6F" w:rsidRDefault="00246AA0">
      <w:pPr>
        <w:pStyle w:val="CoverDocType"/>
      </w:pPr>
      <w:r w:rsidRPr="00F71B6F">
        <w:rPr>
          <w:rStyle w:val="HideTWBExt"/>
          <w:b w:val="0"/>
        </w:rPr>
        <w:t>&lt;RefProcLect&gt;</w:t>
      </w:r>
      <w:r w:rsidRPr="00F71B6F">
        <w:t>***I</w:t>
      </w:r>
      <w:r w:rsidRPr="00F71B6F">
        <w:rPr>
          <w:rStyle w:val="HideTWBExt"/>
          <w:b w:val="0"/>
        </w:rPr>
        <w:t>&lt;/RefProcLect&gt;</w:t>
      </w:r>
    </w:p>
    <w:p w:rsidR="00793EA9" w:rsidRPr="00F71B6F" w:rsidRDefault="00246AA0">
      <w:pPr>
        <w:pStyle w:val="CoverDocType24a"/>
      </w:pPr>
      <w:r w:rsidRPr="00F71B6F">
        <w:rPr>
          <w:rStyle w:val="HideTWBExt"/>
          <w:b w:val="0"/>
        </w:rPr>
        <w:t>&lt;TitreType&gt;</w:t>
      </w:r>
      <w:r w:rsidRPr="00F71B6F">
        <w:t>RAPPORT</w:t>
      </w:r>
      <w:r w:rsidRPr="00F71B6F">
        <w:rPr>
          <w:rStyle w:val="HideTWBExt"/>
          <w:b w:val="0"/>
        </w:rPr>
        <w:t>&lt;/TitreType&gt;</w:t>
      </w:r>
    </w:p>
    <w:p w:rsidR="00793EA9" w:rsidRPr="00F71B6F" w:rsidRDefault="00246AA0">
      <w:pPr>
        <w:pStyle w:val="CoverNormal"/>
      </w:pPr>
      <w:r w:rsidRPr="00F71B6F">
        <w:rPr>
          <w:rStyle w:val="HideTWBExt"/>
        </w:rPr>
        <w:t>&lt;Titre&gt;</w:t>
      </w:r>
      <w:r w:rsidRPr="00F71B6F">
        <w:t>sur la proposition de directive du Parlement européen et du Conseil modifiant les directives 2009/102/CE et (UE) 2017/1132 en ce qui concerne l’extension et l’amélioration de l’utilisation des outils et processus numériques dans le domaine du droit des sociétés</w:t>
      </w:r>
      <w:r w:rsidRPr="00F71B6F">
        <w:rPr>
          <w:rStyle w:val="HideTWBExt"/>
        </w:rPr>
        <w:t>&lt;/Titre&gt;</w:t>
      </w:r>
    </w:p>
    <w:p w:rsidR="00793EA9" w:rsidRPr="00F71B6F" w:rsidRDefault="00246AA0">
      <w:pPr>
        <w:pStyle w:val="CoverNormal24a"/>
      </w:pPr>
      <w:r w:rsidRPr="00F71B6F">
        <w:rPr>
          <w:rStyle w:val="HideTWBExt"/>
        </w:rPr>
        <w:t>&lt;DocRef&gt;</w:t>
      </w:r>
      <w:r w:rsidRPr="00F71B6F">
        <w:t>(COM(2023)0177 – C9</w:t>
      </w:r>
      <w:r w:rsidRPr="00F71B6F">
        <w:noBreakHyphen/>
        <w:t>0121/2023 – 2023/0089(COD))</w:t>
      </w:r>
      <w:r w:rsidRPr="00F71B6F">
        <w:rPr>
          <w:rStyle w:val="HideTWBExt"/>
        </w:rPr>
        <w:t>&lt;/DocRef&gt;</w:t>
      </w:r>
    </w:p>
    <w:p w:rsidR="00793EA9" w:rsidRPr="00F71B6F" w:rsidRDefault="00246AA0">
      <w:pPr>
        <w:pStyle w:val="CoverNormal24a"/>
      </w:pPr>
      <w:r w:rsidRPr="00F71B6F">
        <w:rPr>
          <w:rStyle w:val="HideTWBExt"/>
        </w:rPr>
        <w:t>&lt;Commission&gt;</w:t>
      </w:r>
      <w:r w:rsidRPr="00F71B6F">
        <w:rPr>
          <w:rStyle w:val="HideTWBInt"/>
        </w:rPr>
        <w:t>{JURI}</w:t>
      </w:r>
      <w:r w:rsidRPr="00F71B6F">
        <w:t>Commission des affaires juridiques</w:t>
      </w:r>
      <w:r w:rsidRPr="00F71B6F">
        <w:rPr>
          <w:rStyle w:val="HideTWBExt"/>
        </w:rPr>
        <w:t>&lt;/Commission&gt;</w:t>
      </w:r>
    </w:p>
    <w:p w:rsidR="00793EA9" w:rsidRPr="00F71B6F" w:rsidRDefault="00246AA0">
      <w:pPr>
        <w:pStyle w:val="CoverNormal24a"/>
      </w:pPr>
      <w:r w:rsidRPr="00F71B6F">
        <w:t xml:space="preserve">Rapporteur: </w:t>
      </w:r>
      <w:r w:rsidRPr="00F71B6F">
        <w:rPr>
          <w:rStyle w:val="HideTWBExt"/>
        </w:rPr>
        <w:t>&lt;Depute&gt;</w:t>
      </w:r>
      <w:r w:rsidRPr="00F71B6F">
        <w:t>Emil Radev</w:t>
      </w:r>
      <w:r w:rsidRPr="00F71B6F">
        <w:rPr>
          <w:rStyle w:val="HideTWBExt"/>
        </w:rPr>
        <w:t>&lt;/Depute&gt;</w:t>
      </w:r>
    </w:p>
    <w:p w:rsidR="001C5B44" w:rsidRPr="00F71B6F" w:rsidRDefault="001C5B44" w:rsidP="001C5B44">
      <w:pPr>
        <w:pStyle w:val="CoverNormal"/>
      </w:pPr>
    </w:p>
    <w:p w:rsidR="00E37BBB" w:rsidRPr="00F71B6F" w:rsidRDefault="00246AA0" w:rsidP="00E37BBB">
      <w:r w:rsidRPr="00F71B6F">
        <w:br w:type="page"/>
      </w:r>
      <w:r w:rsidR="00E56EEB" w:rsidRPr="00F71B6F">
        <w:lastRenderedPageBreak/>
        <w:fldChar w:fldCharType="begin"/>
      </w:r>
      <w:r w:rsidRPr="00F71B6F">
        <w:instrText xml:space="preserve"> TITLE  \* MERGEFORMAT </w:instrText>
      </w:r>
      <w:r w:rsidR="00E56EEB" w:rsidRPr="00F71B6F">
        <w:fldChar w:fldCharType="separate"/>
      </w:r>
      <w:r w:rsidR="00956EB5">
        <w:t>PR_COD_1amCom</w:t>
      </w:r>
      <w:r w:rsidR="00E56EEB" w:rsidRPr="00F71B6F">
        <w:fldChar w:fldCharType="end"/>
      </w:r>
    </w:p>
    <w:p w:rsidR="00E37BBB" w:rsidRPr="00F71B6F" w:rsidRDefault="00E37BBB" w:rsidP="00E37BBB"/>
    <w:p w:rsidR="00E37BBB" w:rsidRPr="00F71B6F" w:rsidRDefault="00E37BBB" w:rsidP="00E37BB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46AA0" w:rsidRPr="00F71B6F">
        <w:tc>
          <w:tcPr>
            <w:tcW w:w="5811" w:type="dxa"/>
          </w:tcPr>
          <w:p w:rsidR="00E37BBB" w:rsidRPr="00F71B6F" w:rsidRDefault="00246AA0" w:rsidP="00E37BBB">
            <w:pPr>
              <w:pStyle w:val="Lgendetitre"/>
            </w:pPr>
            <w:r w:rsidRPr="00F71B6F">
              <w:t>Légende des signes utilisés</w:t>
            </w:r>
          </w:p>
        </w:tc>
      </w:tr>
      <w:tr w:rsidR="00DE0701" w:rsidRPr="00F71B6F" w:rsidTr="00E37BBB">
        <w:trPr>
          <w:cantSplit/>
          <w:trHeight w:val="1807"/>
        </w:trPr>
        <w:tc>
          <w:tcPr>
            <w:tcW w:w="5811" w:type="dxa"/>
            <w:tcBorders>
              <w:bottom w:val="single" w:sz="4" w:space="0" w:color="auto"/>
            </w:tcBorders>
          </w:tcPr>
          <w:p w:rsidR="00E37BBB" w:rsidRPr="00F71B6F" w:rsidRDefault="00246AA0" w:rsidP="00E37BBB">
            <w:pPr>
              <w:pStyle w:val="Lgendesigne"/>
            </w:pPr>
            <w:r w:rsidRPr="00F71B6F">
              <w:tab/>
              <w:t>*</w:t>
            </w:r>
            <w:r w:rsidRPr="00F71B6F">
              <w:tab/>
              <w:t>Procédure de consultation</w:t>
            </w:r>
          </w:p>
          <w:p w:rsidR="00E37BBB" w:rsidRPr="00F71B6F" w:rsidRDefault="00246AA0" w:rsidP="00E37BBB">
            <w:pPr>
              <w:pStyle w:val="Lgendesigne"/>
            </w:pPr>
            <w:r w:rsidRPr="00F71B6F">
              <w:tab/>
              <w:t>***</w:t>
            </w:r>
            <w:r w:rsidRPr="00F71B6F">
              <w:tab/>
              <w:t>Procédure d’approbation</w:t>
            </w:r>
          </w:p>
          <w:p w:rsidR="00E37BBB" w:rsidRPr="00F71B6F" w:rsidRDefault="00246AA0" w:rsidP="00E37BBB">
            <w:pPr>
              <w:pStyle w:val="Lgendesigne"/>
            </w:pPr>
            <w:r w:rsidRPr="00F71B6F">
              <w:tab/>
              <w:t>***I</w:t>
            </w:r>
            <w:r w:rsidRPr="00F71B6F">
              <w:tab/>
              <w:t>Procédure législative ordinaire (première lecture)</w:t>
            </w:r>
          </w:p>
          <w:p w:rsidR="00E37BBB" w:rsidRPr="00F71B6F" w:rsidRDefault="00246AA0" w:rsidP="00E37BBB">
            <w:pPr>
              <w:pStyle w:val="Lgendesigne"/>
            </w:pPr>
            <w:r w:rsidRPr="00F71B6F">
              <w:tab/>
              <w:t>***II</w:t>
            </w:r>
            <w:r w:rsidRPr="00F71B6F">
              <w:tab/>
              <w:t>Procédure législative ordinaire (deuxième lecture)</w:t>
            </w:r>
          </w:p>
          <w:p w:rsidR="00E37BBB" w:rsidRPr="00F71B6F" w:rsidRDefault="00246AA0" w:rsidP="00E37BBB">
            <w:pPr>
              <w:pStyle w:val="Lgendesigne"/>
            </w:pPr>
            <w:r w:rsidRPr="00F71B6F">
              <w:tab/>
              <w:t>***III</w:t>
            </w:r>
            <w:r w:rsidRPr="00F71B6F">
              <w:tab/>
              <w:t>Procédure législative ordinaire (troisième lecture)</w:t>
            </w:r>
          </w:p>
          <w:p w:rsidR="00E37BBB" w:rsidRPr="00F71B6F" w:rsidRDefault="00E37BBB" w:rsidP="00E37BBB">
            <w:pPr>
              <w:pStyle w:val="Lgendestandard"/>
            </w:pPr>
          </w:p>
          <w:p w:rsidR="00E37BBB" w:rsidRPr="00F71B6F" w:rsidRDefault="00246AA0" w:rsidP="00E37BBB">
            <w:pPr>
              <w:pStyle w:val="Lgendestandard"/>
            </w:pPr>
            <w:r w:rsidRPr="00F71B6F">
              <w:t>(La procédure indiquée est fondée sur la base juridique proposée par le projet d’acte.)</w:t>
            </w:r>
          </w:p>
          <w:p w:rsidR="00E37BBB" w:rsidRPr="00F71B6F" w:rsidRDefault="00E37BBB" w:rsidP="00E37BBB">
            <w:pPr>
              <w:pStyle w:val="Lgendestandard"/>
            </w:pPr>
          </w:p>
        </w:tc>
      </w:tr>
    </w:tbl>
    <w:p w:rsidR="00E37BBB" w:rsidRPr="00F71B6F" w:rsidRDefault="00E37BBB" w:rsidP="00E37BBB"/>
    <w:p w:rsidR="00E37BBB" w:rsidRPr="00F71B6F" w:rsidRDefault="00E37BBB" w:rsidP="00E37BBB"/>
    <w:p w:rsidR="00E37BBB" w:rsidRPr="00F71B6F" w:rsidRDefault="00E37BBB" w:rsidP="00E37BBB"/>
    <w:p w:rsidR="00E37BBB" w:rsidRPr="00F71B6F" w:rsidRDefault="00E37BBB" w:rsidP="00E37BB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46AA0" w:rsidRPr="00F71B6F">
        <w:tc>
          <w:tcPr>
            <w:tcW w:w="5811" w:type="dxa"/>
          </w:tcPr>
          <w:p w:rsidR="00E37BBB" w:rsidRPr="00F71B6F" w:rsidRDefault="00246AA0" w:rsidP="00E37BBB">
            <w:pPr>
              <w:pStyle w:val="Lgendetitre"/>
            </w:pPr>
            <w:r w:rsidRPr="00F71B6F">
              <w:t>Amendements à un projet d’acte</w:t>
            </w:r>
          </w:p>
        </w:tc>
      </w:tr>
      <w:tr w:rsidR="00DE0701" w:rsidRPr="00F71B6F" w:rsidTr="00E37BBB">
        <w:trPr>
          <w:trHeight w:val="4496"/>
        </w:trPr>
        <w:tc>
          <w:tcPr>
            <w:tcW w:w="5811" w:type="dxa"/>
          </w:tcPr>
          <w:p w:rsidR="00E37BBB" w:rsidRPr="00F71B6F" w:rsidRDefault="00246AA0" w:rsidP="00E37BBB">
            <w:pPr>
              <w:pStyle w:val="Lgendestandard"/>
              <w:rPr>
                <w:szCs w:val="24"/>
              </w:rPr>
            </w:pPr>
            <w:r w:rsidRPr="00F71B6F">
              <w:rPr>
                <w:b/>
              </w:rPr>
              <w:t>Amendements du Parlement présentés en deux colonnes</w:t>
            </w:r>
          </w:p>
          <w:p w:rsidR="00E37BBB" w:rsidRPr="00F71B6F" w:rsidRDefault="00E37BBB" w:rsidP="00E37BBB">
            <w:pPr>
              <w:pStyle w:val="Lgendestandard"/>
              <w:rPr>
                <w:szCs w:val="24"/>
              </w:rPr>
            </w:pPr>
          </w:p>
          <w:p w:rsidR="00E37BBB" w:rsidRPr="00F71B6F" w:rsidRDefault="00246AA0" w:rsidP="00E37BBB">
            <w:pPr>
              <w:pStyle w:val="Lgendestandard"/>
              <w:rPr>
                <w:szCs w:val="24"/>
              </w:rPr>
            </w:pPr>
            <w:r w:rsidRPr="00F71B6F">
              <w:t>Les suppressions sont signalées par des</w:t>
            </w:r>
            <w:r w:rsidRPr="00F71B6F">
              <w:rPr>
                <w:b/>
                <w:i/>
              </w:rPr>
              <w:t xml:space="preserve"> italiques gras</w:t>
            </w:r>
            <w:r w:rsidRPr="00F71B6F">
              <w:t xml:space="preserve"> dans la colonne de gauche. Les remplacements sont signalés par des </w:t>
            </w:r>
            <w:r w:rsidRPr="00F71B6F">
              <w:rPr>
                <w:b/>
                <w:i/>
              </w:rPr>
              <w:t>italiques gras</w:t>
            </w:r>
            <w:r w:rsidRPr="00F71B6F">
              <w:t xml:space="preserve"> dans les deux colonnes. Le texte nouveau est signalé par des </w:t>
            </w:r>
            <w:r w:rsidRPr="00F71B6F">
              <w:rPr>
                <w:b/>
                <w:i/>
              </w:rPr>
              <w:t>italiques gras</w:t>
            </w:r>
            <w:r w:rsidRPr="00F71B6F">
              <w:t xml:space="preserve"> dans la colonne de droite.</w:t>
            </w:r>
          </w:p>
          <w:p w:rsidR="00E37BBB" w:rsidRPr="00F71B6F" w:rsidRDefault="00E37BBB" w:rsidP="00E37BBB">
            <w:pPr>
              <w:pStyle w:val="Lgendestandard"/>
              <w:rPr>
                <w:szCs w:val="24"/>
              </w:rPr>
            </w:pPr>
          </w:p>
          <w:p w:rsidR="00E37BBB" w:rsidRPr="00F71B6F" w:rsidRDefault="00246AA0" w:rsidP="00E37BBB">
            <w:pPr>
              <w:pStyle w:val="Lgendestandard"/>
              <w:rPr>
                <w:szCs w:val="24"/>
              </w:rPr>
            </w:pPr>
            <w:r w:rsidRPr="00F71B6F">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rsidR="00E37BBB" w:rsidRPr="00F71B6F" w:rsidRDefault="00E37BBB" w:rsidP="00E37BBB">
            <w:pPr>
              <w:pStyle w:val="Lgendestandard"/>
              <w:rPr>
                <w:szCs w:val="24"/>
              </w:rPr>
            </w:pPr>
          </w:p>
          <w:p w:rsidR="00E37BBB" w:rsidRPr="00F71B6F" w:rsidRDefault="00246AA0" w:rsidP="00E37BBB">
            <w:pPr>
              <w:pStyle w:val="Lgendestandard"/>
              <w:rPr>
                <w:b/>
                <w:szCs w:val="24"/>
              </w:rPr>
            </w:pPr>
            <w:r w:rsidRPr="00F71B6F">
              <w:rPr>
                <w:b/>
              </w:rPr>
              <w:t>Amendements du Parlement prenant la forme d’un texte consolidé</w:t>
            </w:r>
          </w:p>
          <w:p w:rsidR="00E37BBB" w:rsidRPr="00F71B6F" w:rsidRDefault="00E37BBB" w:rsidP="00E37BBB">
            <w:pPr>
              <w:pStyle w:val="Lgendestandard"/>
              <w:rPr>
                <w:szCs w:val="24"/>
              </w:rPr>
            </w:pPr>
          </w:p>
          <w:p w:rsidR="00E37BBB" w:rsidRPr="00F71B6F" w:rsidRDefault="00246AA0" w:rsidP="00E37BBB">
            <w:pPr>
              <w:pStyle w:val="Lgendestandard"/>
              <w:rPr>
                <w:szCs w:val="24"/>
              </w:rPr>
            </w:pPr>
            <w:r w:rsidRPr="00F71B6F">
              <w:t xml:space="preserve">Les parties de textes nouvelles sont indiquées en </w:t>
            </w:r>
            <w:r w:rsidRPr="00F71B6F">
              <w:rPr>
                <w:b/>
                <w:i/>
              </w:rPr>
              <w:t>italiques gras</w:t>
            </w:r>
            <w:r w:rsidRPr="00F71B6F">
              <w:t xml:space="preserve">. Les parties de texte supprimées sont indiquées par le symbole ▌ ou barrées. Les remplacements sont signalés en indiquant en </w:t>
            </w:r>
            <w:r w:rsidRPr="00F71B6F">
              <w:rPr>
                <w:b/>
                <w:i/>
              </w:rPr>
              <w:t>italiques gras</w:t>
            </w:r>
            <w:r w:rsidRPr="00F71B6F">
              <w:t xml:space="preserve"> le texte nouveau et en effaçant ou en barrant le texte remplacé. </w:t>
            </w:r>
          </w:p>
          <w:p w:rsidR="00E37BBB" w:rsidRPr="00F71B6F" w:rsidRDefault="00246AA0" w:rsidP="00E37BBB">
            <w:pPr>
              <w:pStyle w:val="Lgendestandard"/>
            </w:pPr>
            <w:r w:rsidRPr="00F71B6F">
              <w:t>Par exception, les modifications de nature strictement technique apportées par les services en vue de l’élaboration du texte final ne sont pas marquées.</w:t>
            </w:r>
          </w:p>
          <w:p w:rsidR="00E37BBB" w:rsidRPr="00F71B6F" w:rsidRDefault="00E37BBB" w:rsidP="00E37BBB">
            <w:pPr>
              <w:pStyle w:val="Lgendestandard"/>
            </w:pPr>
          </w:p>
        </w:tc>
      </w:tr>
    </w:tbl>
    <w:p w:rsidR="00E37BBB" w:rsidRPr="00F71B6F" w:rsidRDefault="00E37BBB" w:rsidP="00E37BBB"/>
    <w:p w:rsidR="00793EA9" w:rsidRPr="00F71B6F" w:rsidRDefault="00793EA9" w:rsidP="00012351">
      <w:pPr>
        <w:widowControl/>
        <w:tabs>
          <w:tab w:val="center" w:pos="4677"/>
        </w:tabs>
      </w:pPr>
    </w:p>
    <w:p w:rsidR="00793EA9" w:rsidRPr="00F71B6F" w:rsidRDefault="00246AA0">
      <w:pPr>
        <w:pStyle w:val="TOCHeading"/>
      </w:pPr>
      <w:r w:rsidRPr="00F71B6F">
        <w:br w:type="page"/>
      </w:r>
      <w:r w:rsidRPr="00F71B6F">
        <w:lastRenderedPageBreak/>
        <w:t>SOMMAIRE</w:t>
      </w:r>
    </w:p>
    <w:p w:rsidR="00793EA9" w:rsidRPr="00F71B6F" w:rsidRDefault="00246AA0">
      <w:pPr>
        <w:pStyle w:val="TOCPage"/>
      </w:pPr>
      <w:r w:rsidRPr="00F71B6F">
        <w:t>Page</w:t>
      </w:r>
    </w:p>
    <w:p w:rsidR="00956EB5" w:rsidRDefault="00246AA0">
      <w:pPr>
        <w:pStyle w:val="TOC1"/>
        <w:tabs>
          <w:tab w:val="right" w:leader="dot" w:pos="9060"/>
        </w:tabs>
        <w:rPr>
          <w:rFonts w:asciiTheme="minorHAnsi" w:eastAsiaTheme="minorEastAsia" w:hAnsiTheme="minorHAnsi" w:cstheme="minorBidi"/>
          <w:noProof/>
          <w:sz w:val="22"/>
          <w:szCs w:val="22"/>
          <w:lang w:eastAsia="fr-FR"/>
        </w:rPr>
      </w:pPr>
      <w:r w:rsidRPr="00F71B6F">
        <w:rPr>
          <w:b/>
        </w:rPr>
        <w:fldChar w:fldCharType="begin"/>
      </w:r>
      <w:r w:rsidRPr="00F71B6F">
        <w:rPr>
          <w:b/>
        </w:rPr>
        <w:instrText xml:space="preserve"> TOC \t "PageHeading</w:instrText>
      </w:r>
      <w:r w:rsidR="00947CAA" w:rsidRPr="00F71B6F">
        <w:rPr>
          <w:b/>
        </w:rPr>
        <w:instrText>;</w:instrText>
      </w:r>
      <w:r w:rsidRPr="00F71B6F">
        <w:rPr>
          <w:b/>
        </w:rPr>
        <w:instrText xml:space="preserve">1" </w:instrText>
      </w:r>
      <w:r w:rsidRPr="00F71B6F">
        <w:rPr>
          <w:b/>
        </w:rPr>
        <w:fldChar w:fldCharType="separate"/>
      </w:r>
      <w:r w:rsidR="00956EB5">
        <w:rPr>
          <w:noProof/>
        </w:rPr>
        <w:t>PROJET DE RÉSOLUTION LÉGISLATIVE DU PARLEMENT EUROPÉEN</w:t>
      </w:r>
      <w:r w:rsidR="00956EB5">
        <w:rPr>
          <w:noProof/>
        </w:rPr>
        <w:tab/>
      </w:r>
      <w:r w:rsidR="00956EB5">
        <w:rPr>
          <w:noProof/>
        </w:rPr>
        <w:fldChar w:fldCharType="begin"/>
      </w:r>
      <w:r w:rsidR="00956EB5">
        <w:rPr>
          <w:noProof/>
        </w:rPr>
        <w:instrText xml:space="preserve"> PAGEREF _Toc155786549 \h </w:instrText>
      </w:r>
      <w:r w:rsidR="00956EB5">
        <w:rPr>
          <w:noProof/>
        </w:rPr>
      </w:r>
      <w:r w:rsidR="00956EB5">
        <w:rPr>
          <w:noProof/>
        </w:rPr>
        <w:fldChar w:fldCharType="separate"/>
      </w:r>
      <w:r w:rsidR="00956EB5">
        <w:rPr>
          <w:noProof/>
        </w:rPr>
        <w:t>5</w:t>
      </w:r>
      <w:r w:rsidR="00956EB5">
        <w:rPr>
          <w:noProof/>
        </w:rPr>
        <w:fldChar w:fldCharType="end"/>
      </w:r>
    </w:p>
    <w:p w:rsidR="00956EB5" w:rsidRDefault="00956EB5">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_Toc155786550 \h </w:instrText>
      </w:r>
      <w:r>
        <w:rPr>
          <w:noProof/>
        </w:rPr>
      </w:r>
      <w:r>
        <w:rPr>
          <w:noProof/>
        </w:rPr>
        <w:fldChar w:fldCharType="separate"/>
      </w:r>
      <w:r>
        <w:rPr>
          <w:noProof/>
        </w:rPr>
        <w:t>38</w:t>
      </w:r>
      <w:r>
        <w:rPr>
          <w:noProof/>
        </w:rPr>
        <w:fldChar w:fldCharType="end"/>
      </w:r>
    </w:p>
    <w:p w:rsidR="00956EB5" w:rsidRDefault="00956EB5">
      <w:pPr>
        <w:pStyle w:val="TOC1"/>
        <w:tabs>
          <w:tab w:val="right" w:leader="dot" w:pos="9060"/>
        </w:tabs>
        <w:rPr>
          <w:rFonts w:asciiTheme="minorHAnsi" w:eastAsiaTheme="minorEastAsia" w:hAnsiTheme="minorHAnsi" w:cstheme="minorBidi"/>
          <w:noProof/>
          <w:sz w:val="22"/>
          <w:szCs w:val="22"/>
          <w:lang w:eastAsia="fr-FR"/>
        </w:rPr>
      </w:pPr>
      <w:r>
        <w:rPr>
          <w:noProof/>
        </w:rPr>
        <w:t>ANNEXE: LISTE DES ENTITÉS OU PERSONNES AYANT APPORTÉ LEUR CONTRIBUTION AU RAPPORTEUR POUR AVIS</w:t>
      </w:r>
      <w:r>
        <w:rPr>
          <w:noProof/>
        </w:rPr>
        <w:tab/>
      </w:r>
      <w:r>
        <w:rPr>
          <w:noProof/>
        </w:rPr>
        <w:fldChar w:fldCharType="begin"/>
      </w:r>
      <w:r>
        <w:rPr>
          <w:noProof/>
        </w:rPr>
        <w:instrText xml:space="preserve"> PAGEREF _Toc155786551 \h </w:instrText>
      </w:r>
      <w:r>
        <w:rPr>
          <w:noProof/>
        </w:rPr>
      </w:r>
      <w:r>
        <w:rPr>
          <w:noProof/>
        </w:rPr>
        <w:fldChar w:fldCharType="separate"/>
      </w:r>
      <w:r>
        <w:rPr>
          <w:noProof/>
        </w:rPr>
        <w:t>40</w:t>
      </w:r>
      <w:r>
        <w:rPr>
          <w:noProof/>
        </w:rPr>
        <w:fldChar w:fldCharType="end"/>
      </w:r>
    </w:p>
    <w:p w:rsidR="00956EB5" w:rsidRDefault="00956EB5">
      <w:pPr>
        <w:pStyle w:val="TOC1"/>
        <w:tabs>
          <w:tab w:val="right" w:leader="dot" w:pos="9060"/>
        </w:tabs>
        <w:rPr>
          <w:rFonts w:asciiTheme="minorHAnsi" w:eastAsiaTheme="minorEastAsia" w:hAnsiTheme="minorHAnsi" w:cstheme="minorBidi"/>
          <w:noProof/>
          <w:sz w:val="22"/>
          <w:szCs w:val="22"/>
          <w:lang w:eastAsia="fr-FR"/>
        </w:rPr>
      </w:pPr>
      <w:r>
        <w:rPr>
          <w:noProof/>
        </w:rPr>
        <w:t>PROCÉDURE DE LA COMMISSION COMPÉTENTE AU FOND</w:t>
      </w:r>
      <w:r>
        <w:rPr>
          <w:noProof/>
        </w:rPr>
        <w:tab/>
      </w:r>
      <w:r>
        <w:rPr>
          <w:noProof/>
        </w:rPr>
        <w:fldChar w:fldCharType="begin"/>
      </w:r>
      <w:r>
        <w:rPr>
          <w:noProof/>
        </w:rPr>
        <w:instrText xml:space="preserve"> PAGEREF _Toc155786552 \h </w:instrText>
      </w:r>
      <w:r>
        <w:rPr>
          <w:noProof/>
        </w:rPr>
      </w:r>
      <w:r>
        <w:rPr>
          <w:noProof/>
        </w:rPr>
        <w:fldChar w:fldCharType="separate"/>
      </w:r>
      <w:r>
        <w:rPr>
          <w:noProof/>
        </w:rPr>
        <w:t>41</w:t>
      </w:r>
      <w:r>
        <w:rPr>
          <w:noProof/>
        </w:rPr>
        <w:fldChar w:fldCharType="end"/>
      </w:r>
    </w:p>
    <w:p w:rsidR="00956EB5" w:rsidRDefault="00956EB5">
      <w:pPr>
        <w:pStyle w:val="TOC1"/>
        <w:tabs>
          <w:tab w:val="right" w:leader="dot" w:pos="9060"/>
        </w:tabs>
        <w:rPr>
          <w:rFonts w:asciiTheme="minorHAnsi" w:eastAsiaTheme="minorEastAsia" w:hAnsiTheme="minorHAnsi" w:cstheme="minorBidi"/>
          <w:noProof/>
          <w:sz w:val="22"/>
          <w:szCs w:val="22"/>
          <w:lang w:eastAsia="fr-FR"/>
        </w:rPr>
      </w:pPr>
      <w:r>
        <w:rPr>
          <w:noProof/>
        </w:rPr>
        <w:t>VOTE FINAL PAR APPEL NOMINAL EN COMMISSION COMPÉTENTE AU FOND</w:t>
      </w:r>
      <w:r>
        <w:rPr>
          <w:noProof/>
        </w:rPr>
        <w:tab/>
      </w:r>
      <w:r>
        <w:rPr>
          <w:noProof/>
        </w:rPr>
        <w:fldChar w:fldCharType="begin"/>
      </w:r>
      <w:r>
        <w:rPr>
          <w:noProof/>
        </w:rPr>
        <w:instrText xml:space="preserve"> PAGEREF _Toc155786553 \h </w:instrText>
      </w:r>
      <w:r>
        <w:rPr>
          <w:noProof/>
        </w:rPr>
      </w:r>
      <w:r>
        <w:rPr>
          <w:noProof/>
        </w:rPr>
        <w:fldChar w:fldCharType="separate"/>
      </w:r>
      <w:r>
        <w:rPr>
          <w:noProof/>
        </w:rPr>
        <w:t>42</w:t>
      </w:r>
      <w:r>
        <w:rPr>
          <w:noProof/>
        </w:rPr>
        <w:fldChar w:fldCharType="end"/>
      </w:r>
    </w:p>
    <w:p w:rsidR="002346B0" w:rsidRPr="00F71B6F" w:rsidRDefault="00246AA0" w:rsidP="00C23324">
      <w:r w:rsidRPr="00F71B6F">
        <w:rPr>
          <w:b/>
        </w:rPr>
        <w:fldChar w:fldCharType="end"/>
      </w:r>
    </w:p>
    <w:p w:rsidR="00793EA9" w:rsidRPr="00F71B6F" w:rsidRDefault="00246AA0">
      <w:pPr>
        <w:pStyle w:val="PageHeading"/>
      </w:pPr>
      <w:r w:rsidRPr="00F71B6F">
        <w:br w:type="page"/>
      </w:r>
      <w:r w:rsidRPr="00F71B6F">
        <w:br w:type="page"/>
      </w:r>
      <w:bookmarkStart w:id="0" w:name="_Toc155786549"/>
      <w:r w:rsidRPr="00F71B6F">
        <w:t>PROJET DE RÉSOLUTION LÉGISLATIVE DU PARLEMENT EUROPÉEN</w:t>
      </w:r>
      <w:bookmarkEnd w:id="0"/>
    </w:p>
    <w:p w:rsidR="00793EA9" w:rsidRPr="00F71B6F" w:rsidRDefault="00246AA0">
      <w:pPr>
        <w:pStyle w:val="NormalBold"/>
      </w:pPr>
      <w:r w:rsidRPr="00F71B6F">
        <w:t>sur la proposition de directive du Parlement européen et du Conseil modifiant les directives 2009/102/CE et (UE) 2017/1132 en ce qui concerne l’extension et l’amélioration de l’utilisation des outils et processus numériques dans le domaine du droit des sociétés</w:t>
      </w:r>
    </w:p>
    <w:p w:rsidR="00793EA9" w:rsidRPr="00F71B6F" w:rsidRDefault="00246AA0">
      <w:pPr>
        <w:pStyle w:val="NormalBold12a"/>
      </w:pPr>
      <w:r w:rsidRPr="00F71B6F">
        <w:t>(COM(2023)0177 – C9</w:t>
      </w:r>
      <w:r w:rsidRPr="00F71B6F">
        <w:noBreakHyphen/>
        <w:t>0121/2023 – 2023/0089(COD))</w:t>
      </w:r>
    </w:p>
    <w:p w:rsidR="00793EA9" w:rsidRPr="00F71B6F" w:rsidRDefault="00246AA0" w:rsidP="00A910C9">
      <w:pPr>
        <w:pStyle w:val="NormalBold"/>
      </w:pPr>
      <w:r w:rsidRPr="00F71B6F">
        <w:t>(Procédure législative ordinaire: première lecture)</w:t>
      </w:r>
    </w:p>
    <w:p w:rsidR="00793EA9" w:rsidRPr="00F71B6F" w:rsidRDefault="00246AA0" w:rsidP="00A910C9">
      <w:pPr>
        <w:pStyle w:val="EPComma"/>
      </w:pPr>
      <w:r w:rsidRPr="00F71B6F">
        <w:rPr>
          <w:i/>
        </w:rPr>
        <w:t>Le Parlement européen</w:t>
      </w:r>
      <w:r w:rsidRPr="00F71B6F">
        <w:t>,</w:t>
      </w:r>
    </w:p>
    <w:p w:rsidR="00E56EEB" w:rsidRPr="00F71B6F" w:rsidRDefault="00246AA0" w:rsidP="00E56EEB">
      <w:pPr>
        <w:pStyle w:val="NormalHanging12a"/>
      </w:pPr>
      <w:r w:rsidRPr="00F71B6F">
        <w:t>–</w:t>
      </w:r>
      <w:r w:rsidRPr="00F71B6F">
        <w:tab/>
        <w:t>vu la proposition de la Commission au Parlement européen et au Conseil (COM(2023)0177),</w:t>
      </w:r>
    </w:p>
    <w:p w:rsidR="00E56EEB" w:rsidRPr="00F71B6F" w:rsidRDefault="00246AA0" w:rsidP="00E56EEB">
      <w:pPr>
        <w:pStyle w:val="NormalHanging12a"/>
      </w:pPr>
      <w:r w:rsidRPr="00F71B6F">
        <w:t>–</w:t>
      </w:r>
      <w:r w:rsidRPr="00F71B6F">
        <w:tab/>
        <w:t>vu l’article 294, paragraphe 2, l’article 50, paragraphe 1, l’article 50, paragraphe 2, point g) et l’article 114 du traité sur le fonctionnement de l’Union européenne, conformément auxquels la proposition lui a été présentée par la Commission (C9-0121/2023),</w:t>
      </w:r>
    </w:p>
    <w:p w:rsidR="00E56EEB" w:rsidRPr="00F71B6F" w:rsidRDefault="00246AA0" w:rsidP="00E56EEB">
      <w:pPr>
        <w:pStyle w:val="NormalHanging12a"/>
      </w:pPr>
      <w:r w:rsidRPr="00F71B6F">
        <w:t>–</w:t>
      </w:r>
      <w:r w:rsidRPr="00F71B6F">
        <w:tab/>
        <w:t>vu l’article 294, paragraphe 3, du traité sur le fonctionnement de l’Union européenne,</w:t>
      </w:r>
    </w:p>
    <w:p w:rsidR="00E56EEB" w:rsidRPr="00F71B6F" w:rsidRDefault="00246AA0" w:rsidP="00E56EEB">
      <w:pPr>
        <w:pStyle w:val="NormalHanging12a"/>
      </w:pPr>
      <w:r w:rsidRPr="00F71B6F">
        <w:t>–</w:t>
      </w:r>
      <w:r w:rsidRPr="00F71B6F">
        <w:tab/>
        <w:t>vu l’avis du Comité économique et social européen du 14 juin 2023</w:t>
      </w:r>
      <w:r w:rsidRPr="00F71B6F">
        <w:rPr>
          <w:rStyle w:val="FootnoteReference"/>
        </w:rPr>
        <w:footnoteReference w:id="1"/>
      </w:r>
      <w:r w:rsidRPr="00F71B6F">
        <w:t>,</w:t>
      </w:r>
    </w:p>
    <w:p w:rsidR="00E56EEB" w:rsidRPr="00F71B6F" w:rsidRDefault="00246AA0" w:rsidP="00E56EEB">
      <w:pPr>
        <w:pStyle w:val="NormalHanging12a"/>
      </w:pPr>
      <w:r w:rsidRPr="00F71B6F">
        <w:t>–</w:t>
      </w:r>
      <w:r w:rsidRPr="00F71B6F">
        <w:tab/>
        <w:t>vu l’article 59 de son règlement intérieur,</w:t>
      </w:r>
    </w:p>
    <w:p w:rsidR="00E56EEB" w:rsidRPr="00F71B6F" w:rsidRDefault="00246AA0" w:rsidP="00E56EEB">
      <w:pPr>
        <w:pStyle w:val="NormalHanging12a"/>
      </w:pPr>
      <w:r w:rsidRPr="00F71B6F">
        <w:t>–</w:t>
      </w:r>
      <w:r w:rsidRPr="00F71B6F">
        <w:tab/>
        <w:t>vu le rapport de la Commission des affaires juridiques (A9-0394/2023),</w:t>
      </w:r>
    </w:p>
    <w:p w:rsidR="00E56EEB" w:rsidRPr="00F71B6F" w:rsidRDefault="00246AA0" w:rsidP="00E56EEB">
      <w:pPr>
        <w:pStyle w:val="NormalHanging12a"/>
      </w:pPr>
      <w:r w:rsidRPr="00F71B6F">
        <w:t>1.</w:t>
      </w:r>
      <w:r w:rsidRPr="00F71B6F">
        <w:tab/>
        <w:t>arrête la position en première lecture figurant ci-après;</w:t>
      </w:r>
    </w:p>
    <w:p w:rsidR="00E56EEB" w:rsidRPr="00F71B6F" w:rsidRDefault="00246AA0" w:rsidP="00E56EEB">
      <w:pPr>
        <w:pStyle w:val="NormalHanging12a"/>
      </w:pPr>
      <w:r w:rsidRPr="00F71B6F">
        <w:t>2.</w:t>
      </w:r>
      <w:r w:rsidRPr="00F71B6F">
        <w:tab/>
        <w:t>demande à la Commission de le saisir à nouveau, si elle remplace, modifie de manière substantielle ou entend modifier de manière substantielle sa proposition;</w:t>
      </w:r>
    </w:p>
    <w:p w:rsidR="00E56EEB" w:rsidRPr="00F71B6F" w:rsidRDefault="00246AA0" w:rsidP="00E56EEB">
      <w:pPr>
        <w:pStyle w:val="NormalHanging12a"/>
      </w:pPr>
      <w:r w:rsidRPr="00F71B6F">
        <w:t>3.</w:t>
      </w:r>
      <w:r w:rsidRPr="00F71B6F">
        <w:tab/>
        <w:t>charge sa Présidente de transmettre la position du Parlement au Conseil et à la Commission ainsi qu’aux parlements nationaux.</w:t>
      </w:r>
    </w:p>
    <w:p w:rsidR="00E56EEB" w:rsidRPr="00F71B6F" w:rsidRDefault="00E56EEB" w:rsidP="00E56EEB">
      <w:pPr>
        <w:pStyle w:val="NormalHanging12a"/>
      </w:pPr>
    </w:p>
    <w:p w:rsidR="00E56EEB" w:rsidRPr="00F71B6F" w:rsidRDefault="00E56EEB" w:rsidP="00E56EEB"/>
    <w:p w:rsidR="00E56EEB" w:rsidRPr="00F71B6F" w:rsidRDefault="00246AA0" w:rsidP="00E56EEB">
      <w:bookmarkStart w:id="1" w:name="PasteOldAMStart"/>
      <w:bookmarkEnd w:id="1"/>
      <w:r w:rsidRPr="00F71B6F">
        <w:rPr>
          <w:rStyle w:val="HideTWBExt"/>
        </w:rPr>
        <w:t>&lt;RepeatBlock-Amend&gt;&lt;Amend&gt;</w:t>
      </w:r>
      <w:r w:rsidRPr="00F71B6F">
        <w:t>Amendement</w:t>
      </w:r>
      <w:r w:rsidRPr="00F71B6F">
        <w:tab/>
      </w:r>
      <w:r w:rsidRPr="00F71B6F">
        <w:tab/>
      </w:r>
      <w:r w:rsidRPr="00F71B6F">
        <w:rPr>
          <w:rStyle w:val="HideTWBExt"/>
        </w:rPr>
        <w:t>&lt;NumAm&gt;</w:t>
      </w:r>
      <w:r w:rsidRPr="00F71B6F">
        <w:t>1</w:t>
      </w:r>
      <w:r w:rsidRPr="00F71B6F">
        <w:rPr>
          <w:rStyle w:val="HideTWBExt"/>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9</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(9)</w:t>
            </w:r>
            <w:r w:rsidRPr="00F71B6F">
              <w:tab/>
              <w:t xml:space="preserve">Un contrôle préventif administratif ou </w:t>
            </w:r>
            <w:r w:rsidRPr="00F71B6F">
              <w:rPr>
                <w:b/>
                <w:i/>
              </w:rPr>
              <w:t>judiciaire</w:t>
            </w:r>
            <w:r w:rsidRPr="00F71B6F">
              <w:t xml:space="preserve">, dans le respect des traditions des États membres, </w:t>
            </w:r>
            <w:r w:rsidRPr="00F71B6F">
              <w:rPr>
                <w:b/>
                <w:i/>
              </w:rPr>
              <w:t xml:space="preserve">comprenant la participation éventuelle de notaires, </w:t>
            </w:r>
            <w:r w:rsidRPr="00F71B6F">
              <w:t>devrait être assuré dans tous les États membres pour garantir la fiabilité des données relatives aux sociétés transfrontalières. Il convient de contrôler la légalité de l’acte constitutif de la société, des statuts de la société s’ils figurent dans un acte séparé, ainsi que de toute modification de ces actes et statuts, étant donné qu’il s’agit des documents les plus importants concernant la société.</w:t>
            </w:r>
          </w:p>
        </w:tc>
        <w:tc>
          <w:tcPr>
            <w:tcW w:w="4876" w:type="dxa"/>
            <w:hideMark/>
          </w:tcPr>
          <w:p w:rsidR="00E56EEB" w:rsidRPr="00F71B6F" w:rsidRDefault="00246AA0" w:rsidP="000D1F15">
            <w:pPr>
              <w:pStyle w:val="Normal6"/>
              <w:rPr>
                <w:szCs w:val="24"/>
              </w:rPr>
            </w:pPr>
            <w:r w:rsidRPr="00F71B6F">
              <w:t>(9)</w:t>
            </w:r>
            <w:r w:rsidRPr="00F71B6F">
              <w:tab/>
              <w:t>Un contrôle préventif administratif</w:t>
            </w:r>
            <w:r w:rsidRPr="00F71B6F">
              <w:rPr>
                <w:b/>
                <w:i/>
              </w:rPr>
              <w:t>, judiciaire</w:t>
            </w:r>
            <w:r w:rsidRPr="00F71B6F">
              <w:t xml:space="preserve"> ou </w:t>
            </w:r>
            <w:r w:rsidRPr="00F71B6F">
              <w:rPr>
                <w:b/>
                <w:i/>
              </w:rPr>
              <w:t>notarial, ou toute combinaison de ces types de contrôles</w:t>
            </w:r>
            <w:r w:rsidRPr="00F71B6F">
              <w:t>, dans le respect des traditions des États membres, devrait être assuré dans tous les États membres pour garantir la fiabilité des données relatives aux sociétés transfrontalières</w:t>
            </w:r>
            <w:r w:rsidRPr="00F71B6F">
              <w:rPr>
                <w:b/>
                <w:i/>
              </w:rPr>
              <w:t>. Les États membres devraient par conséquent prévoir un contrôle préventif public par les cours et tribunaux, les autorités administratives ou les notaires, conformément à leur ordre juridique interne</w:t>
            </w:r>
            <w:r w:rsidRPr="00F71B6F">
              <w:t>. Il convient de contrôler la légalité de l’acte constitutif de la société, des statuts de la société s’ils figurent dans un acte séparé, ainsi que de toute modification de ces actes et statuts, étant donné qu’il s’agit des documents les plus importants concernant la société.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9 bis (nouveau)</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(9 bis)</w:t>
            </w:r>
            <w:r w:rsidRPr="00F71B6F">
              <w:rPr>
                <w:b/>
                <w:i/>
              </w:rPr>
              <w:tab/>
              <w:t>La légalité des transactions relevant du droit des sociétés, la protection des registres publics fiables et la prévention des activités illégales requièrent l’identification correcte et sûre des participants à ces transactions ainsi que la vérification de leur capacité juridique. Cette disposition s’applique, entre autres, aux fondateurs et aux directeurs des sociétés. En particulier, l’identification fiable du client conformément au principe de «connaissance du client» en application des règles de lutte contre le blanchiment des capitaux et le financement du terrorisme (LBC/FT) est une condition préalable au respect des obligations de vigilance à l’égard de la clientèle aux fins de la LBC/FT et donc à la prévention du blanchiment de capitaux et du financement du terrorisme. S’agissant des procédures couvertes par la présente directive, les États membres devraient par conséquent être autorisés à prévoir des contrôles électroniques publics complémentaires de l’identité, de la capacité juridique et de la légalité. Ces contrôles électroniques publics complémentaires pourraient inclure des contrôles d’identité audiovisuels publics à distance, dont des vérifications électroniques de photos d’identité.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11</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(11)</w:t>
            </w:r>
            <w:r w:rsidRPr="00F71B6F">
              <w:tab/>
              <w:t>L’application du principe «une fois pour toutes» suppose que les sociétés ne sont pas tenues de soumettre plus d’une fois les mêmes informations aux autorités publiques. Par exemple, les sociétés ne devraient pas être tenues de soumettre une nouvelle fois les actes ou informations déjà communiqués au registre auquel elles sont immatriculées lors de la création d’une filiale dans un autre État membre. Les informations relatives à la société devraient plutôt être échangées par voie électronique entre le registre auquel la société est immatriculée et le registre auquel une filiale doit être immatriculée, au moyen du système d’interconnexion des registres. Ces informations devraient être mises à la disposition, par le registre du commerce, de toute autorité, tout organisme ou toute personne mandatés en vertu du droit national pour traiter tout aspect concernant la constitution d’une société.</w:t>
            </w:r>
          </w:p>
        </w:tc>
        <w:tc>
          <w:tcPr>
            <w:tcW w:w="4876" w:type="dxa"/>
            <w:hideMark/>
          </w:tcPr>
          <w:p w:rsidR="00E56EEB" w:rsidRPr="00F71B6F" w:rsidRDefault="00246AA0" w:rsidP="000D1F15">
            <w:pPr>
              <w:pStyle w:val="Normal6"/>
              <w:rPr>
                <w:szCs w:val="24"/>
              </w:rPr>
            </w:pPr>
            <w:r w:rsidRPr="00F71B6F">
              <w:t>(11)</w:t>
            </w:r>
            <w:r w:rsidRPr="00F71B6F">
              <w:tab/>
              <w:t>L’application du principe «une fois pour toutes» suppose que les sociétés ne sont pas tenues de soumettre plus d’une fois les mêmes informations aux autorités publiques. Par exemple, les sociétés ne devraient pas être tenues de soumettre une nouvelle fois les actes ou informations déjà communiqués au registre auquel elles sont immatriculées lors de la création d’une filiale dans un autre État membre. Les informations relatives à la société devraient plutôt être échangées par voie électronique entre le registre auquel la société est immatriculée et le registre auquel une filiale doit être immatriculée, au moyen du système d’interconnexion des registres</w:t>
            </w:r>
            <w:r w:rsidRPr="00F71B6F">
              <w:rPr>
                <w:b/>
                <w:i/>
              </w:rPr>
              <w:t>; toutefois, il devrait être possible d’utiliser d’autres moyens pour échanger des documents et des informations, parallèlement à l’utilisation de moyens électroniques</w:t>
            </w:r>
            <w:r w:rsidRPr="00F71B6F">
              <w:t xml:space="preserve">. Ces informations devraient être mises à la disposition, par le registre du commerce, de toute autorité, tout organisme ou toute personne mandatés en vertu du droit national pour traiter tout aspect concernant la constitution d’une société. </w:t>
            </w:r>
            <w:r w:rsidRPr="00F71B6F">
              <w:rPr>
                <w:b/>
                <w:i/>
              </w:rPr>
              <w:t>L’effet juridique et la recevabilité des documents et informations communiqués par voie électronique au moyen du système d’interconnexion des registres ne devraient pas être refusés au seul motif qu’ils se présentent sous une forme électronique. Ils devraient avoir la même valeur juridique que celle prévue par le registre de l’État membre dans lequel la société concernée est immatriculée.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12</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(12)</w:t>
            </w:r>
            <w:r w:rsidRPr="00F71B6F">
              <w:tab/>
              <w:t>Afin d’accroître la transparence et la confiance à l’égard des sociétés au sein du marché unique et de faciliter leurs opérations et activités transfrontalières, il est essentiel de rendre davantage d’informations sur les sociétés disponibles dans l’ensemble de l’Union et de veiller à ce qu’elles soient comparables et plus facilement accessibles. Pour ce faire, il convient de s’appuyer sur les informations sur les sociétés qui existent déjà dans les registres nationaux et de les mettre à disposition au niveau de l’Union au moyen du système d’interconnexion des registres, ainsi que de donner accès à davantage d’informations tant dans les registres nationaux que par l’intermédiaire du système d’interconnexion des registres.</w:t>
            </w:r>
          </w:p>
        </w:tc>
        <w:tc>
          <w:tcPr>
            <w:tcW w:w="4876" w:type="dxa"/>
            <w:hideMark/>
          </w:tcPr>
          <w:p w:rsidR="00E56EEB" w:rsidRPr="00F71B6F" w:rsidRDefault="00246AA0" w:rsidP="000D1F15">
            <w:pPr>
              <w:pStyle w:val="Normal6"/>
              <w:rPr>
                <w:szCs w:val="24"/>
              </w:rPr>
            </w:pPr>
            <w:r w:rsidRPr="00F71B6F">
              <w:t>(12)</w:t>
            </w:r>
            <w:r w:rsidRPr="00F71B6F">
              <w:tab/>
              <w:t>Afin d’accroître la transparence et la confiance à l’égard des sociétés au sein du marché unique</w:t>
            </w:r>
            <w:r w:rsidRPr="00F71B6F">
              <w:rPr>
                <w:b/>
                <w:i/>
              </w:rPr>
              <w:t>, de garantir la sécurité juridique et la protection des tiers qui traitent avec les sociétés dans un contexte transfrontière, de contribuer à la lutte contre la fraude ainsi que les abus</w:t>
            </w:r>
            <w:r w:rsidRPr="00F71B6F">
              <w:t xml:space="preserve"> et de faciliter leurs opérations et activités transfrontalières, il est essentiel de rendre davantage d’informations sur les sociétés disponibles dans l’ensemble de l’Union et de veiller à ce qu’elles soient comparables et plus facilement accessibles. Pour ce faire, il convient de s’appuyer sur les informations sur les sociétés qui existent déjà dans les registres nationaux et de les mettre à disposition au niveau de l’Union au moyen du système d’interconnexion des registres, ainsi que de donner accès à davantage d’informations tant dans les registres nationaux que par l’intermédiaire du système d’interconnexion des registres.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15</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(15)</w:t>
            </w:r>
            <w:r w:rsidRPr="00F71B6F">
              <w:tab/>
              <w:t>Afin de protéger les intérêts des tiers et de renforcer la confiance dans les transactions commerciales avec différents types de sociétés au sein du marché unique, il importe de renforcer la transparence et de faciliter l’accès aux informations sur les «sociétés commerciales de personnes» dans un contexte transfrontière. Ces sociétés commerciales de personnes jouent un rôle important dans l’économie des États membres et sont enregistrées dans tous les registres nationaux du commerce, mais il existe des différences entre les types de sociétés de personnes et les types d’informations disponibles à leur sujet dans l’ensemble de l’UE, ce qui complique l’accès à ces informations dans un contexte transfrontière. Pour remédier à cette problématique, les mêmes informations de base sur les «sociétés commerciales de personnes» devraient être publiées dans tous les États membres. Les obligations de publicité applicables aux sociétés de personnes devraient refléter les obligations existantes pour les sociétés de capitaux, mais être adaptées aux caractéristiques spécifiques des sociétés de personnes. Par exemple, les obligations de publicité devraient aussi couvrir les informations sur les associés, y compris ceux qui sont autorisés à représenter la société de personnes. Comme dans le cas des sociétés de capitaux, les États membres devraient être autorisés à exiger que les sociétés de personnes publient des actes ou informations allant au-delà de ce qui est exigé dans le cadre de la présente directive. Lorsque ces actes ou informations supplémentaires contiennent des données à caractère personnel, les États membres devraient traiter ces données conformément au règlement (UE) 2016/679 du Parlement européen et du Conseil</w:t>
            </w:r>
            <w:r w:rsidRPr="00F71B6F">
              <w:rPr>
                <w:vertAlign w:val="superscript"/>
              </w:rPr>
              <w:t>54</w:t>
            </w:r>
            <w:r w:rsidRPr="00F71B6F">
              <w:t>.</w:t>
            </w:r>
          </w:p>
        </w:tc>
        <w:tc>
          <w:tcPr>
            <w:tcW w:w="4876" w:type="dxa"/>
            <w:hideMark/>
          </w:tcPr>
          <w:p w:rsidR="00E56EEB" w:rsidRPr="00F71B6F" w:rsidRDefault="00246AA0" w:rsidP="000D1F15">
            <w:pPr>
              <w:pStyle w:val="Normal6"/>
              <w:rPr>
                <w:szCs w:val="24"/>
              </w:rPr>
            </w:pPr>
            <w:r w:rsidRPr="00F71B6F">
              <w:t>(15)</w:t>
            </w:r>
            <w:r w:rsidRPr="00F71B6F">
              <w:tab/>
              <w:t xml:space="preserve">Afin de protéger les intérêts des tiers et de renforcer la confiance dans les transactions commerciales avec différents types de sociétés au sein du marché unique, il importe de renforcer la </w:t>
            </w:r>
            <w:r w:rsidRPr="00F71B6F">
              <w:rPr>
                <w:b/>
                <w:i/>
              </w:rPr>
              <w:t xml:space="preserve">fiabilité et la </w:t>
            </w:r>
            <w:r w:rsidRPr="00F71B6F">
              <w:t>transparence et de faciliter l’accès aux informations sur les «sociétés commerciales de personnes» dans un contexte transfrontière. Ces sociétés commerciales de personnes jouent un rôle important dans l’économie des États membres et sont enregistrées dans tous les registres nationaux du commerce, mais il existe des différences entre les types de sociétés de personnes et les types d’informations disponibles à leur sujet dans l’ensemble de l’UE, ce qui complique l’accès à ces informations dans un contexte transfrontière. Pour remédier à cette problématique, les mêmes informations de base sur les «sociétés commerciales de personnes» devraient être publiées dans tous les États membres</w:t>
            </w:r>
            <w:r w:rsidRPr="00F71B6F">
              <w:rPr>
                <w:b/>
                <w:i/>
              </w:rPr>
              <w:t xml:space="preserve"> et ces derniers devraient appliquer des normes minimales communes de contrôle préventif à ces informations</w:t>
            </w:r>
            <w:r w:rsidRPr="00F71B6F">
              <w:t>. Les obligations de publicité</w:t>
            </w:r>
            <w:r w:rsidRPr="00F71B6F">
              <w:rPr>
                <w:b/>
                <w:i/>
              </w:rPr>
              <w:t xml:space="preserve"> et les contrôles de la légalité</w:t>
            </w:r>
            <w:r w:rsidRPr="00F71B6F">
              <w:t xml:space="preserve"> applicables aux sociétés de personnes devraient refléter les obligations existantes pour les sociétés de capitaux, mais être adaptées aux caractéristiques spécifiques des sociétés de personnes. Par exemple, les obligations de publicité devraient aussi couvrir les informations sur les associés, y compris ceux qui sont autorisés à représenter la société de personnes. Comme dans le cas des sociétés de capitaux, les États membres devraient être autorisés à exiger que les sociétés de personnes publient des actes ou informations allant au-delà de ce qui est exigé dans le cadre de la présente directive. Lorsque ces actes ou informations supplémentaires contiennent des données à caractère personnel, les États membres devraient traiter ces données conformément au règlement (UE) 2016/679 du Parlement européen et du Conseil</w:t>
            </w:r>
            <w:r w:rsidRPr="00F71B6F">
              <w:rPr>
                <w:vertAlign w:val="superscript"/>
              </w:rPr>
              <w:t>54</w:t>
            </w:r>
            <w:r w:rsidRPr="00F71B6F">
              <w:t>.</w:t>
            </w:r>
          </w:p>
        </w:tc>
      </w:tr>
      <w:tr w:rsidR="00246AA0" w:rsidRPr="00F71B6F" w:rsidTr="000D1F15">
        <w:trPr>
          <w:jc w:val="center"/>
        </w:trPr>
        <w:tc>
          <w:tcPr>
            <w:tcW w:w="4876" w:type="dxa"/>
            <w:hideMark/>
          </w:tcPr>
          <w:p w:rsidR="00E56EEB" w:rsidRPr="00F71B6F" w:rsidRDefault="00246AA0" w:rsidP="000D1F15">
            <w:pPr>
              <w:pStyle w:val="Normal6"/>
            </w:pPr>
            <w:r w:rsidRPr="00F71B6F">
              <w:t>__________________</w:t>
            </w:r>
          </w:p>
        </w:tc>
        <w:tc>
          <w:tcPr>
            <w:tcW w:w="4876" w:type="dxa"/>
            <w:hideMark/>
          </w:tcPr>
          <w:p w:rsidR="00E56EEB" w:rsidRPr="00F71B6F" w:rsidRDefault="00246AA0" w:rsidP="000D1F15">
            <w:pPr>
              <w:pStyle w:val="Normal6"/>
              <w:rPr>
                <w:szCs w:val="24"/>
              </w:rPr>
            </w:pPr>
            <w:r w:rsidRPr="00F71B6F">
              <w:t>__________________</w:t>
            </w:r>
          </w:p>
        </w:tc>
      </w:tr>
      <w:tr w:rsidR="00246AA0" w:rsidRPr="00F71B6F" w:rsidTr="000D1F15">
        <w:trPr>
          <w:jc w:val="center"/>
        </w:trPr>
        <w:tc>
          <w:tcPr>
            <w:tcW w:w="4876" w:type="dxa"/>
            <w:hideMark/>
          </w:tcPr>
          <w:p w:rsidR="00E56EEB" w:rsidRPr="00F71B6F" w:rsidRDefault="00246AA0" w:rsidP="000D1F15">
            <w:pPr>
              <w:pStyle w:val="Normal6"/>
            </w:pPr>
            <w:r w:rsidRPr="00F71B6F">
              <w:rPr>
                <w:vertAlign w:val="superscript"/>
              </w:rPr>
              <w:t>54</w:t>
            </w:r>
            <w:r w:rsidRPr="00F71B6F">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c>
          <w:tcPr>
            <w:tcW w:w="4876" w:type="dxa"/>
            <w:hideMark/>
          </w:tcPr>
          <w:p w:rsidR="00E56EEB" w:rsidRPr="00F71B6F" w:rsidRDefault="00246AA0" w:rsidP="000D1F15">
            <w:pPr>
              <w:pStyle w:val="Normal6"/>
              <w:rPr>
                <w:szCs w:val="24"/>
              </w:rPr>
            </w:pPr>
            <w:r w:rsidRPr="00F71B6F">
              <w:rPr>
                <w:vertAlign w:val="superscript"/>
              </w:rPr>
              <w:t>54</w:t>
            </w:r>
            <w:r w:rsidRPr="00F71B6F">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16 bis (nouveau)</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(16 bis)</w:t>
            </w:r>
            <w:r w:rsidRPr="00F71B6F">
              <w:rPr>
                <w:b/>
                <w:i/>
              </w:rPr>
              <w:tab/>
              <w:t>Les coopératives jouent un rôle important dans de nombreux États membres. Par conséquent, les informations sur les coopératives qui figurent aussi dans les registres nationaux devraient également être accessibles au niveau de l’Union au moyen du système d’interconnexion des registres, de la même manière que pour les sociétés de capitaux; certaines informations devraient être mises à disposition gratuitement et être identifiées sans équivoque au moyen de l’EUID.</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7</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20</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(20)</w:t>
            </w:r>
            <w:r w:rsidRPr="00F71B6F">
              <w:tab/>
              <w:t xml:space="preserve">Afin d’éviter toute charge inutile, l’obligation de mettre à jour les informations relatives au groupe, </w:t>
            </w:r>
            <w:r w:rsidRPr="00F71B6F">
              <w:rPr>
                <w:b/>
                <w:i/>
              </w:rPr>
              <w:t xml:space="preserve">au moins </w:t>
            </w:r>
            <w:r w:rsidRPr="00F71B6F">
              <w:t>une fois par an, devrait incomber à la société mère ultime ou, le cas échéant, à la société mère intermédiaire ou à la filiale régie par le droit d’un État membre.</w:t>
            </w:r>
            <w:r w:rsidRPr="00F71B6F">
              <w:rPr>
                <w:b/>
                <w:i/>
              </w:rPr>
              <w:t xml:space="preserve"> Si aucun changement n’est intervenu en un an, la société mère ou filiale en question devrait le confirmer auprès de son registre, qui devrait enregistrer ces informations et les rendre publiques.</w:t>
            </w:r>
            <w:r w:rsidRPr="00F71B6F">
              <w:t xml:space="preserve"> En outre, chaque filiale devrait être chargée de tenir à jour les informations relatives à son appartenance au groupe dans son registre. </w:t>
            </w:r>
            <w:r w:rsidRPr="00F71B6F">
              <w:rPr>
                <w:b/>
                <w:i/>
              </w:rPr>
              <w:t>À cet égard, la société mère ultime ou, le cas échéant, la société mère intermédiaire ou la filiale relevant du droit d’un État membre devrait fournir sans délai toute modification des informations relatives au groupe aux (autres) filiales pour que celles-ci puissent s’acquitter en temps utile de l’obligation de tenir à jour les informations relatives au groupe dans leur registre.</w:t>
            </w:r>
          </w:p>
        </w:tc>
        <w:tc>
          <w:tcPr>
            <w:tcW w:w="4876" w:type="dxa"/>
            <w:hideMark/>
          </w:tcPr>
          <w:p w:rsidR="00E56EEB" w:rsidRPr="00F71B6F" w:rsidRDefault="00246AA0" w:rsidP="000D1F15">
            <w:pPr>
              <w:pStyle w:val="Normal6"/>
              <w:rPr>
                <w:szCs w:val="24"/>
              </w:rPr>
            </w:pPr>
            <w:r w:rsidRPr="00F71B6F">
              <w:t>(20)</w:t>
            </w:r>
            <w:r w:rsidRPr="00F71B6F">
              <w:tab/>
              <w:t>Afin d’éviter toute charge inutile, l’obligation de mettre à jour les informations relatives au groupe, une fois par an</w:t>
            </w:r>
            <w:r w:rsidRPr="00F71B6F">
              <w:rPr>
                <w:b/>
                <w:i/>
              </w:rPr>
              <w:t xml:space="preserve"> le cas échéant</w:t>
            </w:r>
            <w:r w:rsidRPr="00F71B6F">
              <w:t>, devrait incomber à la société mère ultime ou, le cas échéant, à la société mère intermédiaire ou à la filiale régie par le droit d’un État membre. En outre, chaque filiale devrait être chargée de tenir à jour les informations relatives à son appartenance au groupe dans son registre.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8</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22</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(22)</w:t>
            </w:r>
            <w:r w:rsidRPr="00F71B6F">
              <w:tab/>
              <w:t>Outre le respect des normes communes en matière de vérification des informations sur les sociétés entreprise avant leur inscription dans le registre, il convient de veiller à ce que les informations contenues dans le registre soient tenues à jour. La recommandation nº 24 du Groupe d’action financière (GAFI) intitulée «Transparence et bénéficiaires effectifs des personnes morales», telle que révisée en mars 2022, prévoit que les informations sur les sociétés figurant dans les registres du commerce doivent être exactes et mises à jour. Il est également dans l’intérêt des sociétés de veiller à ce que leurs informations soient mises à jour dans le registre car ces informations, y compris le certificat d’entreprise de l’UE, peuvent être invoquées par des tiers. Les sociétés devraient donc être tenues de publier les modifications apportées aux informations les concernant sans retard inutile et ces modifications devraient être consignées dans les registres et mises à disposition en temps utile. Bien que le délai de publication des documents comptables soit régi par la directive 2013/34/UE du Parlement européen et du Conseil</w:t>
            </w:r>
            <w:r w:rsidRPr="00F71B6F">
              <w:rPr>
                <w:vertAlign w:val="superscript"/>
              </w:rPr>
              <w:t>55</w:t>
            </w:r>
            <w:r w:rsidRPr="00F71B6F">
              <w:t xml:space="preserve">, les registres devraient également rendre ces documents publics sans retard inutile. </w:t>
            </w:r>
            <w:r w:rsidRPr="00F71B6F">
              <w:rPr>
                <w:b/>
                <w:i/>
              </w:rPr>
              <w:t>En outre, afin de renforcer encore la fiabilité des données sur les sociétés, ces dernières devraient confirmer une fois par année civile que leurs informations figurant dans le registre du commerce sont à jour, y compris en l’absence de changement. Les sociétés peuvent le faire lors du dépôt d’autres modifications ou lors du dépôt de documents comptables.</w:t>
            </w:r>
          </w:p>
        </w:tc>
        <w:tc>
          <w:tcPr>
            <w:tcW w:w="4876" w:type="dxa"/>
            <w:hideMark/>
          </w:tcPr>
          <w:p w:rsidR="00E56EEB" w:rsidRPr="00F71B6F" w:rsidRDefault="00246AA0" w:rsidP="000D1F15">
            <w:pPr>
              <w:pStyle w:val="Normal6"/>
              <w:rPr>
                <w:szCs w:val="24"/>
              </w:rPr>
            </w:pPr>
            <w:r w:rsidRPr="00F71B6F">
              <w:t>(22)</w:t>
            </w:r>
            <w:r w:rsidRPr="00F71B6F">
              <w:tab/>
              <w:t>Outre le respect des normes communes en matière de vérification des informations sur les sociétés entreprise avant leur inscription dans le registre, il convient de veiller à ce que les informations contenues dans le registre soient tenues à jour. La recommandation nº 24 du Groupe d’action financière (GAFI) intitulée «Transparence et bénéficiaires effectifs des personnes morales», telle que révisée en mars 2022, prévoit que les informations sur les sociétés figurant dans les registres du commerce doivent être exactes et mises à jour. Il est également dans l’intérêt des sociétés de veiller à ce que leurs informations soient mises à jour dans le registre car ces informations, y compris le certificat d’entreprise de l’UE, peuvent être invoquées par des tiers. Les sociétés devraient donc être tenues de publier les modifications apportées aux informations les concernant sans retard inutile et ces modifications devraient être consignées dans les registres et mises à disposition en temps utile. Bien que le délai de publication des documents comptables soit régi par la directive 2013/34/UE du Parlement européen et du Conseil</w:t>
            </w:r>
            <w:r w:rsidRPr="00F71B6F">
              <w:rPr>
                <w:vertAlign w:val="superscript"/>
              </w:rPr>
              <w:t>55</w:t>
            </w:r>
            <w:r w:rsidRPr="00F71B6F">
              <w:t>, les registres devraient également rendre ces documents publics sans retard inutile.</w:t>
            </w:r>
          </w:p>
        </w:tc>
      </w:tr>
      <w:tr w:rsidR="00246AA0" w:rsidRPr="00F71B6F" w:rsidTr="000D1F15">
        <w:trPr>
          <w:jc w:val="center"/>
        </w:trPr>
        <w:tc>
          <w:tcPr>
            <w:tcW w:w="4876" w:type="dxa"/>
            <w:hideMark/>
          </w:tcPr>
          <w:p w:rsidR="00E56EEB" w:rsidRPr="00F71B6F" w:rsidRDefault="00246AA0" w:rsidP="000D1F15">
            <w:pPr>
              <w:pStyle w:val="Normal6"/>
            </w:pPr>
            <w:r w:rsidRPr="00F71B6F">
              <w:t>__________________</w:t>
            </w:r>
          </w:p>
        </w:tc>
        <w:tc>
          <w:tcPr>
            <w:tcW w:w="4876" w:type="dxa"/>
            <w:hideMark/>
          </w:tcPr>
          <w:p w:rsidR="00E56EEB" w:rsidRPr="00F71B6F" w:rsidRDefault="00246AA0" w:rsidP="000D1F15">
            <w:pPr>
              <w:pStyle w:val="Normal6"/>
              <w:rPr>
                <w:szCs w:val="24"/>
              </w:rPr>
            </w:pPr>
            <w:r w:rsidRPr="00F71B6F">
              <w:t>__________________</w:t>
            </w:r>
          </w:p>
        </w:tc>
      </w:tr>
      <w:tr w:rsidR="00246AA0" w:rsidRPr="00F71B6F" w:rsidTr="000D1F15">
        <w:trPr>
          <w:jc w:val="center"/>
        </w:trPr>
        <w:tc>
          <w:tcPr>
            <w:tcW w:w="4876" w:type="dxa"/>
            <w:hideMark/>
          </w:tcPr>
          <w:p w:rsidR="00E56EEB" w:rsidRPr="00F71B6F" w:rsidRDefault="00246AA0" w:rsidP="000D1F15">
            <w:pPr>
              <w:pStyle w:val="Normal6"/>
            </w:pPr>
            <w:r w:rsidRPr="00F71B6F">
              <w:rPr>
                <w:vertAlign w:val="superscript"/>
              </w:rPr>
              <w:t>55</w:t>
            </w:r>
            <w:r w:rsidRPr="00F71B6F">
              <w:t xml:space="preserve">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tc>
        <w:tc>
          <w:tcPr>
            <w:tcW w:w="4876" w:type="dxa"/>
            <w:hideMark/>
          </w:tcPr>
          <w:p w:rsidR="00E56EEB" w:rsidRPr="00F71B6F" w:rsidRDefault="00246AA0" w:rsidP="000D1F15">
            <w:pPr>
              <w:pStyle w:val="Normal6"/>
              <w:rPr>
                <w:szCs w:val="24"/>
              </w:rPr>
            </w:pPr>
            <w:r w:rsidRPr="00F71B6F">
              <w:rPr>
                <w:vertAlign w:val="superscript"/>
              </w:rPr>
              <w:t>55</w:t>
            </w:r>
            <w:r w:rsidRPr="00F71B6F">
              <w:t xml:space="preserve">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9</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23 bis (nouveau)</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(23 bis)</w:t>
            </w:r>
            <w:r w:rsidRPr="00F71B6F">
              <w:rPr>
                <w:b/>
                <w:i/>
              </w:rPr>
              <w:tab/>
              <w:t>Le droit des sociétés ne devrait pas permettre de contourner d’importantes dispositions de l’Union et des États membres qui protègent l’intérêt public. Des contrôleurs d’accès publics devraient dès lors contrôler, dans l’intérêt public et sous la surveillance publique des autorités de l’Union ou des États membres, la légalité des transactions et procédures des sociétés ayant une incidence sur le marché intérieur ainsi que leur conformité avec la législation applicable de l’Union ou des États membres.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10</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24</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(24)</w:t>
            </w:r>
            <w:r w:rsidRPr="00F71B6F">
              <w:tab/>
              <w:t xml:space="preserve">Au sein du marché unique, les sociétés devraient être en mesure de prouver qu’elles sont légalement constituées dans un État membre par des moyens simples et fiables, reconnus au niveau transfrontière par d’autres États membres. Un certificat d’entreprise harmonisé de l’UE devrait dès lors être établi. Les sociétés pourraient demander un tel certificat en vue de l’utiliser à différentes fins, y compris pour les procédures administratives devant les autorités nationales et les procédures judiciaires dans d’autres États membres ou devant les institutions et organes de l’UE. Ce certificat d’entreprise de l’UE devrait être délivré et certifié par les registres nationaux du commerce, devrait inclure les informations essentielles sur les sociétés utilisées par ces dernières dans les situations transfrontalières, y compris la raison sociale, le siège social et les représentants légaux de la société, et devrait être disponible dans toutes les langues officielles de l’Union. Le certificat électronique d’entreprise de l’UE devrait être authentifié au moyen des services de confiance visés dans le règlement </w:t>
            </w:r>
            <w:r w:rsidRPr="00F71B6F">
              <w:rPr>
                <w:b/>
                <w:i/>
              </w:rPr>
              <w:t xml:space="preserve">(UE) </w:t>
            </w:r>
            <w:r w:rsidRPr="00F71B6F">
              <w:t>nº 910/2014</w:t>
            </w:r>
            <w:r w:rsidRPr="00F71B6F">
              <w:rPr>
                <w:vertAlign w:val="superscript"/>
              </w:rPr>
              <w:t>56</w:t>
            </w:r>
            <w:r w:rsidRPr="00F71B6F">
              <w:t xml:space="preserve">. Il </w:t>
            </w:r>
            <w:r w:rsidRPr="00F71B6F">
              <w:rPr>
                <w:b/>
                <w:i/>
              </w:rPr>
              <w:t>serait</w:t>
            </w:r>
            <w:r w:rsidRPr="00F71B6F">
              <w:t xml:space="preserve"> également accessible aux tiers, y compris aux autorités, qui ont besoin d’informations essentielles fiables sur les sociétés. </w:t>
            </w:r>
            <w:r w:rsidRPr="00F71B6F">
              <w:rPr>
                <w:b/>
                <w:i/>
              </w:rPr>
              <w:t xml:space="preserve">Alors que les États membres devraient être autorisés à facturer des frais pour l’obtention d’un certificat d’entreprise de l’UE, </w:t>
            </w:r>
            <w:r w:rsidRPr="00F71B6F">
              <w:t>les registres devraient être tenus de fournir gratuitement, sur demande, à chaque société immatriculée audit registre, son propre certificat d’entreprise de l’UE</w:t>
            </w:r>
            <w:r w:rsidRPr="00F71B6F">
              <w:rPr>
                <w:b/>
                <w:i/>
              </w:rPr>
              <w:t xml:space="preserve"> au moins une fois par an</w:t>
            </w:r>
            <w:r w:rsidRPr="00F71B6F">
              <w:t>. Les registres et les autorités des autres États membres devraient accepter un certificat d’entreprise de l’UE conformément à la présente directive.</w:t>
            </w:r>
          </w:p>
        </w:tc>
        <w:tc>
          <w:tcPr>
            <w:tcW w:w="4876" w:type="dxa"/>
            <w:hideMark/>
          </w:tcPr>
          <w:p w:rsidR="00E56EEB" w:rsidRPr="00F71B6F" w:rsidRDefault="00246AA0" w:rsidP="000D1F15">
            <w:pPr>
              <w:pStyle w:val="Normal6"/>
              <w:rPr>
                <w:szCs w:val="24"/>
              </w:rPr>
            </w:pPr>
            <w:r w:rsidRPr="00F71B6F">
              <w:t>(24)</w:t>
            </w:r>
            <w:r w:rsidRPr="00F71B6F">
              <w:tab/>
              <w:t>Au sein du marché unique, les sociétés devraient être en mesure de prouver qu’elles sont légalement constituées dans un État membre par des moyens simples et fiables, reconnus au niveau transfrontière par d’autres États membres. Un certificat d’entreprise harmonisé de l’UE devrait dès lors être établi</w:t>
            </w:r>
            <w:r w:rsidRPr="00F71B6F">
              <w:rPr>
                <w:b/>
                <w:i/>
              </w:rPr>
              <w:t xml:space="preserve"> et publié dans le registre de la société</w:t>
            </w:r>
            <w:r w:rsidRPr="00F71B6F">
              <w:t>. Les sociétés pourraient demander un tel certificat en vue de l’utiliser à différentes fins, y compris pour les procédures administratives devant les autorités nationales et les procédures judiciaires dans d’autres États membres ou devant les institutions et organes de l’UE. Ce certificat d’entreprise de l’UE devrait être délivré et certifié par les registres nationaux du commerce, devrait inclure les informations essentielles sur les sociétés utilisées par ces dernières dans les situations transfrontalières, y compris la raison sociale, le siège social et les représentants légaux de la société, et devrait être disponible dans toutes les langues officielles de l’Union. Le certificat électronique d’entreprise de l’UE devrait être authentifié au moyen des services de confiance visés dans le règlement nº 910/2014</w:t>
            </w:r>
            <w:r w:rsidRPr="00F71B6F">
              <w:rPr>
                <w:vertAlign w:val="superscript"/>
              </w:rPr>
              <w:t>56</w:t>
            </w:r>
            <w:r w:rsidRPr="00F71B6F">
              <w:t xml:space="preserve">. Il </w:t>
            </w:r>
            <w:r w:rsidRPr="00F71B6F">
              <w:rPr>
                <w:b/>
                <w:i/>
              </w:rPr>
              <w:t>devrait</w:t>
            </w:r>
            <w:r w:rsidRPr="00F71B6F">
              <w:t xml:space="preserve"> également </w:t>
            </w:r>
            <w:r w:rsidRPr="00F71B6F">
              <w:rPr>
                <w:b/>
                <w:i/>
              </w:rPr>
              <w:t xml:space="preserve">être </w:t>
            </w:r>
            <w:r w:rsidRPr="00F71B6F">
              <w:t xml:space="preserve">accessible </w:t>
            </w:r>
            <w:r w:rsidRPr="00F71B6F">
              <w:rPr>
                <w:b/>
                <w:i/>
              </w:rPr>
              <w:t xml:space="preserve">gratuitement </w:t>
            </w:r>
            <w:r w:rsidRPr="00F71B6F">
              <w:t>aux tiers, y compris aux autorités</w:t>
            </w:r>
            <w:r w:rsidRPr="00F71B6F">
              <w:rPr>
                <w:b/>
                <w:i/>
              </w:rPr>
              <w:t xml:space="preserve"> et aux représentants des travailleurs</w:t>
            </w:r>
            <w:r w:rsidRPr="00F71B6F">
              <w:t>, qui ont besoin d’informations essentielles fiables sur les sociétés. Les registres devraient être tenus de fournir gratuitement, sur demande, à chaque société immatriculée audit registre, son propre certificat d’entreprise de l’UE. Les registres et les autorités des autres États membres devraient accepter un certificat d’entreprise de l’UE conformément à la présente directive.</w:t>
            </w:r>
          </w:p>
        </w:tc>
      </w:tr>
      <w:tr w:rsidR="00246AA0" w:rsidRPr="00F71B6F" w:rsidTr="000D1F15">
        <w:trPr>
          <w:jc w:val="center"/>
        </w:trPr>
        <w:tc>
          <w:tcPr>
            <w:tcW w:w="4876" w:type="dxa"/>
            <w:hideMark/>
          </w:tcPr>
          <w:p w:rsidR="00E56EEB" w:rsidRPr="00F71B6F" w:rsidRDefault="00246AA0" w:rsidP="000D1F15">
            <w:pPr>
              <w:pStyle w:val="Normal6"/>
            </w:pPr>
            <w:r w:rsidRPr="00F71B6F">
              <w:t>__________________</w:t>
            </w:r>
          </w:p>
        </w:tc>
        <w:tc>
          <w:tcPr>
            <w:tcW w:w="4876" w:type="dxa"/>
            <w:hideMark/>
          </w:tcPr>
          <w:p w:rsidR="00E56EEB" w:rsidRPr="00F71B6F" w:rsidRDefault="00246AA0" w:rsidP="000D1F15">
            <w:pPr>
              <w:pStyle w:val="Normal6"/>
              <w:rPr>
                <w:szCs w:val="24"/>
              </w:rPr>
            </w:pPr>
            <w:r w:rsidRPr="00F71B6F">
              <w:t>__________________</w:t>
            </w:r>
          </w:p>
        </w:tc>
      </w:tr>
      <w:tr w:rsidR="00246AA0" w:rsidRPr="00F71B6F" w:rsidTr="000D1F15">
        <w:trPr>
          <w:jc w:val="center"/>
        </w:trPr>
        <w:tc>
          <w:tcPr>
            <w:tcW w:w="4876" w:type="dxa"/>
            <w:hideMark/>
          </w:tcPr>
          <w:p w:rsidR="00E56EEB" w:rsidRPr="00F71B6F" w:rsidRDefault="00246AA0" w:rsidP="000D1F15">
            <w:pPr>
              <w:pStyle w:val="Normal6"/>
            </w:pPr>
            <w:r w:rsidRPr="00F71B6F">
              <w:rPr>
                <w:vertAlign w:val="superscript"/>
              </w:rPr>
              <w:t>56</w:t>
            </w:r>
            <w:r w:rsidRPr="00F71B6F">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hideMark/>
          </w:tcPr>
          <w:p w:rsidR="00E56EEB" w:rsidRPr="00F71B6F" w:rsidRDefault="00246AA0" w:rsidP="000D1F15">
            <w:pPr>
              <w:pStyle w:val="Normal6"/>
              <w:rPr>
                <w:szCs w:val="24"/>
              </w:rPr>
            </w:pPr>
            <w:r w:rsidRPr="00F71B6F">
              <w:rPr>
                <w:vertAlign w:val="superscript"/>
              </w:rPr>
              <w:t>56</w:t>
            </w:r>
            <w:r w:rsidRPr="00F71B6F">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11</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25</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(25)</w:t>
            </w:r>
            <w:r w:rsidRPr="00F71B6F">
              <w:tab/>
              <w:t>Afin de faciliter les procédures transfrontières pour les sociétés ainsi que de simplifier et de réduire les formalités, telles que l’apostille ou la traduction, il convient d’établir une procuration numérique de l’UE. La procuration numérique de l’UE sera un modèle standard multilingue fondé sur un canevas européen commun que les entreprises peuvent choisir d’utiliser dans des situations transfrontalières. Ce modèle devrait avoir un contenu minimal obligatoire, mais il serait élaboré conformément aux exigences juridiques et formelles nationales. La procuration numérique standard de l’UE n’existerait que sous forme numérique et elle devrait être authentifiée au moyen des services de confiance visés dans le règlement (UE) nº 910/2014. Par ailleurs, afin de contribuer à une plus grande sécurité des transactions, la procuration numérique de l’UE devrait être déposée dans le registre de la société où des tiers pouvant justifier d’un intérêt légitime peuvent la consulter. En particulier, les tiers, tels que les avocats, les notaires, les établissements financiers et de crédit ou les autorités compétentes</w:t>
            </w:r>
            <w:r w:rsidRPr="00F71B6F">
              <w:rPr>
                <w:b/>
                <w:i/>
              </w:rPr>
              <w:t xml:space="preserve"> auxquels la procuration numérique de l’UE est présentée</w:t>
            </w:r>
            <w:r w:rsidRPr="00F71B6F">
              <w:t xml:space="preserve">, pourraient donc vérifier l’existence de ces </w:t>
            </w:r>
            <w:r w:rsidRPr="00F71B6F">
              <w:rPr>
                <w:b/>
                <w:i/>
              </w:rPr>
              <w:t>pouvoirs</w:t>
            </w:r>
            <w:r w:rsidRPr="00F71B6F">
              <w:t xml:space="preserve"> dans le registre de la société. </w:t>
            </w:r>
            <w:r w:rsidRPr="00F71B6F">
              <w:rPr>
                <w:b/>
                <w:i/>
              </w:rPr>
              <w:t>Les États membres pourraient aussi exiger que</w:t>
            </w:r>
            <w:r w:rsidRPr="00F71B6F">
              <w:t xml:space="preserve"> la procuration numérique de l’UE </w:t>
            </w:r>
            <w:r w:rsidRPr="00F71B6F">
              <w:rPr>
                <w:b/>
                <w:i/>
              </w:rPr>
              <w:t>soit déposée, en outre, dans un autre registre conformément au droit national</w:t>
            </w:r>
            <w:r w:rsidRPr="00F71B6F">
              <w:t>. Afin de surmonter les barrières linguistiques et de faciliter l’utilisation des documents, le modèle de certificat d’entreprise de l’UE et un modèle standard de procuration numérique de l’UE devraient être disponibles sur le portail e-Justice dans toutes les langues de l’Union.</w:t>
            </w:r>
          </w:p>
        </w:tc>
        <w:tc>
          <w:tcPr>
            <w:tcW w:w="4876" w:type="dxa"/>
            <w:hideMark/>
          </w:tcPr>
          <w:p w:rsidR="00E56EEB" w:rsidRPr="00F71B6F" w:rsidRDefault="00246AA0" w:rsidP="000D1F15">
            <w:pPr>
              <w:pStyle w:val="Normal6"/>
              <w:rPr>
                <w:szCs w:val="24"/>
              </w:rPr>
            </w:pPr>
            <w:r w:rsidRPr="00F71B6F">
              <w:t>(25)</w:t>
            </w:r>
            <w:r w:rsidRPr="00F71B6F">
              <w:tab/>
              <w:t>Afin de faciliter les procédures transfrontières pour les sociétés ainsi que de simplifier et de réduire les formalités, telles que l’apostille ou la traduction, il convient d’établir une procuration numérique de l’UE. La procuration numérique de l’UE sera un modèle standard multilingue fondé sur un canevas européen commun que les entreprises peuvent choisir d’utiliser dans des situations transfrontalières. Ce modèle devrait avoir un contenu minimal obligatoire, mais il serait élaboré conformément aux exigences juridiques et formelles nationales. La procuration numérique standard de l’UE n’existerait que sous forme numérique et elle devrait être authentifiée</w:t>
            </w:r>
            <w:r w:rsidRPr="00F71B6F">
              <w:rPr>
                <w:b/>
                <w:i/>
              </w:rPr>
              <w:t>, conformément au niveau d’assurance «élevé»,</w:t>
            </w:r>
            <w:r w:rsidRPr="00F71B6F">
              <w:t xml:space="preserve"> au moyen des services de confiance visés dans le règlement (UE) nº 910/2014. Par ailleurs, afin de contribuer à une plus grande sécurité des transactions</w:t>
            </w:r>
            <w:r w:rsidRPr="00F71B6F">
              <w:rPr>
                <w:b/>
                <w:i/>
              </w:rPr>
              <w:t xml:space="preserve"> et à la fiabilité des registres publics</w:t>
            </w:r>
            <w:r w:rsidRPr="00F71B6F">
              <w:t xml:space="preserve">, la procuration numérique de l’UE devrait être </w:t>
            </w:r>
            <w:r w:rsidRPr="00F71B6F">
              <w:rPr>
                <w:b/>
                <w:i/>
              </w:rPr>
              <w:t>signée au moyen de signatures électroniques qualifiées. Si la procuration numérique de l’UE est certifiée ou authentifiée, il convient que l’autorité de certification ou d’authentification utilise des signatures ou des cachets électroniques qualifiés comprenant ses attributs spécifiques conformément au règlement (UE) nº 910/2014.</w:t>
            </w:r>
            <w:r w:rsidRPr="00F71B6F">
              <w:t xml:space="preserve"> </w:t>
            </w:r>
            <w:r w:rsidRPr="00F71B6F">
              <w:rPr>
                <w:b/>
                <w:i/>
              </w:rPr>
              <w:t xml:space="preserve">La procuration numérique de l’UE devrait être </w:t>
            </w:r>
            <w:r w:rsidRPr="00F71B6F">
              <w:t xml:space="preserve">déposée dans le registre de la société où des tiers pouvant justifier d’un intérêt légitime peuvent la consulter. En particulier, les tiers, tels que les avocats, les notaires, les établissements financiers et de crédit ou les autorités compétentes, pourraient donc vérifier l’existence de ces </w:t>
            </w:r>
            <w:r w:rsidRPr="00F71B6F">
              <w:rPr>
                <w:b/>
                <w:i/>
              </w:rPr>
              <w:t>procurations</w:t>
            </w:r>
            <w:r w:rsidRPr="00F71B6F">
              <w:t xml:space="preserve"> dans le registre de la société. </w:t>
            </w:r>
            <w:r w:rsidRPr="00F71B6F">
              <w:rPr>
                <w:b/>
                <w:i/>
              </w:rPr>
              <w:t>Une fois complétée,</w:t>
            </w:r>
            <w:r w:rsidRPr="00F71B6F">
              <w:t xml:space="preserve"> la procuration numérique de l’UE </w:t>
            </w:r>
            <w:r w:rsidRPr="00F71B6F">
              <w:rPr>
                <w:b/>
                <w:i/>
              </w:rPr>
              <w:t>devrait être réputée valide sous sa forme publiée jusqu’à ce qu’une modification ou une révocation soit publiée dans le registre</w:t>
            </w:r>
            <w:r w:rsidRPr="00F71B6F">
              <w:t>. Afin de surmonter les barrières linguistiques et de faciliter l’utilisation des documents, le modèle de certificat d’entreprise de l’UE et un modèle standard de procuration numérique de l’UE devraient être disponibles sur le portail e-Justice dans toutes les langues de l’Union.</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27</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(27)</w:t>
            </w:r>
            <w:r w:rsidRPr="00F71B6F">
              <w:tab/>
              <w:t xml:space="preserve">Dans le même temps, afin d’éviter la fraude ou la falsification, il devrait être possible pour les autorités de l’État membre dans lequel l’acte ou les informations </w:t>
            </w:r>
            <w:r w:rsidRPr="00F71B6F">
              <w:rPr>
                <w:b/>
                <w:i/>
              </w:rPr>
              <w:t>de la société</w:t>
            </w:r>
            <w:r w:rsidRPr="00F71B6F">
              <w:t xml:space="preserve"> sont présentés, lorsqu’elles ont un doute raisonnable quant à leur authenticité, de vérifier l’acte ou les informations par l’intermédiaire du registre émetteur ou du registre de leur propre État membre, qui pourraient échanger des informations sur l’authenticité de l’acte au moyen du système d’interconnexion des registres. Cet échange d’informations devrait contribuer à la confiance mutuelle et à la coopération entre les États membres au sein du marché unique.</w:t>
            </w:r>
          </w:p>
        </w:tc>
        <w:tc>
          <w:tcPr>
            <w:tcW w:w="4876" w:type="dxa"/>
            <w:hideMark/>
          </w:tcPr>
          <w:p w:rsidR="00E56EEB" w:rsidRPr="00F71B6F" w:rsidRDefault="00246AA0" w:rsidP="000D1F15">
            <w:pPr>
              <w:pStyle w:val="Normal6"/>
              <w:rPr>
                <w:szCs w:val="24"/>
              </w:rPr>
            </w:pPr>
            <w:r w:rsidRPr="00F71B6F">
              <w:t>(27)</w:t>
            </w:r>
            <w:r w:rsidRPr="00F71B6F">
              <w:tab/>
              <w:t xml:space="preserve">Dans le même temps, afin d’éviter la fraude ou la falsification, il devrait être possible pour les autorités de l’État membre dans lequel l’acte </w:t>
            </w:r>
            <w:r w:rsidRPr="00F71B6F">
              <w:rPr>
                <w:b/>
                <w:i/>
              </w:rPr>
              <w:t xml:space="preserve">de la société </w:t>
            </w:r>
            <w:r w:rsidRPr="00F71B6F">
              <w:t xml:space="preserve">ou les informations </w:t>
            </w:r>
            <w:r w:rsidRPr="00F71B6F">
              <w:rPr>
                <w:b/>
                <w:i/>
              </w:rPr>
              <w:t>qu’il contient</w:t>
            </w:r>
            <w:r w:rsidRPr="00F71B6F">
              <w:t xml:space="preserve"> sont présentés, lorsqu’elles ont un doute raisonnable quant à leur authenticité</w:t>
            </w:r>
            <w:r w:rsidRPr="00F71B6F">
              <w:rPr>
                <w:b/>
                <w:i/>
              </w:rPr>
              <w:t xml:space="preserve"> et leur exactitude</w:t>
            </w:r>
            <w:r w:rsidRPr="00F71B6F">
              <w:t>, de vérifier l’acte ou les informations par l’intermédiaire du registre émetteur ou du registre de leur propre État membre, qui pourraient échanger des informations sur l’authenticité de l’acte au moyen du système d’interconnexion des registres. Cet échange d’informations devrait contribuer à la confiance mutuelle et à la coopération entre les États membres au sein du marché unique.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30</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(30)</w:t>
            </w:r>
            <w:r w:rsidRPr="00F71B6F">
              <w:tab/>
              <w:t>Afin d’aider les sociétés, et en particulier les PME, à étendre plus aisément leurs activités commerciales au-delà des frontières, le principe «une fois pour toutes» devrait être développé davantage dans les cas où les sociétés immatriculent des succursales dans un autre État membre. Les informations relatives à la société immatriculant la succursale transfrontalière devraient être extraites par voie électronique du registre de la société par le registre de la succursale au moyen du système d’interconnexion des registres. Cet échange d’informations, comme tout autre échange d’informations entre les registres au moyen du système d’interconnexion des registres, se fera par transmission sécurisée entre les registres nationaux, ce qui garantira que les informations sont fiables et ne devraient pas être certifiées ou faire l’objet d’une légalisation ou d’une formalité similaire.</w:t>
            </w:r>
          </w:p>
        </w:tc>
        <w:tc>
          <w:tcPr>
            <w:tcW w:w="4876" w:type="dxa"/>
            <w:hideMark/>
          </w:tcPr>
          <w:p w:rsidR="00E56EEB" w:rsidRPr="00F71B6F" w:rsidRDefault="00246AA0" w:rsidP="000D1F15">
            <w:pPr>
              <w:pStyle w:val="Normal6"/>
              <w:rPr>
                <w:szCs w:val="24"/>
              </w:rPr>
            </w:pPr>
            <w:r w:rsidRPr="00F71B6F">
              <w:t>(30)</w:t>
            </w:r>
            <w:r w:rsidRPr="00F71B6F">
              <w:tab/>
              <w:t>Afin d’aider les sociétés, et en particulier les PME, à étendre plus aisément leurs activités commerciales au-delà des frontières, le principe «une fois pour toutes» devrait être développé davantage dans les cas où les sociétés immatriculent des succursales dans un autre État membre. Les informations relatives à la société immatriculant la succursale transfrontalière devraient être extraites par voie électronique du registre de la société par le registre de la succursale au moyen du système d’interconnexion des registres</w:t>
            </w:r>
            <w:r w:rsidRPr="00F71B6F">
              <w:rPr>
                <w:b/>
                <w:i/>
              </w:rPr>
              <w:t>; toutefois, il devrait être possible d’utiliser d’autres moyens pour échanger des documents et des informations, parallèlement à l’utilisation de moyens électroniques</w:t>
            </w:r>
            <w:r w:rsidRPr="00F71B6F">
              <w:t xml:space="preserve">. Cet échange d’informations, comme tout autre échange d’informations entre les registres au moyen du système d’interconnexion des registres, se fera par transmission sécurisée entre les registres nationaux, ce qui garantira que les informations sont fiables et ne devraient pas être certifiées ou faire l’objet d’une légalisation ou d’une formalité similaire. </w:t>
            </w:r>
            <w:r w:rsidRPr="00F71B6F">
              <w:rPr>
                <w:b/>
                <w:i/>
              </w:rPr>
              <w:t>L’effet juridique et la recevabilité des documents et informations communiqués par voie électronique au moyen du système d’interconnexion des registres ne devraient pas être refusés au seul motif qu’ils se présentent sous une forme électronique. Ils devraient avoir la même valeur juridique que celle prévue par le registre de l’État membre dans lequel la société concernée est immatriculée.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Considérant 38</w:t>
      </w:r>
      <w:r w:rsidRPr="00F71B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(38)</w:t>
            </w:r>
            <w:r w:rsidRPr="00F71B6F">
              <w:tab/>
              <w:t>La Commission devrait procéder à une évaluation de la présente directive. Conformément au point 22 de l’accord interinstitutionnel du 13 avril 2016 «Mieux légiférer», cette évaluation devrait être fondée sur cinq critères — l’efficacité, l’effectivité, la pertinence, la cohérence et la valeur ajoutée — et elle devrait servir de base aux analyses d’impact d’éventuelles mesures supplémentaires. L’évaluation devrait porter sur l’expérience pratique acquise avec le certificat d’entreprise de l’UE, la procuration numérique de l’UE et la réduction des formalités dans les situations transfrontalières pour les entreprises. En outre, la Commission devrait évaluer le potentiel d’interopérabilité transsectorielle entre le système d’interconnexion des registres (BRIS) et d’autres systèmes prévoyant des mécanismes de coopération entre les autorités compétentes, par exemple dans les domaines de la fiscalité ou de la sécurité sociale ou du système technique «une fois pour toutes» établi en vertu du règlement (UE) 2018/1724 du Parlement européen et du Conseil</w:t>
            </w:r>
            <w:r w:rsidRPr="00F71B6F">
              <w:rPr>
                <w:vertAlign w:val="superscript"/>
              </w:rPr>
              <w:t>64</w:t>
            </w:r>
            <w:r w:rsidRPr="00F71B6F">
              <w:t>, dans le but de créer des administrations publiques plus connectées par-delà les frontières dans le marché unique</w:t>
            </w:r>
            <w:r w:rsidRPr="00F71B6F">
              <w:rPr>
                <w:vertAlign w:val="superscript"/>
              </w:rPr>
              <w:t>65</w:t>
            </w:r>
            <w:r w:rsidRPr="00F71B6F">
              <w:t>. Enfin, la Commission devrait également évaluer la nécessité d’introduire des mesures supplémentaires pour répondre pleinement aux besoins des personnes handicapées lorsqu’elles accèdent aux informations sur les sociétés fournies par les registres du commerce.</w:t>
            </w:r>
          </w:p>
        </w:tc>
        <w:tc>
          <w:tcPr>
            <w:tcW w:w="4876" w:type="dxa"/>
            <w:hideMark/>
          </w:tcPr>
          <w:p w:rsidR="00E56EEB" w:rsidRPr="00F71B6F" w:rsidRDefault="00246AA0" w:rsidP="000D1F15">
            <w:pPr>
              <w:pStyle w:val="Normal6"/>
              <w:rPr>
                <w:szCs w:val="24"/>
              </w:rPr>
            </w:pPr>
            <w:r w:rsidRPr="00F71B6F">
              <w:t>(38)</w:t>
            </w:r>
            <w:r w:rsidRPr="00F71B6F">
              <w:tab/>
              <w:t>La Commission devrait procéder à une évaluation de la présente directive</w:t>
            </w:r>
            <w:r w:rsidRPr="00F71B6F">
              <w:rPr>
                <w:b/>
                <w:i/>
              </w:rPr>
              <w:t xml:space="preserve"> dans un délai de cinq ans à compter de la fin de sa période de transposition</w:t>
            </w:r>
            <w:r w:rsidRPr="00F71B6F">
              <w:t>. Conformément au point 22 de l’accord interinstitutionnel du 13 avril 2016 «Mieux légiférer», cette évaluation devrait être fondée sur cinq critères — l’efficacité, l’effectivité, la pertinence, la cohérence et la valeur ajoutée — et elle devrait servir de base aux analyses d’impact d’éventuelles mesures supplémentaires. L’évaluation devrait porter sur l’expérience pratique acquise avec le certificat d’entreprise de l’UE, la procuration numérique de l’UE et la réduction des formalités dans les situations transfrontalières pour les entreprises. En outre, la Commission devrait évaluer le potentiel d’interopérabilité transsectorielle entre le système d’interconnexion des registres (BRIS) et d’autres systèmes prévoyant des mécanismes de coopération entre les autorités compétentes, par exemple dans les domaines de la fiscalité ou de la sécurité sociale ou du système technique «une fois pour toutes» établi en vertu du règlement (UE) 2018/1724 du Parlement européen et du Conseil</w:t>
            </w:r>
            <w:r w:rsidRPr="00F71B6F">
              <w:rPr>
                <w:vertAlign w:val="superscript"/>
              </w:rPr>
              <w:t>64</w:t>
            </w:r>
            <w:r w:rsidRPr="00F71B6F">
              <w:t>, dans le but de créer des administrations publiques plus connectées par-delà les frontières dans le marché unique</w:t>
            </w:r>
            <w:r w:rsidRPr="00F71B6F">
              <w:rPr>
                <w:vertAlign w:val="superscript"/>
              </w:rPr>
              <w:t>65</w:t>
            </w:r>
            <w:r w:rsidRPr="00F71B6F">
              <w:t>. Enfin, la Commission devrait également évaluer la nécessité d’introduire des mesures supplémentaires pour répondre pleinement aux besoins des personnes handicapées lorsqu’elles accèdent aux informations sur les sociétés fournies par les registres du commerce.</w:t>
            </w:r>
          </w:p>
        </w:tc>
      </w:tr>
      <w:tr w:rsidR="00246AA0" w:rsidRPr="00F71B6F" w:rsidTr="000D1F15">
        <w:trPr>
          <w:jc w:val="center"/>
        </w:trPr>
        <w:tc>
          <w:tcPr>
            <w:tcW w:w="4876" w:type="dxa"/>
            <w:hideMark/>
          </w:tcPr>
          <w:p w:rsidR="00E56EEB" w:rsidRPr="00F71B6F" w:rsidRDefault="00246AA0" w:rsidP="000D1F15">
            <w:pPr>
              <w:pStyle w:val="Normal6"/>
            </w:pPr>
            <w:r w:rsidRPr="00F71B6F">
              <w:t>__________________</w:t>
            </w:r>
          </w:p>
        </w:tc>
        <w:tc>
          <w:tcPr>
            <w:tcW w:w="4876" w:type="dxa"/>
            <w:hideMark/>
          </w:tcPr>
          <w:p w:rsidR="00E56EEB" w:rsidRPr="00F71B6F" w:rsidRDefault="00246AA0" w:rsidP="000D1F15">
            <w:pPr>
              <w:pStyle w:val="Normal6"/>
              <w:rPr>
                <w:szCs w:val="24"/>
              </w:rPr>
            </w:pPr>
            <w:r w:rsidRPr="00F71B6F">
              <w:t>__________________</w:t>
            </w:r>
          </w:p>
        </w:tc>
      </w:tr>
      <w:tr w:rsidR="00246AA0" w:rsidRPr="00F71B6F" w:rsidTr="000D1F15">
        <w:trPr>
          <w:jc w:val="center"/>
        </w:trPr>
        <w:tc>
          <w:tcPr>
            <w:tcW w:w="4876" w:type="dxa"/>
            <w:hideMark/>
          </w:tcPr>
          <w:p w:rsidR="00E56EEB" w:rsidRPr="00F71B6F" w:rsidRDefault="00246AA0" w:rsidP="000D1F15">
            <w:pPr>
              <w:pStyle w:val="Normal6"/>
            </w:pPr>
            <w:r w:rsidRPr="00F71B6F">
              <w:rPr>
                <w:vertAlign w:val="superscript"/>
              </w:rPr>
              <w:t>64</w:t>
            </w:r>
            <w:r w:rsidRPr="00F71B6F">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tc>
        <w:tc>
          <w:tcPr>
            <w:tcW w:w="4876" w:type="dxa"/>
            <w:hideMark/>
          </w:tcPr>
          <w:p w:rsidR="00E56EEB" w:rsidRPr="00F71B6F" w:rsidRDefault="00246AA0" w:rsidP="000D1F15">
            <w:pPr>
              <w:pStyle w:val="Normal6"/>
              <w:rPr>
                <w:szCs w:val="24"/>
              </w:rPr>
            </w:pPr>
            <w:r w:rsidRPr="00F71B6F">
              <w:rPr>
                <w:vertAlign w:val="superscript"/>
              </w:rPr>
              <w:t>64</w:t>
            </w:r>
            <w:r w:rsidRPr="00F71B6F">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tc>
      </w:tr>
      <w:tr w:rsidR="00246AA0" w:rsidRPr="00F71B6F" w:rsidTr="000D1F15">
        <w:trPr>
          <w:jc w:val="center"/>
        </w:trPr>
        <w:tc>
          <w:tcPr>
            <w:tcW w:w="4876" w:type="dxa"/>
            <w:hideMark/>
          </w:tcPr>
          <w:p w:rsidR="00E56EEB" w:rsidRPr="00F71B6F" w:rsidRDefault="00246AA0" w:rsidP="000D1F15">
            <w:pPr>
              <w:pStyle w:val="Normal6"/>
            </w:pPr>
            <w:r w:rsidRPr="00F71B6F">
              <w:rPr>
                <w:vertAlign w:val="superscript"/>
              </w:rPr>
              <w:t>65</w:t>
            </w:r>
            <w:r w:rsidRPr="00F71B6F">
              <w:t xml:space="preserve"> Voir également la proposition de règlement du Parlement européen et du Conseil établissant des mesures destinées à assurer un niveau élevé d’interopérabilité du secteur public dans l’ensemble de l’Union (règlement pour une Europe interopérable) [COM(2022) 720 final] et la communication sur le renforcement de la politique sur l’interopérabilité du secteur public - Relier les services publics, soutenir les politiques publiques et créer un bénéfice public - Vers une «Europe interopérable» [COM(2022) 710 final].</w:t>
            </w:r>
          </w:p>
        </w:tc>
        <w:tc>
          <w:tcPr>
            <w:tcW w:w="4876" w:type="dxa"/>
            <w:hideMark/>
          </w:tcPr>
          <w:p w:rsidR="00E56EEB" w:rsidRPr="00F71B6F" w:rsidRDefault="00246AA0" w:rsidP="000D1F15">
            <w:pPr>
              <w:pStyle w:val="Normal6"/>
              <w:rPr>
                <w:szCs w:val="24"/>
              </w:rPr>
            </w:pPr>
            <w:r w:rsidRPr="00F71B6F">
              <w:rPr>
                <w:vertAlign w:val="superscript"/>
              </w:rPr>
              <w:t>65</w:t>
            </w:r>
            <w:r w:rsidRPr="00F71B6F">
              <w:t xml:space="preserve"> Voir également la proposition de règlement du Parlement européen et du Conseil établissant des mesures destinées à assurer un niveau élevé d’interopérabilité du secteur public dans l’ensemble de l’Union (règlement pour une Europe interopérable) [COM(2022) 720 final] et la communication sur le renforcement de la politique sur l’interopérabilité du secteur public - Relier les services publics, soutenir les politiques publiques et créer un bénéfice public - Vers une «Europe interopérable» [COM(2022) 710 final].</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5</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10 – paragraphe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1.</w:t>
            </w:r>
            <w:r w:rsidRPr="00F71B6F">
              <w:tab/>
              <w:t xml:space="preserve">Lors de la constitution d'une société, les États membres prévoient un contrôle préventif administratif ou </w:t>
            </w:r>
            <w:r w:rsidRPr="00F71B6F">
              <w:rPr>
                <w:b/>
                <w:i/>
              </w:rPr>
              <w:t>judiciaire</w:t>
            </w:r>
            <w:r w:rsidRPr="00F71B6F">
              <w:t xml:space="preserve"> de </w:t>
            </w:r>
            <w:r w:rsidRPr="00F71B6F">
              <w:rPr>
                <w:b/>
                <w:i/>
              </w:rPr>
              <w:t>l'acte</w:t>
            </w:r>
            <w:r w:rsidRPr="00F71B6F">
              <w:t xml:space="preserve"> constitutif, des statuts de la société ainsi que des modifications de ces actes. </w:t>
            </w:r>
            <w:r w:rsidRPr="00F71B6F">
              <w:rPr>
                <w:b/>
                <w:i/>
              </w:rPr>
              <w:t>Les</w:t>
            </w:r>
            <w:r w:rsidRPr="00F71B6F">
              <w:t xml:space="preserve"> États membres</w:t>
            </w:r>
            <w:r w:rsidRPr="00F71B6F">
              <w:rPr>
                <w:b/>
                <w:i/>
              </w:rPr>
              <w:t xml:space="preserve"> peuvent prévoir</w:t>
            </w:r>
            <w:r w:rsidRPr="00F71B6F">
              <w:t xml:space="preserve"> que ces actes </w:t>
            </w:r>
            <w:r w:rsidRPr="00F71B6F">
              <w:rPr>
                <w:b/>
                <w:i/>
              </w:rPr>
              <w:t>sont</w:t>
            </w:r>
            <w:r w:rsidRPr="00F71B6F">
              <w:t xml:space="preserve"> établis par acte authentique.</w:t>
            </w:r>
          </w:p>
        </w:tc>
        <w:tc>
          <w:tcPr>
            <w:tcW w:w="4876" w:type="dxa"/>
            <w:hideMark/>
          </w:tcPr>
          <w:p w:rsidR="00E56EEB" w:rsidRPr="00F71B6F" w:rsidRDefault="00246AA0" w:rsidP="000D1F15">
            <w:pPr>
              <w:pStyle w:val="Normal6"/>
              <w:rPr>
                <w:szCs w:val="24"/>
              </w:rPr>
            </w:pPr>
            <w:r w:rsidRPr="00F71B6F">
              <w:t>1.</w:t>
            </w:r>
            <w:r w:rsidRPr="00F71B6F">
              <w:tab/>
              <w:t>Lors de la constitution d’une société, les États membres prévoient un contrôle préventif administratif</w:t>
            </w:r>
            <w:r w:rsidRPr="00F71B6F">
              <w:rPr>
                <w:b/>
                <w:i/>
              </w:rPr>
              <w:t>, judiciaire, notarial,</w:t>
            </w:r>
            <w:r w:rsidRPr="00F71B6F">
              <w:t xml:space="preserve"> ou </w:t>
            </w:r>
            <w:r w:rsidRPr="00F71B6F">
              <w:rPr>
                <w:b/>
                <w:i/>
              </w:rPr>
              <w:t>toute combinaison</w:t>
            </w:r>
            <w:r w:rsidRPr="00F71B6F">
              <w:t xml:space="preserve"> de </w:t>
            </w:r>
            <w:r w:rsidRPr="00F71B6F">
              <w:rPr>
                <w:b/>
                <w:i/>
              </w:rPr>
              <w:t>ces types de contrôles, de l’acte</w:t>
            </w:r>
            <w:r w:rsidRPr="00F71B6F">
              <w:t xml:space="preserve"> constitutif, des statuts de la société ainsi que des modifications de ces actes. </w:t>
            </w:r>
            <w:r w:rsidRPr="00F71B6F">
              <w:rPr>
                <w:b/>
                <w:i/>
              </w:rPr>
              <w:t>Ce contrôle est sans préjudice des lois nationales, qui, conformément aux systèmes juridiques des</w:t>
            </w:r>
            <w:r w:rsidRPr="00F71B6F">
              <w:t xml:space="preserve"> États membres</w:t>
            </w:r>
            <w:r w:rsidRPr="00F71B6F">
              <w:rPr>
                <w:b/>
                <w:i/>
              </w:rPr>
              <w:t>, imposent</w:t>
            </w:r>
            <w:r w:rsidRPr="00F71B6F">
              <w:t xml:space="preserve"> que ces actes </w:t>
            </w:r>
            <w:r w:rsidRPr="00F71B6F">
              <w:rPr>
                <w:b/>
                <w:i/>
              </w:rPr>
              <w:t>soient</w:t>
            </w:r>
            <w:r w:rsidRPr="00F71B6F">
              <w:t xml:space="preserve"> établis par acte authentique.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5</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10 – paragraphe 2 – alinéa 2 – point c</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c)</w:t>
            </w:r>
            <w:r w:rsidRPr="00F71B6F">
              <w:tab/>
            </w:r>
            <w:r w:rsidRPr="00F71B6F">
              <w:rPr>
                <w:b/>
                <w:i/>
              </w:rPr>
              <w:t>qu’il n’y a pas d'irrégularités</w:t>
            </w:r>
            <w:r w:rsidRPr="00F71B6F">
              <w:t xml:space="preserve"> juridiques de fond </w:t>
            </w:r>
            <w:r w:rsidRPr="00F71B6F">
              <w:rPr>
                <w:b/>
                <w:i/>
              </w:rPr>
              <w:t>évidentes</w:t>
            </w:r>
            <w:r w:rsidRPr="00F71B6F">
              <w:t>; et</w:t>
            </w:r>
          </w:p>
        </w:tc>
        <w:tc>
          <w:tcPr>
            <w:tcW w:w="4876" w:type="dxa"/>
            <w:hideMark/>
          </w:tcPr>
          <w:p w:rsidR="00E56EEB" w:rsidRPr="00F71B6F" w:rsidRDefault="00246AA0" w:rsidP="000D1F15">
            <w:pPr>
              <w:pStyle w:val="Normal6"/>
              <w:rPr>
                <w:szCs w:val="24"/>
              </w:rPr>
            </w:pPr>
            <w:r w:rsidRPr="00F71B6F">
              <w:t>c)</w:t>
            </w:r>
            <w:r w:rsidRPr="00F71B6F">
              <w:tab/>
            </w:r>
            <w:r w:rsidRPr="00F71B6F">
              <w:rPr>
                <w:b/>
                <w:i/>
              </w:rPr>
              <w:t>que les exigences</w:t>
            </w:r>
            <w:r w:rsidRPr="00F71B6F">
              <w:t xml:space="preserve"> juridiques de fond </w:t>
            </w:r>
            <w:r w:rsidRPr="00F71B6F">
              <w:rPr>
                <w:b/>
                <w:i/>
              </w:rPr>
              <w:t>sont respectées</w:t>
            </w:r>
            <w:r w:rsidRPr="00F71B6F">
              <w:t>; et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17</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5</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10 – paragraphe 2 – alinéa 3</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rPr>
                <w:b/>
                <w:i/>
              </w:rPr>
              <w:t>Lorsque, pour la constitution des sociétés figurant à l’annexe II ter, le droit national n’exige pas l’établissement d’actes constitutifs et de statuts, la procédure de contrôle de la légalité comprend le contrôle sur la forme et sur le fond des actes requis par le droit national pour la constitution de ces sociétés.</w:t>
            </w:r>
          </w:p>
        </w:tc>
        <w:tc>
          <w:tcPr>
            <w:tcW w:w="4876" w:type="dxa"/>
            <w:hideMark/>
          </w:tcPr>
          <w:p w:rsidR="00E56EEB" w:rsidRPr="00F71B6F" w:rsidRDefault="00246AA0" w:rsidP="000D1F15">
            <w:pPr>
              <w:pStyle w:val="Normal6"/>
              <w:rPr>
                <w:szCs w:val="24"/>
              </w:rPr>
            </w:pPr>
            <w:r w:rsidRPr="00F71B6F">
              <w:rPr>
                <w:b/>
                <w:i/>
              </w:rPr>
              <w:t>supprimé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18</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5</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10 – paragraphe 3</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3.</w:t>
            </w:r>
            <w:r w:rsidRPr="00F71B6F">
              <w:tab/>
              <w:t>Les États membres peuvent déroger à l’obligation d’effectuer le contrôle de légalité prévu au paragraphe</w:t>
            </w:r>
            <w:r w:rsidRPr="00F71B6F">
              <w:rPr>
                <w:b/>
                <w:i/>
              </w:rPr>
              <w:t xml:space="preserve"> </w:t>
            </w:r>
            <w:r w:rsidRPr="00F71B6F">
              <w:t xml:space="preserve">2, </w:t>
            </w:r>
            <w:r w:rsidRPr="00F71B6F">
              <w:rPr>
                <w:b/>
                <w:i/>
              </w:rPr>
              <w:t xml:space="preserve">points </w:t>
            </w:r>
            <w:r w:rsidRPr="00F71B6F">
              <w:t>b</w:t>
            </w:r>
            <w:r w:rsidRPr="00F71B6F">
              <w:rPr>
                <w:b/>
                <w:i/>
              </w:rPr>
              <w:t>) et c</w:t>
            </w:r>
            <w:r w:rsidRPr="00F71B6F">
              <w:t>), du présent article lorsque les demandeurs utilisent les modèles visés à l’article 13 nonies.</w:t>
            </w:r>
          </w:p>
        </w:tc>
        <w:tc>
          <w:tcPr>
            <w:tcW w:w="4876" w:type="dxa"/>
            <w:hideMark/>
          </w:tcPr>
          <w:p w:rsidR="00E56EEB" w:rsidRPr="00F71B6F" w:rsidRDefault="00246AA0" w:rsidP="000D1F15">
            <w:pPr>
              <w:pStyle w:val="Normal6"/>
              <w:rPr>
                <w:szCs w:val="24"/>
              </w:rPr>
            </w:pPr>
            <w:r w:rsidRPr="00F71B6F">
              <w:t>3.</w:t>
            </w:r>
            <w:r w:rsidRPr="00F71B6F">
              <w:tab/>
              <w:t>Les États membres peuvent déroger à l’obligation d’effectuer le contrôle de légalité prévu au paragraphe</w:t>
            </w:r>
            <w:r w:rsidRPr="00F71B6F">
              <w:rPr>
                <w:b/>
                <w:i/>
              </w:rPr>
              <w:t> </w:t>
            </w:r>
            <w:r w:rsidRPr="00F71B6F">
              <w:t xml:space="preserve">2, </w:t>
            </w:r>
            <w:r w:rsidRPr="00F71B6F">
              <w:rPr>
                <w:b/>
                <w:i/>
              </w:rPr>
              <w:t>point </w:t>
            </w:r>
            <w:r w:rsidRPr="00F71B6F">
              <w:t>b), du présent article lorsque les demandeurs utilisent les modèles visés à l’article 13 nonies.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19</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5</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10 – paragraphe 4 – alinéa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règles énoncées à l’article 13, paragraphe </w:t>
            </w:r>
            <w:r w:rsidRPr="00F71B6F">
              <w:rPr>
                <w:b/>
                <w:i/>
              </w:rPr>
              <w:t>4</w:t>
            </w:r>
            <w:r w:rsidRPr="00F71B6F">
              <w:t xml:space="preserve">, points </w:t>
            </w:r>
            <w:r w:rsidRPr="00F71B6F">
              <w:rPr>
                <w:b/>
                <w:i/>
              </w:rPr>
              <w:t>b</w:t>
            </w:r>
            <w:r w:rsidRPr="00F71B6F">
              <w:t xml:space="preserve">) et </w:t>
            </w:r>
            <w:r w:rsidRPr="00F71B6F">
              <w:rPr>
                <w:b/>
                <w:i/>
              </w:rPr>
              <w:t>c</w:t>
            </w:r>
            <w:r w:rsidRPr="00F71B6F">
              <w:t xml:space="preserve">), à l’article 13, </w:t>
            </w:r>
            <w:r w:rsidRPr="00F71B6F">
              <w:rPr>
                <w:b/>
                <w:i/>
              </w:rPr>
              <w:t>paragraphes</w:t>
            </w:r>
            <w:r w:rsidRPr="00F71B6F">
              <w:t> </w:t>
            </w:r>
            <w:r w:rsidRPr="00F71B6F">
              <w:rPr>
                <w:b/>
                <w:i/>
              </w:rPr>
              <w:t>5</w:t>
            </w:r>
            <w:r w:rsidRPr="00F71B6F">
              <w:t xml:space="preserve"> et</w:t>
            </w:r>
            <w:r w:rsidRPr="00F71B6F">
              <w:rPr>
                <w:b/>
                <w:i/>
              </w:rPr>
              <w:t xml:space="preserve"> 7</w:t>
            </w:r>
            <w:r w:rsidRPr="00F71B6F">
              <w:t xml:space="preserve">, et à l’article 13 octies, </w:t>
            </w:r>
            <w:r w:rsidRPr="00F71B6F">
              <w:rPr>
                <w:b/>
                <w:i/>
              </w:rPr>
              <w:t>paragraphe</w:t>
            </w:r>
            <w:r w:rsidRPr="00F71B6F">
              <w:t> </w:t>
            </w:r>
            <w:r w:rsidRPr="00F71B6F">
              <w:rPr>
                <w:b/>
                <w:i/>
              </w:rPr>
              <w:t>3, points a), d), e)</w:t>
            </w:r>
            <w:r w:rsidRPr="00F71B6F">
              <w:t xml:space="preserve"> et </w:t>
            </w:r>
            <w:r w:rsidRPr="00F71B6F">
              <w:rPr>
                <w:b/>
                <w:i/>
              </w:rPr>
              <w:t>f)</w:t>
            </w:r>
            <w:r w:rsidRPr="00F71B6F">
              <w:t>, s’appliquent mutatis mutandis aux autres formes de constitution des sociétés figurant aux annexes II et II ter qui ne sont pas entièrement en ligne.</w:t>
            </w:r>
          </w:p>
        </w:tc>
        <w:tc>
          <w:tcPr>
            <w:tcW w:w="4876" w:type="dxa"/>
            <w:hideMark/>
          </w:tcPr>
          <w:p w:rsidR="00E56EEB" w:rsidRPr="00F71B6F" w:rsidRDefault="00246AA0" w:rsidP="000D1F15">
            <w:pPr>
              <w:pStyle w:val="Normal6"/>
              <w:rPr>
                <w:szCs w:val="24"/>
              </w:rPr>
            </w:pPr>
            <w:r w:rsidRPr="00F71B6F">
              <w:t>Les règles énoncées à l’article</w:t>
            </w:r>
            <w:r w:rsidRPr="00F71B6F">
              <w:rPr>
                <w:b/>
                <w:i/>
              </w:rPr>
              <w:t xml:space="preserve"> 13 quater, à l’article</w:t>
            </w:r>
            <w:r w:rsidRPr="00F71B6F">
              <w:t> 13</w:t>
            </w:r>
            <w:r w:rsidRPr="00F71B6F">
              <w:rPr>
                <w:b/>
                <w:i/>
              </w:rPr>
              <w:t> octies</w:t>
            </w:r>
            <w:r w:rsidRPr="00F71B6F">
              <w:t>, paragraphe </w:t>
            </w:r>
            <w:r w:rsidRPr="00F71B6F">
              <w:rPr>
                <w:b/>
                <w:i/>
              </w:rPr>
              <w:t>3</w:t>
            </w:r>
            <w:r w:rsidRPr="00F71B6F">
              <w:t xml:space="preserve">, points </w:t>
            </w:r>
            <w:r w:rsidRPr="00F71B6F">
              <w:rPr>
                <w:b/>
                <w:i/>
              </w:rPr>
              <w:t>a), d), e</w:t>
            </w:r>
            <w:r w:rsidRPr="00F71B6F">
              <w:t xml:space="preserve">) et </w:t>
            </w:r>
            <w:r w:rsidRPr="00F71B6F">
              <w:rPr>
                <w:b/>
                <w:i/>
              </w:rPr>
              <w:t>f</w:t>
            </w:r>
            <w:r w:rsidRPr="00F71B6F">
              <w:t>), à l’article 13</w:t>
            </w:r>
            <w:r w:rsidRPr="00F71B6F">
              <w:rPr>
                <w:b/>
                <w:i/>
              </w:rPr>
              <w:t> octies, paragraphe 4</w:t>
            </w:r>
            <w:r w:rsidRPr="00F71B6F">
              <w:t xml:space="preserve">, </w:t>
            </w:r>
            <w:r w:rsidRPr="00F71B6F">
              <w:rPr>
                <w:b/>
                <w:i/>
              </w:rPr>
              <w:t>points</w:t>
            </w:r>
            <w:r w:rsidRPr="00F71B6F">
              <w:t> </w:t>
            </w:r>
            <w:r w:rsidRPr="00F71B6F">
              <w:rPr>
                <w:b/>
                <w:i/>
              </w:rPr>
              <w:t>b)</w:t>
            </w:r>
            <w:r w:rsidRPr="00F71B6F">
              <w:t xml:space="preserve"> et</w:t>
            </w:r>
            <w:r w:rsidRPr="00F71B6F">
              <w:rPr>
                <w:b/>
                <w:i/>
              </w:rPr>
              <w:t> c)</w:t>
            </w:r>
            <w:r w:rsidRPr="00F71B6F">
              <w:t xml:space="preserve">, et à l’article 13 octies, </w:t>
            </w:r>
            <w:r w:rsidRPr="00F71B6F">
              <w:rPr>
                <w:b/>
                <w:i/>
              </w:rPr>
              <w:t>paragraphes</w:t>
            </w:r>
            <w:r w:rsidRPr="00F71B6F">
              <w:t> </w:t>
            </w:r>
            <w:r w:rsidRPr="00F71B6F">
              <w:rPr>
                <w:b/>
                <w:i/>
              </w:rPr>
              <w:t>5</w:t>
            </w:r>
            <w:r w:rsidRPr="00F71B6F">
              <w:t xml:space="preserve"> et </w:t>
            </w:r>
            <w:r w:rsidRPr="00F71B6F">
              <w:rPr>
                <w:b/>
                <w:i/>
              </w:rPr>
              <w:t>7</w:t>
            </w:r>
            <w:r w:rsidRPr="00F71B6F">
              <w:t>, s’appliquent mutatis mutandis aux autres formes de constitution des sociétés figurant aux annexes II et II ter qui ne sont pas entièrement en ligne.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20</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12 – sous-point a</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13 octies – paragraphe 2 bis – alinéa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veillent à ce que lorsqu’une société figurant à l’annexe II ou II ter constitue une société dans un autre État membre, le registre de l’État membre où est constituée la société doit récupérer, grâce au système d'interconnexion des registres visé à l’article 22, les actes et informations sur la société fondatrice utiles à la procédure de constitution et disponibles dans le registre de l’État membre où ladite société est immatriculée, et la société n’est pas tenue de fournir ces actes ou ces informations. Le registre peut également récupérer le certificat d’entreprise de l’UE en vertu de l’article 16 ter.</w:t>
            </w:r>
          </w:p>
        </w:tc>
        <w:tc>
          <w:tcPr>
            <w:tcW w:w="4876" w:type="dxa"/>
            <w:hideMark/>
          </w:tcPr>
          <w:p w:rsidR="00E56EEB" w:rsidRPr="00F71B6F" w:rsidRDefault="00246AA0" w:rsidP="000D1F15">
            <w:pPr>
              <w:pStyle w:val="Normal6"/>
              <w:rPr>
                <w:szCs w:val="24"/>
              </w:rPr>
            </w:pPr>
            <w:r w:rsidRPr="00F71B6F">
              <w:t xml:space="preserve">Les États membres veillent à ce que lorsqu’une société figurant à l’annexe II ou II ter constitue une société dans un autre État membre, le registre de l’État membre où est constituée la société doit récupérer, grâce au système d'interconnexion des registres visé à l’article 22, les actes et informations sur la société fondatrice utiles à la procédure de constitution et disponibles dans le registre de l’État membre où ladite société est immatriculée, et la société n’est pas tenue de fournir ces actes ou ces informations. Le registre peut également récupérer le certificat d’entreprise de l’UE en vertu de l’article 16 ter. </w:t>
            </w:r>
            <w:r w:rsidRPr="00F71B6F">
              <w:rPr>
                <w:b/>
                <w:i/>
              </w:rPr>
              <w:t>Le registre peut néanmoins utiliser d’autres moyens pour récupérer les documents et informations concernant la société fondatrice, parallèlement à l’utilisation du système d’interconnexion des registres visé à l’article 22.</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21</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12 – sous-point a</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13 octies – paragraphe 2 bis – alinéa 3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L’effet juridique et la recevabilité des documents et des informations communiqués par voie électronique au moyen du système d’interconnexion des registres ne peuvent être refusés au seul motif qu’ils se présentent sous une forme électronique. Ils ont la même valeur juridique que celle prévue par le registre de l’État membre dans lequel la société concernée est immatriculée.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15 – sous-point b</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 paragraphe 2 – point m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m bis)</w:t>
            </w:r>
            <w:r w:rsidRPr="00F71B6F">
              <w:rPr>
                <w:b/>
                <w:i/>
              </w:rPr>
              <w:tab/>
              <w:t>l’objet et les secteurs d’activité de la société, en ayant recours à la nomenclature statistique des activités économiques de la Communauté européenne (NACE), dans la mesure où ces codes sont utilisés conformément à la législation applicable d’un État membre;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bis – alinéa 1 – point f</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f)</w:t>
            </w:r>
            <w:r w:rsidRPr="00F71B6F">
              <w:tab/>
              <w:t>le montant total des contributions des associés;</w:t>
            </w:r>
          </w:p>
        </w:tc>
        <w:tc>
          <w:tcPr>
            <w:tcW w:w="4876" w:type="dxa"/>
            <w:hideMark/>
          </w:tcPr>
          <w:p w:rsidR="00E56EEB" w:rsidRPr="00F71B6F" w:rsidRDefault="00246AA0" w:rsidP="000D1F15">
            <w:pPr>
              <w:pStyle w:val="Normal6"/>
              <w:rPr>
                <w:szCs w:val="24"/>
              </w:rPr>
            </w:pPr>
            <w:r w:rsidRPr="00F71B6F">
              <w:t>f)</w:t>
            </w:r>
            <w:r w:rsidRPr="00F71B6F">
              <w:tab/>
              <w:t>le montant total des contributions des associés</w:t>
            </w:r>
            <w:r w:rsidRPr="00F71B6F">
              <w:rPr>
                <w:b/>
                <w:i/>
              </w:rPr>
              <w:t>, et des informations sur les associés à responsabilité illimitée, indiquant que leur responsabilité est illimitée, ainsi que des informations sur les associés à responsabilité limitée, indiquant l’étendue maximale de leur responsabilité</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1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bis – alinéa 1 – point g</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g)</w:t>
            </w:r>
            <w:r w:rsidRPr="00F71B6F">
              <w:tab/>
              <w:t>l'acte constitutif, et les statuts s'ils figurent dans un acte distinct</w:t>
            </w:r>
            <w:r w:rsidRPr="00F71B6F">
              <w:rPr>
                <w:b/>
                <w:i/>
              </w:rPr>
              <w:t>, si ces actes sont exigés par le droit national</w:t>
            </w:r>
            <w:r w:rsidRPr="00F71B6F">
              <w:t>;</w:t>
            </w:r>
          </w:p>
        </w:tc>
        <w:tc>
          <w:tcPr>
            <w:tcW w:w="4876" w:type="dxa"/>
            <w:hideMark/>
          </w:tcPr>
          <w:p w:rsidR="00E56EEB" w:rsidRPr="00F71B6F" w:rsidRDefault="00246AA0" w:rsidP="000D1F15">
            <w:pPr>
              <w:pStyle w:val="Normal6"/>
              <w:rPr>
                <w:szCs w:val="24"/>
              </w:rPr>
            </w:pPr>
            <w:r w:rsidRPr="00F71B6F">
              <w:t>g)</w:t>
            </w:r>
            <w:r w:rsidRPr="00F71B6F">
              <w:tab/>
              <w:t>l’acte constitutif, et les statuts s’ils figurent dans un acte distinct;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ter – paragraphe 1 – point d</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d)</w:t>
            </w:r>
            <w:r w:rsidRPr="00F71B6F">
              <w:tab/>
              <w:t>la dénomination du groupe, si elle diffère de celle de la société mère ultime;</w:t>
            </w:r>
          </w:p>
        </w:tc>
        <w:tc>
          <w:tcPr>
            <w:tcW w:w="4876" w:type="dxa"/>
            <w:hideMark/>
          </w:tcPr>
          <w:p w:rsidR="00E56EEB" w:rsidRPr="00F71B6F" w:rsidRDefault="00246AA0" w:rsidP="000D1F15">
            <w:pPr>
              <w:pStyle w:val="Normal6"/>
              <w:rPr>
                <w:szCs w:val="24"/>
              </w:rPr>
            </w:pPr>
            <w:r w:rsidRPr="00F71B6F">
              <w:t>d)</w:t>
            </w:r>
            <w:r w:rsidRPr="00F71B6F">
              <w:tab/>
              <w:t xml:space="preserve">la dénomination du groupe, si elle </w:t>
            </w:r>
            <w:r w:rsidRPr="00F71B6F">
              <w:rPr>
                <w:b/>
                <w:i/>
              </w:rPr>
              <w:t xml:space="preserve">existe et si elle </w:t>
            </w:r>
            <w:r w:rsidRPr="00F71B6F">
              <w:t>diffère de celle de la société mère ultime;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ter – paragraphe 6</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6.</w:t>
            </w:r>
            <w:r w:rsidRPr="00F71B6F">
              <w:tab/>
              <w:t xml:space="preserve">La société mère ultime ou, le cas échéant, la société mère intermédiaire ou la filiale visées au paragraphe 2 actualisent </w:t>
            </w:r>
            <w:r w:rsidRPr="00F71B6F">
              <w:rPr>
                <w:b/>
                <w:i/>
              </w:rPr>
              <w:t xml:space="preserve">au moins </w:t>
            </w:r>
            <w:r w:rsidRPr="00F71B6F">
              <w:t xml:space="preserve">une fois par an, et </w:t>
            </w:r>
            <w:r w:rsidRPr="00F71B6F">
              <w:rPr>
                <w:b/>
                <w:i/>
              </w:rPr>
              <w:t xml:space="preserve">en tout état de cause </w:t>
            </w:r>
            <w:r w:rsidRPr="00F71B6F">
              <w:t xml:space="preserve">au plus tard à </w:t>
            </w:r>
            <w:r w:rsidRPr="00F71B6F">
              <w:rPr>
                <w:b/>
                <w:i/>
              </w:rPr>
              <w:t>la date</w:t>
            </w:r>
            <w:r w:rsidRPr="00F71B6F">
              <w:t xml:space="preserve"> de </w:t>
            </w:r>
            <w:r w:rsidRPr="00F71B6F">
              <w:rPr>
                <w:b/>
                <w:i/>
              </w:rPr>
              <w:t>publication</w:t>
            </w:r>
            <w:r w:rsidRPr="00F71B6F">
              <w:t xml:space="preserve"> des documents comptables et, si une telle publication n’est pas requise, avant la fin de l’exercice, les informations requises aux paragraphes 1 à 3, le cas échéant</w:t>
            </w:r>
            <w:r w:rsidRPr="00F71B6F">
              <w:rPr>
                <w:b/>
                <w:i/>
              </w:rPr>
              <w:t>, ou confirment qu’aucune modification n’est intervenue dans la structure du groupe</w:t>
            </w:r>
            <w:r w:rsidRPr="00F71B6F">
              <w:t>.</w:t>
            </w:r>
          </w:p>
        </w:tc>
        <w:tc>
          <w:tcPr>
            <w:tcW w:w="4876" w:type="dxa"/>
            <w:hideMark/>
          </w:tcPr>
          <w:p w:rsidR="00E56EEB" w:rsidRPr="00F71B6F" w:rsidRDefault="00246AA0" w:rsidP="000D1F15">
            <w:pPr>
              <w:pStyle w:val="Normal6"/>
              <w:rPr>
                <w:szCs w:val="24"/>
              </w:rPr>
            </w:pPr>
            <w:r w:rsidRPr="00F71B6F">
              <w:t>6.</w:t>
            </w:r>
            <w:r w:rsidRPr="00F71B6F">
              <w:tab/>
              <w:t xml:space="preserve">La société mère ultime ou, le cas échéant, la société mère intermédiaire ou la filiale visées au paragraphe 2 actualisent une fois par an, et au plus tard à </w:t>
            </w:r>
            <w:r w:rsidRPr="00F71B6F">
              <w:rPr>
                <w:b/>
                <w:i/>
              </w:rPr>
              <w:t>l’échéance du délai</w:t>
            </w:r>
            <w:r w:rsidRPr="00F71B6F">
              <w:t xml:space="preserve"> de </w:t>
            </w:r>
            <w:r w:rsidRPr="00F71B6F">
              <w:rPr>
                <w:b/>
                <w:i/>
              </w:rPr>
              <w:t>dépôt</w:t>
            </w:r>
            <w:r w:rsidRPr="00F71B6F">
              <w:t xml:space="preserve"> des documents comptables et, si une telle publication n’est pas requise, avant la fin de l’exercice, les informations requises aux paragraphes 1 à 3, le cas échéant.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27</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ter – paragraphe 8</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8.</w:t>
            </w:r>
            <w:r w:rsidRPr="00F71B6F">
              <w:tab/>
              <w:t>En cas de modification des informations visées au paragraphe</w:t>
            </w:r>
            <w:r w:rsidRPr="00F71B6F">
              <w:rPr>
                <w:b/>
                <w:i/>
              </w:rPr>
              <w:t xml:space="preserve"> </w:t>
            </w:r>
            <w:r w:rsidRPr="00F71B6F">
              <w:t>5, chaque filiale du groupe relevant du droit d’un État membre, y compris toute société mère intermédiaire, publie ces modifications dans le registre auprès duquel elle est immatriculée dans un délai de deux semaines à compter de la date à laquelle les modifications ont été apportées.</w:t>
            </w:r>
          </w:p>
        </w:tc>
        <w:tc>
          <w:tcPr>
            <w:tcW w:w="4876" w:type="dxa"/>
            <w:hideMark/>
          </w:tcPr>
          <w:p w:rsidR="00E56EEB" w:rsidRPr="00F71B6F" w:rsidRDefault="00246AA0" w:rsidP="000D1F15">
            <w:pPr>
              <w:pStyle w:val="Normal6"/>
              <w:rPr>
                <w:szCs w:val="24"/>
              </w:rPr>
            </w:pPr>
            <w:r w:rsidRPr="00F71B6F">
              <w:t>8.</w:t>
            </w:r>
            <w:r w:rsidRPr="00F71B6F">
              <w:tab/>
              <w:t>En cas de modification des informations visées au paragraphe</w:t>
            </w:r>
            <w:r w:rsidRPr="00F71B6F">
              <w:rPr>
                <w:b/>
                <w:i/>
              </w:rPr>
              <w:t> </w:t>
            </w:r>
            <w:r w:rsidRPr="00F71B6F">
              <w:t>5, chaque filiale du groupe relevant du droit d’un État membre, y compris toute société mère intermédiaire, publie ces modifications dans le registre auprès duquel elle est immatriculée dans un délai de deux semaines à compter de la date à laquelle les modifications ont été apportées</w:t>
            </w:r>
            <w:r w:rsidRPr="00F71B6F">
              <w:rPr>
                <w:b/>
                <w:i/>
              </w:rPr>
              <w:t xml:space="preserve"> ou à compter de la date à laquelle ces modifications sont connues</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28</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1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ter – paragraphe 11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11 bis.</w:t>
            </w:r>
            <w:r w:rsidRPr="00F71B6F">
              <w:rPr>
                <w:b/>
                <w:i/>
              </w:rPr>
              <w:tab/>
              <w:t>Les États membres peuvent choisir de diffuser les informations en vertu du présent article dans un registre, tel que visé à l’article 16.</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29</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1 – alinéa 1 – point 16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14 ter bis (nouveau)</w:t>
      </w:r>
      <w:r w:rsidRPr="00F71B6F">
        <w:rPr>
          <w:rStyle w:val="HideTWBExt"/>
        </w:rPr>
        <w:t>&lt;/Article2&gt;</w:t>
      </w:r>
    </w:p>
    <w:p w:rsidR="00E56EEB" w:rsidRPr="00F71B6F" w:rsidRDefault="00E56EEB" w:rsidP="00E56EEB">
      <w:pPr>
        <w:pStyle w:val="NormalBold"/>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trHeight w:val="240"/>
          <w:jc w:val="center"/>
        </w:trPr>
        <w:tc>
          <w:tcPr>
            <w:tcW w:w="9752" w:type="dxa"/>
            <w:gridSpan w:val="2"/>
          </w:tcPr>
          <w:p w:rsidR="00E56EEB" w:rsidRPr="00F71B6F" w:rsidRDefault="00E56EEB" w:rsidP="000D1F15"/>
        </w:tc>
      </w:tr>
      <w:tr w:rsidR="00246AA0" w:rsidRPr="00F71B6F" w:rsidTr="000D1F15">
        <w:trPr>
          <w:trHeight w:val="240"/>
          <w:jc w:val="center"/>
        </w:trPr>
        <w:tc>
          <w:tcPr>
            <w:tcW w:w="4876" w:type="dxa"/>
            <w:hideMark/>
          </w:tcPr>
          <w:p w:rsidR="00E56EEB" w:rsidRPr="00F71B6F" w:rsidRDefault="00246AA0" w:rsidP="000D1F15">
            <w:pPr>
              <w:pStyle w:val="AmColumnHeading"/>
            </w:pPr>
            <w:r w:rsidRPr="00F71B6F">
              <w:t>Texte proposé par la Commission</w:t>
            </w:r>
          </w:p>
        </w:tc>
        <w:tc>
          <w:tcPr>
            <w:tcW w:w="4876" w:type="dxa"/>
            <w:hideMark/>
          </w:tcPr>
          <w:p w:rsidR="00E56EEB" w:rsidRPr="00F71B6F" w:rsidRDefault="00246AA0" w:rsidP="000D1F15">
            <w:pPr>
              <w:pStyle w:val="AmColumnHeading"/>
            </w:pPr>
            <w:r w:rsidRPr="00F71B6F">
              <w:t>Amendement</w:t>
            </w:r>
          </w:p>
        </w:tc>
      </w:tr>
      <w:tr w:rsidR="00246AA0" w:rsidRPr="00F71B6F" w:rsidTr="000D1F15">
        <w:trPr>
          <w:jc w:val="center"/>
        </w:trPr>
        <w:tc>
          <w:tcPr>
            <w:tcW w:w="4876" w:type="dxa"/>
          </w:tcPr>
          <w:p w:rsidR="00E56EEB" w:rsidRPr="00F71B6F" w:rsidRDefault="00E56EEB" w:rsidP="000D1F15">
            <w:pPr>
              <w:pStyle w:val="Normal6a"/>
            </w:pPr>
          </w:p>
        </w:tc>
        <w:tc>
          <w:tcPr>
            <w:tcW w:w="4876" w:type="dxa"/>
          </w:tcPr>
          <w:p w:rsidR="00E56EEB" w:rsidRPr="00F71B6F" w:rsidRDefault="00246AA0" w:rsidP="000D1F15">
            <w:pPr>
              <w:pStyle w:val="Normal6a"/>
              <w:jc w:val="center"/>
              <w:rPr>
                <w:b/>
                <w:i/>
              </w:rPr>
            </w:pPr>
            <w:r w:rsidRPr="00F71B6F">
              <w:rPr>
                <w:b/>
                <w:i/>
              </w:rPr>
              <w:t>Article 14 ter bis</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jc w:val="center"/>
            </w:pPr>
            <w:r w:rsidRPr="00F71B6F">
              <w:rPr>
                <w:b/>
                <w:i/>
              </w:rPr>
              <w:t>Actes et informations soumis à la publicité des sociétés coopératives</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Dans les États membres où les informations sur les sociétés coopératives figurent dans les registres des sociétés, la publication des informations suivantes est obligatoire: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a)</w:t>
            </w:r>
            <w:r w:rsidRPr="00F71B6F">
              <w:rPr>
                <w:b/>
                <w:i/>
              </w:rPr>
              <w:tab/>
              <w:t>la dénomination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b)</w:t>
            </w:r>
            <w:r w:rsidRPr="00F71B6F">
              <w:rPr>
                <w:b/>
                <w:i/>
              </w:rPr>
              <w:tab/>
              <w:t>la forme juridique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c)</w:t>
            </w:r>
            <w:r w:rsidRPr="00F71B6F">
              <w:rPr>
                <w:b/>
                <w:i/>
              </w:rPr>
              <w:tab/>
              <w:t>le siège social de la société coopérative et l’État membre dans lequel elle est immatriculée;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d)</w:t>
            </w:r>
            <w:r w:rsidRPr="00F71B6F">
              <w:rPr>
                <w:b/>
                <w:i/>
              </w:rPr>
              <w:tab/>
              <w:t>tout transfert du siège social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e)</w:t>
            </w:r>
            <w:r w:rsidRPr="00F71B6F">
              <w:rPr>
                <w:b/>
                <w:i/>
              </w:rPr>
              <w:tab/>
              <w:t>le numéro d’immatriculation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f)</w:t>
            </w:r>
            <w:r w:rsidRPr="00F71B6F">
              <w:rPr>
                <w:b/>
                <w:i/>
              </w:rPr>
              <w:tab/>
              <w:t>l'acte constitutif, et les statuts s'ils figurent dans un acte distinct, si ces actes sont exigés par le droit national;</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g)</w:t>
            </w:r>
            <w:r w:rsidRPr="00F71B6F">
              <w:rPr>
                <w:b/>
                <w:i/>
              </w:rPr>
              <w:tab/>
              <w:t>les modifications des actes visés au point f), y compris la prorogation de la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h)</w:t>
            </w:r>
            <w:r w:rsidRPr="00F71B6F">
              <w:rPr>
                <w:b/>
                <w:i/>
              </w:rPr>
              <w:tab/>
              <w:t>après chaque modification de l'acte constitutif ou des statuts, le texte intégral de l'acte modifié dans sa rédaction mise à jour;</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i)</w:t>
            </w:r>
            <w:r w:rsidRPr="00F71B6F">
              <w:rPr>
                <w:b/>
                <w:i/>
              </w:rPr>
              <w:tab/>
              <w:t>les indications des personnes qui ont le pouvoir d’engager la société coopérative à l’égard des tiers et les informations précisant si les associés qui ont le pouvoir d’engager la société coopérative peuvent le faire seuls ou doivent le faire conjointement;</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j)</w:t>
            </w:r>
            <w:r w:rsidRPr="00F71B6F">
              <w:rPr>
                <w:b/>
                <w:i/>
              </w:rPr>
              <w:tab/>
              <w:t>la dissolution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k)</w:t>
            </w:r>
            <w:r w:rsidRPr="00F71B6F">
              <w:rPr>
                <w:b/>
                <w:i/>
              </w:rPr>
              <w:tab/>
              <w:t>la décision judiciaire prononçant la nullité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l)</w:t>
            </w:r>
            <w:r w:rsidRPr="00F71B6F">
              <w:rPr>
                <w:b/>
                <w:i/>
              </w:rPr>
              <w:tab/>
              <w:t>l’identité des liquidateurs ainsi que leurs pouvoirs respectifs, à moins que ces pouvoirs ne résultent expressément et exclusivement de la loi ou des statuts de la société coopérative;</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m)</w:t>
            </w:r>
            <w:r w:rsidRPr="00F71B6F">
              <w:rPr>
                <w:b/>
                <w:i/>
              </w:rPr>
              <w:tab/>
              <w:t>la clôture de la liquidation et, dans les États membres où la radiation du registre entraîne des effets juridiques, la possibilité d’être radié et le moment où la radiation prend effet;</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n)</w:t>
            </w:r>
            <w:r w:rsidRPr="00F71B6F">
              <w:rPr>
                <w:b/>
                <w:i/>
              </w:rPr>
              <w:tab/>
              <w:t>le lieu d’implantation de l’administration centrale de la société coopérative dans le cas où elle n’est pas située dans l’État membre du siège social;</w:t>
            </w:r>
          </w:p>
        </w:tc>
      </w:tr>
      <w:tr w:rsidR="00246AA0" w:rsidRPr="00F71B6F" w:rsidTr="000D1F15">
        <w:trPr>
          <w:jc w:val="center"/>
        </w:trPr>
        <w:tc>
          <w:tcPr>
            <w:tcW w:w="4876" w:type="dxa"/>
          </w:tcPr>
          <w:p w:rsidR="00E56EEB" w:rsidRPr="00F71B6F" w:rsidRDefault="00E56EEB" w:rsidP="000D1F15">
            <w:pPr>
              <w:pStyle w:val="Normal6a"/>
            </w:pPr>
          </w:p>
        </w:tc>
        <w:tc>
          <w:tcPr>
            <w:tcW w:w="4876" w:type="dxa"/>
            <w:hideMark/>
          </w:tcPr>
          <w:p w:rsidR="00E56EEB" w:rsidRPr="00F71B6F" w:rsidRDefault="00246AA0" w:rsidP="000D1F15">
            <w:pPr>
              <w:pStyle w:val="Normal6a"/>
            </w:pPr>
            <w:r w:rsidRPr="00F71B6F">
              <w:rPr>
                <w:b/>
                <w:i/>
              </w:rPr>
              <w:t>o)</w:t>
            </w:r>
            <w:r w:rsidRPr="00F71B6F">
              <w:rPr>
                <w:b/>
                <w:i/>
              </w:rPr>
              <w:tab/>
              <w:t>le principal établissement de la société coopérative dans le cas où elle n’est pas située dans l’État membre du siège social.</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30</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17</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15 – paragraphe 2 – point a</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a)</w:t>
            </w:r>
            <w:r w:rsidRPr="00F71B6F">
              <w:tab/>
              <w:t>les sociétés figurant aux annexes</w:t>
            </w:r>
            <w:r w:rsidRPr="00F71B6F">
              <w:rPr>
                <w:b/>
                <w:i/>
              </w:rPr>
              <w:t xml:space="preserve"> </w:t>
            </w:r>
            <w:r w:rsidRPr="00F71B6F">
              <w:t>II et II</w:t>
            </w:r>
            <w:r w:rsidRPr="00F71B6F">
              <w:rPr>
                <w:b/>
                <w:i/>
              </w:rPr>
              <w:t xml:space="preserve"> </w:t>
            </w:r>
            <w:r w:rsidRPr="00F71B6F">
              <w:t xml:space="preserve">ter </w:t>
            </w:r>
            <w:r w:rsidRPr="00F71B6F">
              <w:rPr>
                <w:b/>
                <w:i/>
              </w:rPr>
              <w:t>déposent</w:t>
            </w:r>
            <w:r w:rsidRPr="00F71B6F">
              <w:t xml:space="preserve"> au registre</w:t>
            </w:r>
            <w:r w:rsidRPr="00F71B6F">
              <w:rPr>
                <w:b/>
                <w:i/>
              </w:rPr>
              <w:t xml:space="preserve"> toute modification des actes et informations</w:t>
            </w:r>
            <w:r w:rsidRPr="00F71B6F">
              <w:t>, dans un délai n’excédant pas 15</w:t>
            </w:r>
            <w:r w:rsidRPr="00F71B6F">
              <w:rPr>
                <w:b/>
                <w:i/>
              </w:rPr>
              <w:t xml:space="preserve"> </w:t>
            </w:r>
            <w:r w:rsidRPr="00F71B6F">
              <w:t>jours ouvrables à compter de la date à laquelle les modifications ont été apportées. Ce délai ne s’applique pas aux modifications apportées aux informations à publier en vertu de l’article 14 ter et aux documents comptables visés à l’article 14, point f), et à l’article 14 bis, point l);</w:t>
            </w:r>
          </w:p>
        </w:tc>
        <w:tc>
          <w:tcPr>
            <w:tcW w:w="4876" w:type="dxa"/>
            <w:hideMark/>
          </w:tcPr>
          <w:p w:rsidR="00E56EEB" w:rsidRPr="00F71B6F" w:rsidRDefault="00246AA0" w:rsidP="000D1F15">
            <w:pPr>
              <w:pStyle w:val="Normal6"/>
              <w:rPr>
                <w:szCs w:val="24"/>
              </w:rPr>
            </w:pPr>
            <w:r w:rsidRPr="00F71B6F">
              <w:t>a)</w:t>
            </w:r>
            <w:r w:rsidRPr="00F71B6F">
              <w:tab/>
            </w:r>
            <w:r w:rsidRPr="00F71B6F">
              <w:rPr>
                <w:b/>
                <w:i/>
              </w:rPr>
              <w:t xml:space="preserve">toute modification des actes et informations sur </w:t>
            </w:r>
            <w:r w:rsidRPr="00F71B6F">
              <w:t>les sociétés figurant aux annexes</w:t>
            </w:r>
            <w:r w:rsidRPr="00F71B6F">
              <w:rPr>
                <w:b/>
                <w:i/>
              </w:rPr>
              <w:t> </w:t>
            </w:r>
            <w:r w:rsidRPr="00F71B6F">
              <w:t>II et II</w:t>
            </w:r>
            <w:r w:rsidRPr="00F71B6F">
              <w:rPr>
                <w:b/>
                <w:i/>
              </w:rPr>
              <w:t> </w:t>
            </w:r>
            <w:r w:rsidRPr="00F71B6F">
              <w:t xml:space="preserve">ter </w:t>
            </w:r>
            <w:r w:rsidRPr="00F71B6F">
              <w:rPr>
                <w:b/>
                <w:i/>
              </w:rPr>
              <w:t>sont déposées</w:t>
            </w:r>
            <w:r w:rsidRPr="00F71B6F">
              <w:t xml:space="preserve"> au registre, dans un délai n’excédant pas 15</w:t>
            </w:r>
            <w:r w:rsidRPr="00F71B6F">
              <w:rPr>
                <w:b/>
                <w:i/>
              </w:rPr>
              <w:t> </w:t>
            </w:r>
            <w:r w:rsidRPr="00F71B6F">
              <w:t>jours ouvrables à compter de la date à laquelle les modifications ont été apportées. Ce délai ne s’applique pas aux modifications apportées aux informations à publier en vertu de l’article 14 ter et aux documents comptables visés à l’article 14, point f), et à l’article 14 bis, point l);</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31</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17</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15 – paragraphe 2 – point b</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b)</w:t>
            </w:r>
            <w:r w:rsidRPr="00F71B6F">
              <w:tab/>
              <w:t>toute modification des actes et informations concernant les sociétés énumérées aux annexes II et II ter est inscrite au registre et publiée, conformément à l’article 16, paragraphe 3, dans un délai de 5 jours ouvrables à compter de la date d’achèvement de toutes les formalités requises pour le dépôt, y compris la réception de tous les actes et informations conformes au droit national;</w:t>
            </w:r>
          </w:p>
        </w:tc>
        <w:tc>
          <w:tcPr>
            <w:tcW w:w="4876" w:type="dxa"/>
            <w:hideMark/>
          </w:tcPr>
          <w:p w:rsidR="00E56EEB" w:rsidRPr="00F71B6F" w:rsidRDefault="00246AA0" w:rsidP="000D1F15">
            <w:pPr>
              <w:pStyle w:val="Normal6"/>
              <w:rPr>
                <w:szCs w:val="24"/>
              </w:rPr>
            </w:pPr>
            <w:r w:rsidRPr="00F71B6F">
              <w:t>b)</w:t>
            </w:r>
            <w:r w:rsidRPr="00F71B6F">
              <w:tab/>
              <w:t>toute modification des actes et informations concernant les sociétés énumérées aux annexes II et II ter est inscrite au registre et publiée, conformément à l’article 16, paragraphe 3, dans un délai de 5 jours ouvrables à compter de la date d’achèvement de toutes les formalités requises pour le dépôt, y compris la réception de tous les actes et informations conformes au droit national</w:t>
            </w:r>
            <w:r w:rsidRPr="00F71B6F">
              <w:rPr>
                <w:b/>
                <w:i/>
              </w:rPr>
              <w:t>. À titre exceptionnel, si nécessaire en raison de la complexité des contrôles à effectuer conformément à l’article 10, ce délai peut être prolongé de 10 jours ouvrables</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17</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15 – paragraphe 2 – point c</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rPr>
                <w:b/>
                <w:i/>
              </w:rPr>
              <w:t>c)</w:t>
            </w:r>
            <w:r w:rsidRPr="00F71B6F">
              <w:rPr>
                <w:b/>
                <w:i/>
              </w:rPr>
              <w:tab/>
              <w:t>les sociétés figurant aux annexes II et II ter confirment une fois par année civile que les informations relatives à la société incluses dans le registre sont à jour et que les registres mettent à la disposition du public la date à laquelle la société a fourni cette confirmation ou mis à jour les informations;</w:t>
            </w:r>
          </w:p>
        </w:tc>
        <w:tc>
          <w:tcPr>
            <w:tcW w:w="4876" w:type="dxa"/>
            <w:hideMark/>
          </w:tcPr>
          <w:p w:rsidR="00E56EEB" w:rsidRPr="00F71B6F" w:rsidRDefault="00246AA0" w:rsidP="000D1F15">
            <w:pPr>
              <w:pStyle w:val="Normal6"/>
              <w:rPr>
                <w:szCs w:val="24"/>
              </w:rPr>
            </w:pPr>
            <w:r w:rsidRPr="00F71B6F">
              <w:rPr>
                <w:b/>
                <w:i/>
              </w:rPr>
              <w:t>supprimé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1.</w:t>
            </w:r>
            <w:r w:rsidRPr="00F71B6F">
              <w:tab/>
              <w:t xml:space="preserve">Les États membres veillent à ce que les registres visés à l’article 16 délivrent le certificat d’entreprise de l’UE concernant les sociétés figurant aux annexes II et II ter. Le certificat d’entreprise de l’UE est accepté dans tous les États membres comme preuve </w:t>
            </w:r>
            <w:r w:rsidRPr="00F71B6F">
              <w:rPr>
                <w:b/>
                <w:i/>
              </w:rPr>
              <w:t>concluante</w:t>
            </w:r>
            <w:r w:rsidRPr="00F71B6F">
              <w:t xml:space="preserve"> de la constitution de la société et des informations énumérées respectivement aux paragraphes 2 et 3 du présent article, qui sont détenues par le registre auprès duquel la société est immatriculée au moment de sa délivrance.</w:t>
            </w:r>
          </w:p>
        </w:tc>
        <w:tc>
          <w:tcPr>
            <w:tcW w:w="4876" w:type="dxa"/>
            <w:hideMark/>
          </w:tcPr>
          <w:p w:rsidR="00E56EEB" w:rsidRPr="00F71B6F" w:rsidRDefault="00246AA0" w:rsidP="000D1F15">
            <w:pPr>
              <w:pStyle w:val="Normal6"/>
              <w:rPr>
                <w:szCs w:val="24"/>
              </w:rPr>
            </w:pPr>
            <w:r w:rsidRPr="00F71B6F">
              <w:t>1.</w:t>
            </w:r>
            <w:r w:rsidRPr="00F71B6F">
              <w:tab/>
              <w:t xml:space="preserve">Les États membres veillent à ce que les registres visés à l’article 16 délivrent le certificat d’entreprise de l’UE concernant les sociétés figurant aux annexes II et II ter. Le certificat d’entreprise de l’UE est accepté dans tous les États membres comme preuve </w:t>
            </w:r>
            <w:r w:rsidRPr="00F71B6F">
              <w:rPr>
                <w:b/>
                <w:i/>
              </w:rPr>
              <w:t>suffisante</w:t>
            </w:r>
            <w:r w:rsidRPr="00F71B6F">
              <w:t xml:space="preserve"> de la constitution de la société et des informations énumérées respectivement aux paragraphes 2 et 3 du présent article, qui sont détenues par le registre auprès duquel la société est immatriculée au moment de sa délivrance.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1 – alinéa 1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Lorsqu’un État membre, sur la base de critères objectifs tels que l’exhaustivité du contrôle de légalité visé à l’article 10, paragraphe 2, a des motifs raisonnables de douter que les documents et informations stockés dans le registre d’un autre État membre ont fait l’objet d’un contrôle préventif conforme à l’article 10 qui est fonctionnellement équivalent à celui généralement assuré par les États membres conformément au principe de confiance mutuelle, cet État membre demande à la Commission d’évaluer la fiabilité de ce contrôle préventif. Lorsque la Commission confirme que ce contrôle préventif n’est pas fonctionnellement équivalent, cet État membre ou d’autres États membres peuvent décider de ne pas accepter les documents et informations concernés comme éléments de preuve dans cet État membre et dans d’autres États membres tant que l’équivalence du mécanisme de contrôle préventif n’a pas été rétablie conformément à l’évaluation de la Commission.</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2 – point f</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f)</w:t>
            </w:r>
            <w:r w:rsidRPr="00F71B6F">
              <w:tab/>
              <w:t xml:space="preserve">l’adresse postale </w:t>
            </w:r>
            <w:r w:rsidRPr="00F71B6F">
              <w:rPr>
                <w:b/>
                <w:i/>
              </w:rPr>
              <w:t>ou</w:t>
            </w:r>
            <w:r w:rsidRPr="00F71B6F">
              <w:t xml:space="preserve"> de contact de la société;</w:t>
            </w:r>
          </w:p>
        </w:tc>
        <w:tc>
          <w:tcPr>
            <w:tcW w:w="4876" w:type="dxa"/>
            <w:hideMark/>
          </w:tcPr>
          <w:p w:rsidR="00E56EEB" w:rsidRPr="00F71B6F" w:rsidRDefault="00246AA0" w:rsidP="000D1F15">
            <w:pPr>
              <w:pStyle w:val="Normal6"/>
              <w:rPr>
                <w:szCs w:val="24"/>
              </w:rPr>
            </w:pPr>
            <w:r w:rsidRPr="00F71B6F">
              <w:t>f)</w:t>
            </w:r>
            <w:r w:rsidRPr="00F71B6F">
              <w:tab/>
              <w:t xml:space="preserve">l’adresse postale </w:t>
            </w:r>
            <w:r w:rsidRPr="00F71B6F">
              <w:rPr>
                <w:b/>
                <w:i/>
              </w:rPr>
              <w:t>et</w:t>
            </w:r>
            <w:r w:rsidRPr="00F71B6F">
              <w:t xml:space="preserve"> de contact de la société</w:t>
            </w:r>
            <w:r w:rsidRPr="00F71B6F">
              <w:rPr>
                <w:b/>
                <w:i/>
              </w:rPr>
              <w:t>, lorsque ces coordonnées sont inscrites dans le registre national</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2 – point g</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g)</w:t>
            </w:r>
            <w:r w:rsidRPr="00F71B6F">
              <w:tab/>
              <w:t>l’adresse électronique de la société;</w:t>
            </w:r>
          </w:p>
        </w:tc>
        <w:tc>
          <w:tcPr>
            <w:tcW w:w="4876" w:type="dxa"/>
            <w:hideMark/>
          </w:tcPr>
          <w:p w:rsidR="00E56EEB" w:rsidRPr="00F71B6F" w:rsidRDefault="00246AA0" w:rsidP="000D1F15">
            <w:pPr>
              <w:pStyle w:val="Normal6"/>
              <w:rPr>
                <w:szCs w:val="24"/>
              </w:rPr>
            </w:pPr>
            <w:r w:rsidRPr="00F71B6F">
              <w:t>g)</w:t>
            </w:r>
            <w:r w:rsidRPr="00F71B6F">
              <w:tab/>
            </w:r>
            <w:r w:rsidRPr="00F71B6F">
              <w:rPr>
                <w:b/>
                <w:i/>
              </w:rPr>
              <w:t xml:space="preserve">les coordonnées du site internet de la société et </w:t>
            </w:r>
            <w:r w:rsidRPr="00F71B6F">
              <w:t>l’adresse électronique de la société</w:t>
            </w:r>
            <w:r w:rsidRPr="00F71B6F">
              <w:rPr>
                <w:b/>
                <w:i/>
              </w:rPr>
              <w:t>, lorsque ces coordonnées sont inscrites dans le registre national</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37</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2 – point j</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j)</w:t>
            </w:r>
            <w:r w:rsidRPr="00F71B6F">
              <w:tab/>
              <w:t>le statut de la société;</w:t>
            </w:r>
          </w:p>
        </w:tc>
        <w:tc>
          <w:tcPr>
            <w:tcW w:w="4876" w:type="dxa"/>
            <w:hideMark/>
          </w:tcPr>
          <w:p w:rsidR="00E56EEB" w:rsidRPr="00F71B6F" w:rsidRDefault="00246AA0" w:rsidP="000D1F15">
            <w:pPr>
              <w:pStyle w:val="Normal6"/>
              <w:rPr>
                <w:szCs w:val="24"/>
              </w:rPr>
            </w:pPr>
            <w:r w:rsidRPr="00F71B6F">
              <w:t>j)</w:t>
            </w:r>
            <w:r w:rsidRPr="00F71B6F">
              <w:tab/>
              <w:t>le statut de la société</w:t>
            </w:r>
            <w:r w:rsidRPr="00F71B6F">
              <w:rPr>
                <w:b/>
                <w:i/>
              </w:rPr>
              <w:t>, par exemple le fait qu’elle soit fermée, radiée du registre, liquidée ou dissoute, en procédure d’insolvabilité, économiquement active ou inactive au sens du droit national, lorsque ces informations sont inscrites dans le registre national</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38</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2 – point l</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w:t>
            </w:r>
            <w:r w:rsidRPr="00F71B6F">
              <w:tab/>
              <w:t>l’objet de la société;</w:t>
            </w:r>
          </w:p>
        </w:tc>
        <w:tc>
          <w:tcPr>
            <w:tcW w:w="4876" w:type="dxa"/>
            <w:hideMark/>
          </w:tcPr>
          <w:p w:rsidR="00E56EEB" w:rsidRPr="00F71B6F" w:rsidRDefault="00246AA0" w:rsidP="000D1F15">
            <w:pPr>
              <w:pStyle w:val="Normal6"/>
              <w:rPr>
                <w:szCs w:val="24"/>
              </w:rPr>
            </w:pPr>
            <w:r w:rsidRPr="00F71B6F">
              <w:t>l)</w:t>
            </w:r>
            <w:r w:rsidRPr="00F71B6F">
              <w:tab/>
              <w:t xml:space="preserve">l’objet </w:t>
            </w:r>
            <w:r w:rsidRPr="00F71B6F">
              <w:rPr>
                <w:b/>
                <w:i/>
              </w:rPr>
              <w:t xml:space="preserve">et les secteurs d’activité </w:t>
            </w:r>
            <w:r w:rsidRPr="00F71B6F">
              <w:t>de la société</w:t>
            </w:r>
            <w:r w:rsidRPr="00F71B6F">
              <w:rPr>
                <w:b/>
                <w:i/>
              </w:rPr>
              <w:t>, en ayant recours à la nomenclature statistique des activités économiques de la Communauté européenne (NACE), dans la mesure où ces codes sont utilisés conformément à la législation nationale applicable</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39</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2 – point n</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rPr>
                <w:b/>
                <w:i/>
              </w:rPr>
              <w:t>n)</w:t>
            </w:r>
            <w:r w:rsidRPr="00F71B6F">
              <w:rPr>
                <w:b/>
                <w:i/>
              </w:rPr>
              <w:tab/>
              <w:t>les coordonnées du site internet de la société, lorsque ces coordonnées sont inscrites dans le registre national.</w:t>
            </w:r>
          </w:p>
        </w:tc>
        <w:tc>
          <w:tcPr>
            <w:tcW w:w="4876" w:type="dxa"/>
            <w:hideMark/>
          </w:tcPr>
          <w:p w:rsidR="00E56EEB" w:rsidRPr="00F71B6F" w:rsidRDefault="00246AA0" w:rsidP="000D1F15">
            <w:pPr>
              <w:pStyle w:val="Normal6"/>
              <w:rPr>
                <w:szCs w:val="24"/>
              </w:rPr>
            </w:pPr>
            <w:r w:rsidRPr="00F71B6F">
              <w:rPr>
                <w:b/>
                <w:i/>
              </w:rPr>
              <w:t>supprimé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40</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5 – alinéa 2</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 xml:space="preserve">Les États membres veillent à ce que chaque société figurant aux annexes II et II ter </w:t>
            </w:r>
            <w:r w:rsidRPr="00F71B6F">
              <w:rPr>
                <w:b/>
                <w:i/>
              </w:rPr>
              <w:t>puisse</w:t>
            </w:r>
            <w:r w:rsidRPr="00F71B6F">
              <w:t xml:space="preserve"> obtenir gratuitement son certificat d’entreprise de l’UE sous forme électronique</w:t>
            </w:r>
            <w:r w:rsidRPr="00F71B6F">
              <w:rPr>
                <w:b/>
                <w:i/>
              </w:rPr>
              <w:t xml:space="preserve"> au moins une fois par année civile</w:t>
            </w:r>
            <w:r w:rsidRPr="00F71B6F">
              <w:t>.</w:t>
            </w:r>
          </w:p>
        </w:tc>
        <w:tc>
          <w:tcPr>
            <w:tcW w:w="4876" w:type="dxa"/>
            <w:hideMark/>
          </w:tcPr>
          <w:p w:rsidR="00E56EEB" w:rsidRPr="00F71B6F" w:rsidRDefault="00246AA0" w:rsidP="000D1F15">
            <w:pPr>
              <w:pStyle w:val="Normal6"/>
              <w:rPr>
                <w:szCs w:val="24"/>
              </w:rPr>
            </w:pPr>
            <w:r w:rsidRPr="00F71B6F">
              <w:t>Les États membres veillent à ce que chaque société figurant aux annexes</w:t>
            </w:r>
            <w:r w:rsidRPr="00F71B6F">
              <w:rPr>
                <w:b/>
                <w:i/>
              </w:rPr>
              <w:t> </w:t>
            </w:r>
            <w:r w:rsidRPr="00F71B6F">
              <w:t xml:space="preserve">II et II ter </w:t>
            </w:r>
            <w:r w:rsidRPr="00F71B6F">
              <w:rPr>
                <w:b/>
                <w:bCs/>
                <w:i/>
                <w:iCs/>
              </w:rPr>
              <w:t>et</w:t>
            </w:r>
            <w:r w:rsidRPr="00F71B6F">
              <w:t xml:space="preserve"> </w:t>
            </w:r>
            <w:r w:rsidRPr="00F71B6F">
              <w:rPr>
                <w:b/>
                <w:i/>
              </w:rPr>
              <w:t>à ce que les tiers ayant besoin d’obtenir des informations essentielles sur une société, puissent</w:t>
            </w:r>
            <w:r w:rsidRPr="00F71B6F">
              <w:t xml:space="preserve"> obtenir gratuitement son certificat d’entreprise de l’UE sous forme électronique.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41</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1 – alinéa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 xml:space="preserve">Les États membres veillent à ce que les sociétés énumérées aux annexes II et II ter, aux fins des procédures menées dans un autre État membre dans le </w:t>
            </w:r>
            <w:r w:rsidRPr="00F71B6F">
              <w:rPr>
                <w:b/>
                <w:i/>
              </w:rPr>
              <w:t>cadre</w:t>
            </w:r>
            <w:r w:rsidRPr="00F71B6F">
              <w:t xml:space="preserve"> de la présente directive, puissent utiliser un modèle standard de procuration numérique de l’UE conformément au présent article afin d’autoriser une personne à représenter la société.</w:t>
            </w:r>
          </w:p>
        </w:tc>
        <w:tc>
          <w:tcPr>
            <w:tcW w:w="4876" w:type="dxa"/>
            <w:hideMark/>
          </w:tcPr>
          <w:p w:rsidR="00E56EEB" w:rsidRPr="00F71B6F" w:rsidRDefault="00246AA0" w:rsidP="000D1F15">
            <w:pPr>
              <w:pStyle w:val="Normal6"/>
              <w:rPr>
                <w:szCs w:val="24"/>
              </w:rPr>
            </w:pPr>
            <w:r w:rsidRPr="00F71B6F">
              <w:t xml:space="preserve">Les États membres veillent à ce que les sociétés énumérées aux annexes II et II ter, aux fins des procédures menées dans un autre État membre dans le </w:t>
            </w:r>
            <w:r w:rsidRPr="00F71B6F">
              <w:rPr>
                <w:b/>
                <w:i/>
              </w:rPr>
              <w:t>champ d’application</w:t>
            </w:r>
            <w:r w:rsidRPr="00F71B6F">
              <w:t xml:space="preserve"> de la présente directive, puissent utiliser un modèle standard de procuration numérique de l’UE conformément au présent article afin d’autoriser une personne à représenter la société.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1 – alinéa 2</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La procuration numérique de l’UE est établie et révoquée conformément aux exigences légales et formelles nationales. Les exigences nationales relatives à l’établissement de la procuration numérique de l’UE comprennent au moins la vérification de l’identité, de la capacité juridique et du pouvoir de représenter la société de la personne qui délivre la procuration.</w:t>
            </w:r>
          </w:p>
        </w:tc>
        <w:tc>
          <w:tcPr>
            <w:tcW w:w="4876" w:type="dxa"/>
            <w:hideMark/>
          </w:tcPr>
          <w:p w:rsidR="00E56EEB" w:rsidRPr="00F71B6F" w:rsidRDefault="00246AA0" w:rsidP="000D1F15">
            <w:pPr>
              <w:pStyle w:val="Normal6"/>
              <w:rPr>
                <w:szCs w:val="24"/>
              </w:rPr>
            </w:pPr>
            <w:r w:rsidRPr="00F71B6F">
              <w:t xml:space="preserve">La procuration numérique de l’UE est établie et révoquée conformément aux exigences légales et formelles nationales. Les exigences nationales relatives à l’établissement de la procuration numérique de l’UE comprennent au moins la vérification de l’identité, de la capacité juridique et du pouvoir </w:t>
            </w:r>
            <w:r w:rsidRPr="00F71B6F">
              <w:rPr>
                <w:b/>
                <w:i/>
              </w:rPr>
              <w:t xml:space="preserve">des tribunaux, des autorités administratives ou des notaires </w:t>
            </w:r>
            <w:r w:rsidRPr="00F71B6F">
              <w:t>de représenter la société de la personne qui délivre la procuration</w:t>
            </w:r>
            <w:r w:rsidRPr="00F71B6F">
              <w:rPr>
                <w:b/>
                <w:i/>
              </w:rPr>
              <w:t>, conformément au droit national.</w:t>
            </w:r>
            <w:r w:rsidRPr="00F71B6F">
              <w:t xml:space="preserve"> </w:t>
            </w:r>
            <w:r w:rsidRPr="00F71B6F">
              <w:rPr>
                <w:b/>
                <w:i/>
              </w:rPr>
              <w:t>En outre, la procuration numérique de l’UE est signée par la personne qui l’octroie au moyen de signatures électroniques qualifiées. Si la procuration numérique de l’UE est certifiée ou authentifiée, l’autorité de certification ou d’authentification utilise une signature ou un cachet électroniques qualifiés comprenant ses attributs spécifiques conformément au règlement (UE) nº 910/2014.</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1 – alinéa 3</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veillent à ce que la procuration numérique de l’UE soit authentifiée au moyen des services de confiance visés dans le règlement</w:t>
            </w:r>
            <w:r w:rsidRPr="00F71B6F">
              <w:rPr>
                <w:b/>
                <w:i/>
              </w:rPr>
              <w:t xml:space="preserve"> </w:t>
            </w:r>
            <w:r w:rsidRPr="00F71B6F">
              <w:t>(UE)</w:t>
            </w:r>
            <w:r w:rsidRPr="00F71B6F">
              <w:rPr>
                <w:b/>
                <w:i/>
              </w:rPr>
              <w:t xml:space="preserve"> </w:t>
            </w:r>
            <w:r w:rsidRPr="00F71B6F">
              <w:t>nº 910/2014 et compatible avec le portefeuille européen d’identité numérique visé dans [OP:</w:t>
            </w:r>
            <w:r w:rsidRPr="00F71B6F">
              <w:rPr>
                <w:b/>
                <w:i/>
              </w:rPr>
              <w:t xml:space="preserve"> </w:t>
            </w:r>
            <w:r w:rsidRPr="00F71B6F">
              <w:t xml:space="preserve"> Référence à une proposition de règlement du Parlement européen et du Conseil modifiant le règlement (UE) nº 910/2014 en ce qui concerne l’établissement d’un cadre européen relatif à une identité numérique].</w:t>
            </w:r>
          </w:p>
        </w:tc>
        <w:tc>
          <w:tcPr>
            <w:tcW w:w="4876" w:type="dxa"/>
            <w:hideMark/>
          </w:tcPr>
          <w:p w:rsidR="00E56EEB" w:rsidRPr="00F71B6F" w:rsidRDefault="00246AA0" w:rsidP="000D1F15">
            <w:pPr>
              <w:pStyle w:val="Normal6"/>
              <w:rPr>
                <w:szCs w:val="24"/>
              </w:rPr>
            </w:pPr>
            <w:r w:rsidRPr="00F71B6F">
              <w:t xml:space="preserve">Les États membres veillent à ce que la procuration numérique de l’UE soit authentifiée </w:t>
            </w:r>
            <w:r w:rsidRPr="00F71B6F">
              <w:rPr>
                <w:b/>
                <w:i/>
              </w:rPr>
              <w:t xml:space="preserve">conformément au niveau d’assurance «élevé» </w:t>
            </w:r>
            <w:r w:rsidRPr="00F71B6F">
              <w:t>au moyen des services de confiance visés dans le règlement</w:t>
            </w:r>
            <w:r w:rsidRPr="00F71B6F">
              <w:rPr>
                <w:b/>
                <w:i/>
              </w:rPr>
              <w:t> </w:t>
            </w:r>
            <w:r w:rsidRPr="00F71B6F">
              <w:t>(UE)</w:t>
            </w:r>
            <w:r w:rsidRPr="00F71B6F">
              <w:rPr>
                <w:b/>
                <w:i/>
              </w:rPr>
              <w:t> </w:t>
            </w:r>
            <w:r w:rsidRPr="00F71B6F">
              <w:t>nº 910/2014 et compatible avec le portefeuille européen d’identité numérique visé dans [OP: Référence à une proposition de règlement du Parlement européen et du Conseil modifiant le règlement (UE) nº 910/2014 en ce qui concerne l’établissement d’un cadre européen relatif à une identité numérique].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ter – paragraphe 1 – alinéa 3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Les États membres veillent à ce que toute modification ou révocation d’une procuration numérique de l’UE soit inscrite au dossier visé à l’article 16, paragraphe 1, conformément à l’article 16, paragraphes 2 et 3.</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2</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2.</w:t>
            </w:r>
            <w:r w:rsidRPr="00F71B6F">
              <w:tab/>
              <w:t>La procuration numérique de l’UE est acceptée comme preuve de l’habilitation de la personne autorisée à représenter la société, comme précisé dans le document.</w:t>
            </w:r>
          </w:p>
        </w:tc>
        <w:tc>
          <w:tcPr>
            <w:tcW w:w="4876" w:type="dxa"/>
            <w:hideMark/>
          </w:tcPr>
          <w:p w:rsidR="00E56EEB" w:rsidRPr="00F71B6F" w:rsidRDefault="00246AA0" w:rsidP="000D1F15">
            <w:pPr>
              <w:pStyle w:val="Normal6"/>
              <w:rPr>
                <w:szCs w:val="24"/>
              </w:rPr>
            </w:pPr>
            <w:r w:rsidRPr="00F71B6F">
              <w:t>2.</w:t>
            </w:r>
            <w:r w:rsidRPr="00F71B6F">
              <w:tab/>
              <w:t xml:space="preserve">La procuration numérique de l’UE </w:t>
            </w:r>
            <w:r w:rsidRPr="00F71B6F">
              <w:rPr>
                <w:b/>
                <w:i/>
              </w:rPr>
              <w:t xml:space="preserve">publiée conformément au paragraphe 1 </w:t>
            </w:r>
            <w:r w:rsidRPr="00F71B6F">
              <w:t>est acceptée comme preuve de l’habilitation de la personne autorisée à représenter la société, comme précisé dans le document</w:t>
            </w:r>
            <w:r w:rsidRPr="00F71B6F">
              <w:rPr>
                <w:b/>
                <w:i/>
              </w:rPr>
              <w:t xml:space="preserve"> et comme publiée dans le dossier visé à l’article 16, paragraphe 1</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3</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3.</w:t>
            </w:r>
            <w:r w:rsidRPr="00F71B6F">
              <w:tab/>
              <w:t>Les États membres veillent à ce que les sociétés visées au paragraphe 1 déposent la procuration numérique de l’UE, toute modification et toute révocation de celle-ci dans le registre dans lequel la société est immatriculée.</w:t>
            </w:r>
          </w:p>
        </w:tc>
        <w:tc>
          <w:tcPr>
            <w:tcW w:w="4876" w:type="dxa"/>
            <w:hideMark/>
          </w:tcPr>
          <w:p w:rsidR="00E56EEB" w:rsidRPr="00F71B6F" w:rsidRDefault="00246AA0" w:rsidP="000D1F15">
            <w:pPr>
              <w:pStyle w:val="Normal6"/>
              <w:rPr>
                <w:szCs w:val="24"/>
              </w:rPr>
            </w:pPr>
            <w:r w:rsidRPr="00F71B6F">
              <w:t>3.</w:t>
            </w:r>
            <w:r w:rsidRPr="00F71B6F">
              <w:tab/>
              <w:t>Les États membres veillent à ce que les sociétés visées au paragraphe 1 déposent la procuration numérique de l’UE, toute modification et toute révocation de celle-ci dans le registre dans lequel la société est immatriculée</w:t>
            </w:r>
            <w:r w:rsidRPr="00F71B6F">
              <w:rPr>
                <w:b/>
                <w:i/>
              </w:rPr>
              <w:t xml:space="preserve"> dans un délai maximal de cinq jours ouvrables.</w:t>
            </w:r>
            <w:r w:rsidRPr="00F71B6F">
              <w:t xml:space="preserve"> </w:t>
            </w:r>
            <w:r w:rsidRPr="00F71B6F">
              <w:rPr>
                <w:b/>
                <w:i/>
              </w:rPr>
              <w:t>L’authenticité de la procuration numérique de l’UE déposée au registre est vérifiée de manière approfondie et complète par des moyens techniques conformément au règlement (UE) nº 910/2014.</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47</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4</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Texte non modifié inclus dans le compromis</w:t>
            </w:r>
          </w:p>
        </w:tc>
      </w:tr>
      <w:tr w:rsidR="00246AA0" w:rsidRPr="00F71B6F" w:rsidTr="000D1F15">
        <w:trPr>
          <w:jc w:val="center"/>
        </w:trPr>
        <w:tc>
          <w:tcPr>
            <w:tcW w:w="4876" w:type="dxa"/>
            <w:hideMark/>
          </w:tcPr>
          <w:p w:rsidR="00E56EEB" w:rsidRPr="00F71B6F" w:rsidRDefault="00246AA0" w:rsidP="000D1F15">
            <w:pPr>
              <w:pStyle w:val="Normal6"/>
            </w:pPr>
            <w:r w:rsidRPr="00F71B6F">
              <w:t>4.</w:t>
            </w:r>
            <w:r w:rsidRPr="00F71B6F">
              <w:tab/>
              <w:t>Les autorités compétentes, les registres visés à l’article 16 ou tout autre tiers pouvant faire la preuve d’un intérêt légitime ont accès à la procuration numérique de l’UE dans le registre de la société.</w:t>
            </w:r>
          </w:p>
        </w:tc>
        <w:tc>
          <w:tcPr>
            <w:tcW w:w="4876" w:type="dxa"/>
            <w:hideMark/>
          </w:tcPr>
          <w:p w:rsidR="00E56EEB" w:rsidRPr="00F71B6F" w:rsidRDefault="00246AA0" w:rsidP="000D1F15">
            <w:pPr>
              <w:pStyle w:val="Normal6"/>
              <w:rPr>
                <w:szCs w:val="24"/>
              </w:rPr>
            </w:pPr>
            <w:r w:rsidRPr="00F71B6F">
              <w:t>4.</w:t>
            </w:r>
            <w:r w:rsidRPr="00F71B6F">
              <w:tab/>
              <w:t xml:space="preserve">Les autorités compétentes, les registres visés à l’article 16 ou tout autre tiers pouvant faire la preuve d’un intérêt légitime ont accès à la procuration numérique de l’UE dans le registre de la société. </w:t>
            </w:r>
            <w:r w:rsidRPr="00F71B6F">
              <w:rPr>
                <w:b/>
                <w:i/>
              </w:rPr>
              <w:t>Tous les frais liés à l’accès à ce document sont proportionnels au coût réel pour l’enregistrement.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48</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quater – paragraphe 5</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5.</w:t>
            </w:r>
            <w:r w:rsidRPr="00F71B6F">
              <w:tab/>
              <w:t>La Commission publie le modèle standard de procuration numérique de l’UE sur le portail dans toutes les langues officielles de l'Union.</w:t>
            </w:r>
          </w:p>
        </w:tc>
        <w:tc>
          <w:tcPr>
            <w:tcW w:w="4876" w:type="dxa"/>
            <w:hideMark/>
          </w:tcPr>
          <w:p w:rsidR="00E56EEB" w:rsidRPr="00F71B6F" w:rsidRDefault="00246AA0" w:rsidP="000D1F15">
            <w:pPr>
              <w:pStyle w:val="Normal6"/>
              <w:rPr>
                <w:szCs w:val="24"/>
              </w:rPr>
            </w:pPr>
            <w:r w:rsidRPr="00F71B6F">
              <w:t>5.</w:t>
            </w:r>
            <w:r w:rsidRPr="00F71B6F">
              <w:tab/>
              <w:t>La Commission publie le modèle standard de procuration numérique de l’UE sur le portail dans toutes les langues officielles de l'Union.</w:t>
            </w:r>
            <w:r w:rsidRPr="00F71B6F">
              <w:rPr>
                <w:b/>
                <w:i/>
              </w:rPr>
              <w:t xml:space="preserve"> La procuration numérique de l’UE comprend des dispositions sur:</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a)</w:t>
            </w:r>
            <w:r w:rsidRPr="00F71B6F">
              <w:rPr>
                <w:b/>
                <w:i/>
              </w:rPr>
              <w:tab/>
              <w:t>le type de représentation, si elle est individuelle ou conjointe, et, si elle est conjointe, avec qui elle est partagée;</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b)</w:t>
            </w:r>
            <w:r w:rsidRPr="00F71B6F">
              <w:rPr>
                <w:b/>
                <w:i/>
              </w:rPr>
              <w:tab/>
              <w:t>toute restriction à la représentation individuelle ou multiple;</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c)</w:t>
            </w:r>
            <w:r w:rsidRPr="00F71B6F">
              <w:rPr>
                <w:b/>
                <w:i/>
              </w:rPr>
              <w:tab/>
              <w:t>le champ d’application de la procuration numérique de l’UE et des informations, notamment sur:</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i)</w:t>
            </w:r>
            <w:r w:rsidRPr="00F71B6F">
              <w:rPr>
                <w:b/>
                <w:i/>
              </w:rPr>
              <w:tab/>
              <w:t>la constitution des sociétés;</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ii)</w:t>
            </w:r>
            <w:r w:rsidRPr="00F71B6F">
              <w:rPr>
                <w:b/>
                <w:i/>
              </w:rPr>
              <w:tab/>
              <w:t>les modifications apportées aux statuts des sociétés;</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pPr>
            <w:r w:rsidRPr="00F71B6F">
              <w:rPr>
                <w:b/>
                <w:i/>
              </w:rPr>
              <w:t>iii)</w:t>
            </w:r>
            <w:r w:rsidRPr="00F71B6F">
              <w:rPr>
                <w:b/>
                <w:i/>
              </w:rPr>
              <w:tab/>
              <w:t>l’immatriculation de succursales;</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rPr>
                <w:b/>
                <w:i/>
              </w:rPr>
            </w:pPr>
            <w:r w:rsidRPr="00F71B6F">
              <w:rPr>
                <w:b/>
                <w:i/>
              </w:rPr>
              <w:t>iv)</w:t>
            </w:r>
            <w:r w:rsidRPr="00F71B6F">
              <w:rPr>
                <w:b/>
                <w:i/>
              </w:rPr>
              <w:tab/>
              <w:t>les transformations transfrontières;</w:t>
            </w:r>
          </w:p>
        </w:tc>
      </w:tr>
      <w:tr w:rsidR="00246AA0" w:rsidRPr="00F71B6F" w:rsidTr="000D1F15">
        <w:trPr>
          <w:jc w:val="center"/>
        </w:trPr>
        <w:tc>
          <w:tcPr>
            <w:tcW w:w="4876" w:type="dxa"/>
          </w:tcPr>
          <w:p w:rsidR="00E56EEB" w:rsidRPr="00F71B6F" w:rsidRDefault="00E56EEB" w:rsidP="000D1F15">
            <w:pPr>
              <w:pStyle w:val="Normal6"/>
            </w:pPr>
          </w:p>
        </w:tc>
        <w:tc>
          <w:tcPr>
            <w:tcW w:w="4876" w:type="dxa"/>
          </w:tcPr>
          <w:p w:rsidR="00E56EEB" w:rsidRPr="00F71B6F" w:rsidRDefault="00246AA0" w:rsidP="000D1F15">
            <w:pPr>
              <w:pStyle w:val="Normal6"/>
              <w:rPr>
                <w:b/>
                <w:i/>
              </w:rPr>
            </w:pPr>
            <w:r w:rsidRPr="00F71B6F">
              <w:rPr>
                <w:b/>
                <w:i/>
              </w:rPr>
              <w:t>v)</w:t>
            </w:r>
            <w:r w:rsidRPr="00F71B6F">
              <w:rPr>
                <w:b/>
                <w:i/>
              </w:rPr>
              <w:tab/>
              <w:t>les fusions et scissions transfrontières.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49</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21</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16 sexies – paragraphe 4</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4.</w:t>
            </w:r>
            <w:r w:rsidRPr="00F71B6F">
              <w:tab/>
            </w:r>
            <w:r w:rsidRPr="00F71B6F">
              <w:rPr>
                <w:b/>
                <w:i/>
              </w:rPr>
              <w:t>Si l’authenticité des</w:t>
            </w:r>
            <w:r w:rsidRPr="00F71B6F">
              <w:t xml:space="preserve"> copies et </w:t>
            </w:r>
            <w:r w:rsidRPr="00F71B6F">
              <w:rPr>
                <w:b/>
                <w:i/>
              </w:rPr>
              <w:t>des</w:t>
            </w:r>
            <w:r w:rsidRPr="00F71B6F">
              <w:t xml:space="preserve"> extraits </w:t>
            </w:r>
            <w:r w:rsidRPr="00F71B6F">
              <w:rPr>
                <w:b/>
                <w:i/>
              </w:rPr>
              <w:t>d'actes</w:t>
            </w:r>
            <w:r w:rsidRPr="00F71B6F">
              <w:t xml:space="preserve"> et informations</w:t>
            </w:r>
            <w:r w:rsidRPr="00F71B6F">
              <w:rPr>
                <w:b/>
                <w:i/>
              </w:rPr>
              <w:t xml:space="preserve"> n’est</w:t>
            </w:r>
            <w:r w:rsidRPr="00F71B6F">
              <w:t xml:space="preserve"> pas </w:t>
            </w:r>
            <w:r w:rsidRPr="00F71B6F">
              <w:rPr>
                <w:b/>
                <w:i/>
              </w:rPr>
              <w:t>confirmée</w:t>
            </w:r>
            <w:r w:rsidRPr="00F71B6F">
              <w:t xml:space="preserve">, </w:t>
            </w:r>
            <w:r w:rsidRPr="00F71B6F">
              <w:rPr>
                <w:b/>
                <w:i/>
              </w:rPr>
              <w:t>l’autorité requérante peut décider</w:t>
            </w:r>
            <w:r w:rsidRPr="00F71B6F">
              <w:t xml:space="preserve"> de </w:t>
            </w:r>
            <w:r w:rsidRPr="00F71B6F">
              <w:rPr>
                <w:b/>
                <w:i/>
              </w:rPr>
              <w:t>ne pas les accepter</w:t>
            </w:r>
            <w:r w:rsidRPr="00F71B6F">
              <w:t>.</w:t>
            </w:r>
          </w:p>
        </w:tc>
        <w:tc>
          <w:tcPr>
            <w:tcW w:w="4876" w:type="dxa"/>
            <w:hideMark/>
          </w:tcPr>
          <w:p w:rsidR="00E56EEB" w:rsidRPr="00F71B6F" w:rsidRDefault="00246AA0" w:rsidP="000D1F15">
            <w:pPr>
              <w:pStyle w:val="Normal6"/>
              <w:rPr>
                <w:szCs w:val="24"/>
              </w:rPr>
            </w:pPr>
            <w:r w:rsidRPr="00F71B6F">
              <w:t>4.</w:t>
            </w:r>
            <w:r w:rsidRPr="00F71B6F">
              <w:tab/>
            </w:r>
            <w:r w:rsidRPr="00F71B6F">
              <w:rPr>
                <w:b/>
                <w:i/>
              </w:rPr>
              <w:t>L’autorité requérante peut décider de ne pas accepter les</w:t>
            </w:r>
            <w:r w:rsidRPr="00F71B6F">
              <w:t xml:space="preserve"> copies et </w:t>
            </w:r>
            <w:r w:rsidRPr="00F71B6F">
              <w:rPr>
                <w:b/>
                <w:i/>
              </w:rPr>
              <w:t>les</w:t>
            </w:r>
            <w:r w:rsidRPr="00F71B6F">
              <w:t xml:space="preserve"> extraits </w:t>
            </w:r>
            <w:r w:rsidRPr="00F71B6F">
              <w:rPr>
                <w:b/>
                <w:i/>
              </w:rPr>
              <w:t>d’actes</w:t>
            </w:r>
            <w:r w:rsidRPr="00F71B6F">
              <w:t xml:space="preserve"> et informations</w:t>
            </w:r>
            <w:r w:rsidRPr="00F71B6F">
              <w:rPr>
                <w:b/>
                <w:i/>
              </w:rPr>
              <w:t>, uniquement si leur authenticité et leur exactitude ne sont</w:t>
            </w:r>
            <w:r w:rsidRPr="00F71B6F">
              <w:t xml:space="preserve"> pas </w:t>
            </w:r>
            <w:r w:rsidRPr="00F71B6F">
              <w:rPr>
                <w:b/>
                <w:i/>
              </w:rPr>
              <w:t>confirmées par le registre auprès duquel elle demande des informations en vertu du paragraphe 2.</w:t>
            </w:r>
            <w:r w:rsidRPr="00F71B6F">
              <w:t xml:space="preserve"> </w:t>
            </w:r>
            <w:r w:rsidRPr="00F71B6F">
              <w:rPr>
                <w:b/>
                <w:i/>
              </w:rPr>
              <w:t>Dans ce cas, ils notifient cette décision aux personnes qui ont présenté ces documents et informations dans un délai de cinq jours ouvrables à compter de la réception de la réponse des points de contact.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50</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23 bis (nouveau)</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19 – paragraphe 2 – point f bis (nouveau)</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23 bis)</w:t>
            </w:r>
            <w:r w:rsidRPr="00F71B6F">
              <w:tab/>
            </w:r>
            <w:r w:rsidRPr="00F71B6F">
              <w:rPr>
                <w:b/>
                <w:i/>
              </w:rPr>
              <w:t>À l’article 19, paragraphe 2, le point suivant est ajouté:</w:t>
            </w:r>
          </w:p>
        </w:tc>
      </w:tr>
      <w:tr w:rsidR="00246AA0" w:rsidRPr="00F71B6F" w:rsidTr="000D1F15">
        <w:trPr>
          <w:jc w:val="center"/>
        </w:trPr>
        <w:tc>
          <w:tcPr>
            <w:tcW w:w="4876" w:type="dxa"/>
          </w:tcPr>
          <w:p w:rsidR="00E56EEB" w:rsidRPr="00F71B6F" w:rsidRDefault="00E56EEB" w:rsidP="000D1F15">
            <w:pPr>
              <w:pStyle w:val="Normal6"/>
            </w:pPr>
          </w:p>
        </w:tc>
        <w:tc>
          <w:tcPr>
            <w:tcW w:w="4876" w:type="dxa"/>
            <w:hideMark/>
          </w:tcPr>
          <w:p w:rsidR="00E56EEB" w:rsidRPr="00F71B6F" w:rsidRDefault="00246AA0" w:rsidP="000D1F15">
            <w:pPr>
              <w:pStyle w:val="Normal6"/>
              <w:rPr>
                <w:szCs w:val="24"/>
              </w:rPr>
            </w:pPr>
            <w:r w:rsidRPr="00F71B6F">
              <w:rPr>
                <w:b/>
                <w:i/>
              </w:rPr>
              <w:t>f bis)</w:t>
            </w:r>
            <w:r w:rsidRPr="00F71B6F">
              <w:tab/>
            </w:r>
            <w:r w:rsidRPr="00F71B6F">
              <w:rPr>
                <w:b/>
                <w:i/>
              </w:rPr>
              <w:t>le nombre des travailleurs de la société, lorsque cette information est inscrite dans les états financiers de la société comme la législation nationale l’exige;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51</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29</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28 – alinéa 1 – partie introductive</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prévoient des sanctions effectives, proportionnées et dissuasives au moins en cas:</w:t>
            </w:r>
          </w:p>
        </w:tc>
        <w:tc>
          <w:tcPr>
            <w:tcW w:w="4876" w:type="dxa"/>
            <w:hideMark/>
          </w:tcPr>
          <w:p w:rsidR="00E56EEB" w:rsidRPr="00F71B6F" w:rsidRDefault="00246AA0" w:rsidP="000D1F15">
            <w:pPr>
              <w:pStyle w:val="Normal6"/>
              <w:rPr>
                <w:szCs w:val="24"/>
              </w:rPr>
            </w:pPr>
            <w:r w:rsidRPr="00F71B6F">
              <w:t>Les États membres prévoient des sanctions effectives, proportionnées et dissuasives</w:t>
            </w:r>
            <w:r w:rsidRPr="00F71B6F">
              <w:rPr>
                <w:b/>
                <w:i/>
              </w:rPr>
              <w:t>, y compris des sanctions pécuniaires,</w:t>
            </w:r>
            <w:r w:rsidRPr="00F71B6F">
              <w:t xml:space="preserve"> au moins en cas: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52</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29</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28 – alinéa 2</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prennent toutes les mesures nécessaires pour assurer l'application de ces sanctions.;</w:t>
            </w:r>
          </w:p>
        </w:tc>
        <w:tc>
          <w:tcPr>
            <w:tcW w:w="4876" w:type="dxa"/>
            <w:hideMark/>
          </w:tcPr>
          <w:p w:rsidR="00E56EEB" w:rsidRPr="00F71B6F" w:rsidRDefault="00246AA0" w:rsidP="000D1F15">
            <w:pPr>
              <w:pStyle w:val="Normal6"/>
              <w:rPr>
                <w:szCs w:val="24"/>
              </w:rPr>
            </w:pPr>
            <w:r w:rsidRPr="00F71B6F">
              <w:t xml:space="preserve">Les États membres prennent toutes les mesures nécessaires pour assurer l'application de ces sanctions.»; </w:t>
            </w:r>
            <w:r w:rsidRPr="00F71B6F">
              <w:rPr>
                <w:b/>
                <w:i/>
              </w:rPr>
              <w:t>Pour déterminer la nature et le niveau approprié de sanction, il est dûment tenu compte de la gravité et de la durée de l’infraction, des éventuelles infractions antérieures et du chiffre d’affaires de la société.»</w:t>
            </w:r>
            <w:r w:rsidRPr="00F71B6F">
              <w:t>;</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53</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30</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28 bis – paragraphe 4 – point c</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c)</w:t>
            </w:r>
            <w:r w:rsidRPr="00F71B6F">
              <w:tab/>
              <w:t>vérifier la légalité des actes et informations déposés aux fins de l’immatriculation de la succursale, sauvegarder les actes et informations extraits du registre de la société conformément au paragraphe 5;»;</w:t>
            </w:r>
          </w:p>
        </w:tc>
        <w:tc>
          <w:tcPr>
            <w:tcW w:w="4876" w:type="dxa"/>
            <w:hideMark/>
          </w:tcPr>
          <w:p w:rsidR="00E56EEB" w:rsidRPr="00F71B6F" w:rsidRDefault="00246AA0" w:rsidP="000D1F15">
            <w:pPr>
              <w:pStyle w:val="Normal6"/>
              <w:rPr>
                <w:szCs w:val="24"/>
              </w:rPr>
            </w:pPr>
            <w:r w:rsidRPr="00F71B6F">
              <w:t>c)</w:t>
            </w:r>
            <w:r w:rsidRPr="00F71B6F">
              <w:tab/>
              <w:t>vérifier la légalité des actes et informations déposés aux fins de l’immatriculation de la succursale, sauvegarder les actes et informations extraits du registre de la société conformément au paragraphe 5 bis;»;</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54</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32</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28 bis – paragraphe 5 bis – alinéa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veillent à ce que, lorsqu’une société figurant à l’annexe II ou à l’annexe II ter immatricule une succursale dans un autre État membre, le registre où est immatriculée la succursale extraie, grâce au système d'interconnexion des registres, les actes et informations sur la société pertinents pour la procédure d’immatriculation qui sont disponibles dans le registre de l’État membre où est immatriculée cette société, et il n’est pas demandé à la société de les fournir. Le registre peut également récupérer le certificat d’entreprise de l’UE en vertu de l’article 16 ter. Les États membres appliquent également le présent paragraphe à toute forme d’immatriculation des succursales autre qu’entièrement en ligne.</w:t>
            </w:r>
          </w:p>
        </w:tc>
        <w:tc>
          <w:tcPr>
            <w:tcW w:w="4876" w:type="dxa"/>
            <w:hideMark/>
          </w:tcPr>
          <w:p w:rsidR="00E56EEB" w:rsidRPr="00F71B6F" w:rsidRDefault="00246AA0" w:rsidP="000D1F15">
            <w:pPr>
              <w:pStyle w:val="Normal6"/>
              <w:rPr>
                <w:szCs w:val="24"/>
              </w:rPr>
            </w:pPr>
            <w:r w:rsidRPr="00F71B6F">
              <w:t xml:space="preserve">Les États membres veillent à ce que, lorsqu’une société figurant à l’annexe II ou à l’annexe II ter immatricule une succursale dans un autre État membre, le registre où est immatriculée la succursale extraie, grâce au système d'interconnexion des registres, les actes et informations sur la société pertinents pour la procédure d’immatriculation qui sont disponibles dans le registre de l’État membre où est immatriculée cette société, et il n’est pas demandé à la société de les fournir. Le registre peut également récupérer le certificat d’entreprise de l’UE en vertu de l’article 16 ter. Les États membres appliquent également le présent paragraphe à toute forme d’immatriculation des succursales autre qu’entièrement en ligne. </w:t>
            </w:r>
            <w:r w:rsidRPr="00F71B6F">
              <w:rPr>
                <w:b/>
                <w:i/>
              </w:rPr>
              <w:t>Les États membres peuvent néanmoins également utiliser d’autres moyens de communication, parallèlement à l’utilisation du système d’interconnexion des registres.</w:t>
            </w:r>
            <w:r w:rsidRPr="00F71B6F">
              <w:t xml:space="preserve"> </w:t>
            </w:r>
            <w:r w:rsidRPr="00F71B6F">
              <w:rPr>
                <w:b/>
                <w:i/>
              </w:rPr>
              <w:t>L’effet juridique et la recevabilité des documents et des informations communiqués par voie électronique au moyen du système d’interconnexion des registres ne peuvent être refusés au seul motif qu’ils se présentent sous une forme électronique. Ils ont la même valeur juridique que celle prévue par le registre de l’État membre dans lequel la société concernée est immatriculée.</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55</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36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40 – alinéa 1</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prévoi</w:t>
            </w:r>
            <w:bookmarkStart w:id="2" w:name="_GoBack"/>
            <w:bookmarkEnd w:id="2"/>
            <w:r w:rsidRPr="00F71B6F">
              <w:t>ent des sanctions effectives, proportionnées et dissuasives en cas de défaut de publicité dans les cas prévus aux articles 29, 30, 31, 36, 37 et</w:t>
            </w:r>
            <w:r w:rsidRPr="00F71B6F">
              <w:rPr>
                <w:b/>
                <w:i/>
              </w:rPr>
              <w:t xml:space="preserve"> </w:t>
            </w:r>
            <w:r w:rsidRPr="00F71B6F">
              <w:t>38, ainsi qu'en cas d'absence, sur les lettres et notes de commande, des informations obligatoires prévues aux articles 35 et</w:t>
            </w:r>
            <w:r w:rsidRPr="00F71B6F">
              <w:rPr>
                <w:b/>
                <w:i/>
              </w:rPr>
              <w:t xml:space="preserve"> </w:t>
            </w:r>
            <w:r w:rsidRPr="00F71B6F">
              <w:t>39.</w:t>
            </w:r>
          </w:p>
        </w:tc>
        <w:tc>
          <w:tcPr>
            <w:tcW w:w="4876" w:type="dxa"/>
            <w:hideMark/>
          </w:tcPr>
          <w:p w:rsidR="00E56EEB" w:rsidRPr="00F71B6F" w:rsidRDefault="00246AA0" w:rsidP="000D1F15">
            <w:pPr>
              <w:pStyle w:val="Normal6"/>
              <w:rPr>
                <w:szCs w:val="24"/>
              </w:rPr>
            </w:pPr>
            <w:r w:rsidRPr="00F71B6F">
              <w:t>Les États membres prévoient des sanctions effectives, proportionnées et dissuasives</w:t>
            </w:r>
            <w:r w:rsidRPr="00F71B6F">
              <w:rPr>
                <w:b/>
                <w:i/>
              </w:rPr>
              <w:t>, y compris des sanctions pécuniaires,</w:t>
            </w:r>
            <w:r w:rsidRPr="00F71B6F">
              <w:t xml:space="preserve"> en cas de défaut de publicité dans les cas prévus aux articles 29, 30, 31, 36, 37 et</w:t>
            </w:r>
            <w:r w:rsidRPr="00F71B6F">
              <w:rPr>
                <w:b/>
                <w:i/>
              </w:rPr>
              <w:t> </w:t>
            </w:r>
            <w:r w:rsidRPr="00F71B6F">
              <w:t>38, ainsi qu’en cas d’absence, sur les lettres et notes de commande, des informations obligatoires prévues aux articles 35 et</w:t>
            </w:r>
            <w:r w:rsidRPr="00F71B6F">
              <w:rPr>
                <w:b/>
                <w:i/>
              </w:rPr>
              <w:t> </w:t>
            </w:r>
            <w:r w:rsidRPr="00F71B6F">
              <w:t>39.</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56</w:t>
      </w:r>
      <w:r w:rsidRPr="00F71B6F">
        <w:rPr>
          <w:rStyle w:val="HideTWBExt"/>
          <w:b w:val="0"/>
        </w:rPr>
        <w:t>&lt;/NumAm&gt;</w:t>
      </w:r>
    </w:p>
    <w:p w:rsidR="00E56EEB" w:rsidRPr="00F71B6F" w:rsidRDefault="00E56EEB" w:rsidP="00E56EEB"/>
    <w:p w:rsidR="00E56EEB" w:rsidRPr="00F71B6F" w:rsidRDefault="00246AA0" w:rsidP="00E56EEB">
      <w:pPr>
        <w:pStyle w:val="NormalBold"/>
        <w:keepNext/>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2 – alinéa 1 – point 36</w:t>
      </w:r>
      <w:r w:rsidRPr="00F71B6F">
        <w:rPr>
          <w:rStyle w:val="HideTWBExt"/>
          <w:b w:val="0"/>
        </w:rPr>
        <w:t>&lt;/Article&gt;</w:t>
      </w:r>
    </w:p>
    <w:p w:rsidR="00E56EEB" w:rsidRPr="00F71B6F" w:rsidRDefault="00246AA0" w:rsidP="00E56EEB">
      <w:pPr>
        <w:keepNext/>
      </w:pPr>
      <w:r w:rsidRPr="00F71B6F">
        <w:rPr>
          <w:rStyle w:val="HideTWBExt"/>
        </w:rPr>
        <w:t>&lt;DocAmend2&gt;</w:t>
      </w:r>
      <w:r w:rsidRPr="00F71B6F">
        <w:t>Directive (UE) 2017/1132.</w:t>
      </w:r>
      <w:r w:rsidRPr="00F71B6F">
        <w:rPr>
          <w:rStyle w:val="HideTWBExt"/>
        </w:rPr>
        <w:t>&lt;/DocAmend2&gt;</w:t>
      </w:r>
    </w:p>
    <w:p w:rsidR="00E56EEB" w:rsidRPr="00F71B6F" w:rsidRDefault="00246AA0" w:rsidP="00E56EEB">
      <w:r w:rsidRPr="00F71B6F">
        <w:rPr>
          <w:rStyle w:val="HideTWBExt"/>
        </w:rPr>
        <w:t>&lt;Article2&gt;</w:t>
      </w:r>
      <w:r w:rsidRPr="00F71B6F">
        <w:t>Article 40 – alinéa 2</w:t>
      </w:r>
      <w:r w:rsidRPr="00F71B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jc w:val="center"/>
        </w:trPr>
        <w:tc>
          <w:tcPr>
            <w:tcW w:w="9752" w:type="dxa"/>
            <w:gridSpan w:val="2"/>
          </w:tcPr>
          <w:p w:rsidR="00E56EEB" w:rsidRPr="00F71B6F" w:rsidRDefault="00E56EEB" w:rsidP="000D1F15">
            <w:pPr>
              <w:keepNext/>
            </w:pPr>
          </w:p>
        </w:tc>
      </w:tr>
      <w:tr w:rsidR="00246AA0" w:rsidRPr="00F71B6F" w:rsidTr="000D1F15">
        <w:trPr>
          <w:jc w:val="center"/>
        </w:trPr>
        <w:tc>
          <w:tcPr>
            <w:tcW w:w="4876" w:type="dxa"/>
            <w:hideMark/>
          </w:tcPr>
          <w:p w:rsidR="00E56EEB" w:rsidRPr="00F71B6F" w:rsidRDefault="00246AA0" w:rsidP="000D1F15">
            <w:pPr>
              <w:pStyle w:val="ColumnHeading"/>
              <w:keepNext/>
            </w:pPr>
            <w:r w:rsidRPr="00F71B6F">
              <w:t>Texte proposé par la Commission</w:t>
            </w:r>
          </w:p>
        </w:tc>
        <w:tc>
          <w:tcPr>
            <w:tcW w:w="4876" w:type="dxa"/>
            <w:hideMark/>
          </w:tcPr>
          <w:p w:rsidR="00E56EEB" w:rsidRPr="00F71B6F" w:rsidRDefault="00246AA0" w:rsidP="000D1F15">
            <w:pPr>
              <w:pStyle w:val="ColumnHeading"/>
              <w:keepNext/>
            </w:pPr>
            <w:r w:rsidRPr="00F71B6F">
              <w:t>Amendement</w:t>
            </w:r>
          </w:p>
        </w:tc>
      </w:tr>
      <w:tr w:rsidR="00246AA0" w:rsidRPr="00F71B6F" w:rsidTr="000D1F15">
        <w:trPr>
          <w:jc w:val="center"/>
        </w:trPr>
        <w:tc>
          <w:tcPr>
            <w:tcW w:w="4876" w:type="dxa"/>
            <w:hideMark/>
          </w:tcPr>
          <w:p w:rsidR="00E56EEB" w:rsidRPr="00F71B6F" w:rsidRDefault="00246AA0" w:rsidP="000D1F15">
            <w:pPr>
              <w:pStyle w:val="Normal6"/>
            </w:pPr>
            <w:r w:rsidRPr="00F71B6F">
              <w:t>Les États membres prennent toutes les mesures nécessaires pour assurer l'application de ces sanctions.»;</w:t>
            </w:r>
          </w:p>
        </w:tc>
        <w:tc>
          <w:tcPr>
            <w:tcW w:w="4876" w:type="dxa"/>
            <w:hideMark/>
          </w:tcPr>
          <w:p w:rsidR="00E56EEB" w:rsidRPr="00F71B6F" w:rsidRDefault="00246AA0" w:rsidP="000D1F15">
            <w:pPr>
              <w:pStyle w:val="Normal6"/>
              <w:rPr>
                <w:szCs w:val="24"/>
              </w:rPr>
            </w:pPr>
            <w:r w:rsidRPr="00F71B6F">
              <w:t xml:space="preserve">Les États membres prennent toutes les mesures nécessaires pour assurer l'application de ces sanctions.»; </w:t>
            </w:r>
            <w:r w:rsidRPr="00F71B6F">
              <w:rPr>
                <w:b/>
                <w:i/>
              </w:rPr>
              <w:t>Pour déterminer la nature et le niveau approprié de sanction, il est dûment tenu compte de la gravité et de la durée de l’infraction, des éventuelles infractions antérieures et du chiffre d’affaires de la société.»;</w:t>
            </w:r>
          </w:p>
        </w:tc>
      </w:tr>
    </w:tbl>
    <w:p w:rsidR="00E56EEB" w:rsidRPr="00F71B6F" w:rsidRDefault="00246AA0" w:rsidP="00E56EEB">
      <w:r w:rsidRPr="00F71B6F">
        <w:rPr>
          <w:rStyle w:val="HideTWBExt"/>
        </w:rPr>
        <w:t>&lt;/Amend&gt;</w:t>
      </w:r>
    </w:p>
    <w:p w:rsidR="00E56EEB" w:rsidRPr="00F71B6F" w:rsidRDefault="00246AA0" w:rsidP="00E56EEB">
      <w:pPr>
        <w:pStyle w:val="AmNumberTabs"/>
      </w:pPr>
      <w:r w:rsidRPr="00F71B6F">
        <w:rPr>
          <w:rStyle w:val="HideTWBExt"/>
          <w:b w:val="0"/>
        </w:rPr>
        <w:t>&lt;Amend&gt;</w:t>
      </w:r>
      <w:r w:rsidRPr="00F71B6F">
        <w:t>Amendement</w:t>
      </w:r>
      <w:r w:rsidRPr="00F71B6F">
        <w:tab/>
      </w:r>
      <w:r w:rsidRPr="00F71B6F">
        <w:tab/>
      </w:r>
      <w:r w:rsidRPr="00F71B6F">
        <w:rPr>
          <w:rStyle w:val="HideTWBExt"/>
          <w:b w:val="0"/>
        </w:rPr>
        <w:t>&lt;NumAm&gt;</w:t>
      </w:r>
      <w:r w:rsidRPr="00F71B6F">
        <w:t>57</w:t>
      </w:r>
      <w:r w:rsidRPr="00F71B6F">
        <w:rPr>
          <w:rStyle w:val="HideTWBExt"/>
          <w:b w:val="0"/>
        </w:rPr>
        <w:t>&lt;/NumAm&gt;</w:t>
      </w:r>
    </w:p>
    <w:p w:rsidR="00E56EEB" w:rsidRPr="00F71B6F" w:rsidRDefault="00246AA0" w:rsidP="00E56EEB">
      <w:pPr>
        <w:pStyle w:val="NormalBold12b"/>
      </w:pPr>
      <w:r w:rsidRPr="00F71B6F">
        <w:rPr>
          <w:rStyle w:val="HideTWBExt"/>
          <w:b w:val="0"/>
        </w:rPr>
        <w:t>&lt;DocAmend&gt;</w:t>
      </w:r>
      <w:r w:rsidRPr="00F71B6F">
        <w:t>Proposition de directive</w:t>
      </w:r>
      <w:r w:rsidRPr="00F71B6F">
        <w:rPr>
          <w:rStyle w:val="HideTWBExt"/>
          <w:b w:val="0"/>
        </w:rPr>
        <w:t>&lt;/DocAmend&gt;</w:t>
      </w:r>
    </w:p>
    <w:p w:rsidR="00E56EEB" w:rsidRPr="00F71B6F" w:rsidRDefault="00246AA0" w:rsidP="00E56EEB">
      <w:pPr>
        <w:pStyle w:val="NormalBold"/>
      </w:pPr>
      <w:r w:rsidRPr="00F71B6F">
        <w:rPr>
          <w:rStyle w:val="HideTWBExt"/>
          <w:b w:val="0"/>
        </w:rPr>
        <w:t>&lt;Article&gt;</w:t>
      </w:r>
      <w:r w:rsidRPr="00F71B6F">
        <w:t>Article 4 – paragraphe 3 – point b bis (nouveau)</w:t>
      </w:r>
      <w:r w:rsidRPr="00F71B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AA0" w:rsidRPr="00F71B6F" w:rsidTr="000D1F15">
        <w:trPr>
          <w:trHeight w:hRule="exact" w:val="240"/>
          <w:jc w:val="center"/>
        </w:trPr>
        <w:tc>
          <w:tcPr>
            <w:tcW w:w="9752" w:type="dxa"/>
            <w:gridSpan w:val="2"/>
          </w:tcPr>
          <w:p w:rsidR="00E56EEB" w:rsidRPr="00F71B6F" w:rsidRDefault="00E56EEB" w:rsidP="000D1F15"/>
        </w:tc>
      </w:tr>
      <w:tr w:rsidR="00246AA0" w:rsidRPr="00F71B6F" w:rsidTr="000D1F15">
        <w:trPr>
          <w:trHeight w:val="240"/>
          <w:jc w:val="center"/>
        </w:trPr>
        <w:tc>
          <w:tcPr>
            <w:tcW w:w="4876" w:type="dxa"/>
          </w:tcPr>
          <w:p w:rsidR="00E56EEB" w:rsidRPr="00F71B6F" w:rsidRDefault="00246AA0" w:rsidP="000D1F15">
            <w:pPr>
              <w:pStyle w:val="AmColumnHeading"/>
            </w:pPr>
            <w:r w:rsidRPr="00F71B6F">
              <w:t>Texte proposé par la Commission</w:t>
            </w:r>
          </w:p>
        </w:tc>
        <w:tc>
          <w:tcPr>
            <w:tcW w:w="4876" w:type="dxa"/>
          </w:tcPr>
          <w:p w:rsidR="00E56EEB" w:rsidRPr="00F71B6F" w:rsidRDefault="00246AA0" w:rsidP="000D1F15">
            <w:pPr>
              <w:pStyle w:val="AmColumnHeading"/>
            </w:pPr>
            <w:r w:rsidRPr="00F71B6F">
              <w:t>Amendement</w:t>
            </w:r>
          </w:p>
        </w:tc>
      </w:tr>
      <w:tr w:rsidR="00246AA0" w:rsidRPr="00F71B6F" w:rsidTr="000D1F15">
        <w:trPr>
          <w:jc w:val="center"/>
        </w:trPr>
        <w:tc>
          <w:tcPr>
            <w:tcW w:w="4876" w:type="dxa"/>
          </w:tcPr>
          <w:p w:rsidR="00E56EEB" w:rsidRPr="00F71B6F" w:rsidRDefault="00E56EEB" w:rsidP="000D1F15">
            <w:pPr>
              <w:pStyle w:val="Normal6a"/>
            </w:pPr>
          </w:p>
        </w:tc>
        <w:tc>
          <w:tcPr>
            <w:tcW w:w="4876" w:type="dxa"/>
          </w:tcPr>
          <w:p w:rsidR="00E56EEB" w:rsidRPr="00F71B6F" w:rsidRDefault="00246AA0" w:rsidP="000D1F15">
            <w:pPr>
              <w:pStyle w:val="Normal6a"/>
            </w:pPr>
            <w:r w:rsidRPr="00F71B6F">
              <w:rPr>
                <w:b/>
                <w:i/>
              </w:rPr>
              <w:t>b bis)</w:t>
            </w:r>
            <w:r w:rsidRPr="00F71B6F">
              <w:tab/>
            </w:r>
            <w:r w:rsidRPr="00F71B6F">
              <w:rPr>
                <w:b/>
                <w:i/>
              </w:rPr>
              <w:t>les facteurs qui favorisent l’utilisation d’outils et de processus numériques dans le droit des sociétés ou qui dissuadent de les utiliser.</w:t>
            </w:r>
          </w:p>
        </w:tc>
      </w:tr>
    </w:tbl>
    <w:p w:rsidR="00E56EEB" w:rsidRPr="00F71B6F" w:rsidRDefault="00246AA0" w:rsidP="00E56EEB">
      <w:r w:rsidRPr="00F71B6F">
        <w:rPr>
          <w:rStyle w:val="HideTWBExt"/>
        </w:rPr>
        <w:t>&lt;/Amend&gt;</w:t>
      </w:r>
    </w:p>
    <w:p w:rsidR="00E56EEB" w:rsidRPr="00F71B6F" w:rsidRDefault="00E56EEB" w:rsidP="00E56EEB">
      <w:pPr>
        <w:rPr>
          <w:rStyle w:val="HideTWBExt"/>
        </w:rPr>
      </w:pPr>
    </w:p>
    <w:p w:rsidR="00E56EEB" w:rsidRPr="00F71B6F" w:rsidRDefault="00246AA0" w:rsidP="00E56EEB">
      <w:r w:rsidRPr="00F71B6F">
        <w:rPr>
          <w:rStyle w:val="HideTWBExt"/>
        </w:rPr>
        <w:t>&lt;/RepeatBlock-Amend&gt;</w:t>
      </w:r>
    </w:p>
    <w:p w:rsidR="00E56EEB" w:rsidRPr="00F71B6F" w:rsidRDefault="00E56EEB" w:rsidP="00E56EEB"/>
    <w:p w:rsidR="00E56EEB" w:rsidRPr="00F71B6F" w:rsidRDefault="00E56EEB" w:rsidP="00E56EEB"/>
    <w:p w:rsidR="000B0B4D" w:rsidRPr="00F71B6F" w:rsidRDefault="000B0B4D" w:rsidP="00E37BBB">
      <w:pPr>
        <w:pStyle w:val="AmNumberTabs"/>
        <w:keepNext/>
        <w:sectPr w:rsidR="000B0B4D" w:rsidRPr="00F71B6F" w:rsidSect="006425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F71B6F" w:rsidRDefault="00246AA0" w:rsidP="000B0B4D">
      <w:pPr>
        <w:pStyle w:val="PageHeading"/>
      </w:pPr>
      <w:bookmarkStart w:id="3" w:name="_Toc155786550"/>
      <w:r w:rsidRPr="00F71B6F">
        <w:t>EXPOSÉ DES MOTIFS</w:t>
      </w:r>
      <w:bookmarkEnd w:id="3"/>
    </w:p>
    <w:p w:rsidR="000B0B4D" w:rsidRPr="00F71B6F" w:rsidRDefault="000B0B4D" w:rsidP="000B0B4D"/>
    <w:p w:rsidR="00E56EEB" w:rsidRPr="00F71B6F" w:rsidRDefault="00246AA0" w:rsidP="00E56EEB">
      <w:pPr>
        <w:shd w:val="clear" w:color="auto" w:fill="FFFFFF"/>
        <w:rPr>
          <w:rFonts w:ascii="Helvetica" w:hAnsi="Helvetica" w:cs="Helvetica"/>
          <w:szCs w:val="24"/>
        </w:rPr>
      </w:pPr>
      <w:bookmarkStart w:id="4" w:name="ProcPageRR"/>
      <w:r w:rsidRPr="00F71B6F">
        <w:rPr>
          <w:b/>
        </w:rPr>
        <w:t>Introduction</w:t>
      </w:r>
    </w:p>
    <w:p w:rsidR="00E56EEB" w:rsidRPr="00F71B6F" w:rsidRDefault="00E56EEB" w:rsidP="00E56EEB">
      <w:pPr>
        <w:shd w:val="clear" w:color="auto" w:fill="FFFFFF"/>
        <w:rPr>
          <w:szCs w:val="24"/>
        </w:rPr>
      </w:pPr>
    </w:p>
    <w:p w:rsidR="00E56EEB" w:rsidRPr="00F71B6F" w:rsidRDefault="00246AA0" w:rsidP="00E56EEB">
      <w:pPr>
        <w:shd w:val="clear" w:color="auto" w:fill="FFFFFF"/>
        <w:rPr>
          <w:szCs w:val="24"/>
        </w:rPr>
      </w:pPr>
      <w:r w:rsidRPr="00F71B6F">
        <w:t xml:space="preserve">Le rapporteur se félicite de la proposition de directive de la Commission visant à l’amélioration de l’utilisation des outils et processus numériques dans le domaine du droit des sociétés. Le rapporteur reconnaît qu’il est important de tenir compte de l’évolution de la numérisation et de la technologie des dernières années et estime que les changements dans la manière dont les entreprises s’immatriculent et dont les sociétés et les autorités fonctionnent et communiquent sur les questions liées au droit des sociétés doivent être prises en considération dans le cadre juridique de l’Union. </w:t>
      </w:r>
    </w:p>
    <w:p w:rsidR="00E56EEB" w:rsidRPr="00F71B6F" w:rsidRDefault="00E56EEB" w:rsidP="00E56EEB">
      <w:pPr>
        <w:shd w:val="clear" w:color="auto" w:fill="FFFFFF"/>
        <w:rPr>
          <w:szCs w:val="24"/>
        </w:rPr>
      </w:pPr>
    </w:p>
    <w:p w:rsidR="00E56EEB" w:rsidRPr="00F71B6F" w:rsidRDefault="00246AA0" w:rsidP="00E56EEB">
      <w:pPr>
        <w:shd w:val="clear" w:color="auto" w:fill="FFFFFF"/>
        <w:rPr>
          <w:szCs w:val="24"/>
        </w:rPr>
      </w:pPr>
      <w:r w:rsidRPr="00F71B6F">
        <w:t xml:space="preserve">De l’avis du rapporteur, l’objectif principal de la présente proposition devrait être de réduire la charge administrative des sociétés afin qu’elles puissent bénéficier pleinement d’un marché unique harmonisé, intégré et numérisé, sans barrières administratives. </w:t>
      </w:r>
    </w:p>
    <w:p w:rsidR="00E56EEB" w:rsidRPr="00F71B6F" w:rsidRDefault="00E56EEB" w:rsidP="00E56EEB">
      <w:pPr>
        <w:shd w:val="clear" w:color="auto" w:fill="FFFFFF"/>
        <w:rPr>
          <w:szCs w:val="24"/>
        </w:rPr>
      </w:pPr>
    </w:p>
    <w:p w:rsidR="00E56EEB" w:rsidRPr="00F71B6F" w:rsidRDefault="00246AA0" w:rsidP="00E56EEB">
      <w:pPr>
        <w:shd w:val="clear" w:color="auto" w:fill="FFFFFF"/>
        <w:rPr>
          <w:b/>
          <w:szCs w:val="24"/>
        </w:rPr>
      </w:pPr>
      <w:r w:rsidRPr="00F71B6F">
        <w:rPr>
          <w:b/>
        </w:rPr>
        <w:t>Contrôles électroniques publics complémentaires de l’identité, de la capacité juridique et de la légalité</w:t>
      </w:r>
    </w:p>
    <w:p w:rsidR="00E56EEB" w:rsidRPr="00F71B6F" w:rsidRDefault="00E56EEB" w:rsidP="00E56EEB">
      <w:pPr>
        <w:shd w:val="clear" w:color="auto" w:fill="FFFFFF"/>
        <w:rPr>
          <w:szCs w:val="24"/>
        </w:rPr>
      </w:pPr>
    </w:p>
    <w:p w:rsidR="00E56EEB" w:rsidRPr="00F71B6F" w:rsidRDefault="00246AA0" w:rsidP="00E56EEB">
      <w:pPr>
        <w:shd w:val="clear" w:color="auto" w:fill="FFFFFF"/>
        <w:rPr>
          <w:szCs w:val="24"/>
        </w:rPr>
      </w:pPr>
      <w:r w:rsidRPr="00F71B6F">
        <w:t>Le rapporteur estime que la légalité des transactions relevant du droit des sociétés, la protection des registres publics fiables et la prévention des activités illégales requièrent l’identification correcte et sûre des participants aux transactions relevant du droit des sociétés ainsi que la vérification de leur capacité juridique. L’identification fiable du client conformément au principe de «connaissance du client» en application des règles LBC/FT est la condition préalable au respect des obligations de vigilance à l’égard de la clientèle aux fins de la LBC/FT et donc à la prévention du blanchiment de capitaux et du financement du terrorisme.</w:t>
      </w:r>
    </w:p>
    <w:p w:rsidR="00E56EEB" w:rsidRPr="00F71B6F" w:rsidRDefault="00E56EEB" w:rsidP="00E56EEB">
      <w:pPr>
        <w:shd w:val="clear" w:color="auto" w:fill="FFFFFF"/>
        <w:rPr>
          <w:szCs w:val="24"/>
        </w:rPr>
      </w:pPr>
    </w:p>
    <w:p w:rsidR="00E56EEB" w:rsidRPr="00F71B6F" w:rsidRDefault="00246AA0" w:rsidP="00E56EEB">
      <w:pPr>
        <w:shd w:val="clear" w:color="auto" w:fill="FFFFFF"/>
        <w:rPr>
          <w:b/>
          <w:szCs w:val="24"/>
        </w:rPr>
      </w:pPr>
      <w:r w:rsidRPr="00F71B6F">
        <w:rPr>
          <w:b/>
        </w:rPr>
        <w:t>Les confirmations annuelles des informations relatives au groupe ne doivent pas constituer une charge administrative supplémentaire pour les sociétés</w:t>
      </w:r>
    </w:p>
    <w:p w:rsidR="00E56EEB" w:rsidRPr="00F71B6F" w:rsidRDefault="00E56EEB" w:rsidP="00E56EEB">
      <w:pPr>
        <w:shd w:val="clear" w:color="auto" w:fill="FFFFFF"/>
        <w:rPr>
          <w:szCs w:val="24"/>
        </w:rPr>
      </w:pPr>
    </w:p>
    <w:p w:rsidR="00E56EEB" w:rsidRPr="00F71B6F" w:rsidRDefault="00246AA0" w:rsidP="00E56EEB">
      <w:pPr>
        <w:shd w:val="clear" w:color="auto" w:fill="FFFFFF"/>
        <w:rPr>
          <w:szCs w:val="24"/>
        </w:rPr>
      </w:pPr>
      <w:r w:rsidRPr="00F71B6F">
        <w:t>Le rapporteur n’est pas d’accord avec l’idée d’imposer de nouvelles obligations et une charge inutile aux sociétés et s’oppose donc à la proposition de la Commission de soumettre les sociétés mères à l’obligation de mettre à jour ou de confirmer les informations relatives au groupe, au moins une fois par an.</w:t>
      </w:r>
    </w:p>
    <w:p w:rsidR="00E56EEB" w:rsidRPr="00F71B6F" w:rsidRDefault="00E56EEB" w:rsidP="00E56EEB">
      <w:pPr>
        <w:shd w:val="clear" w:color="auto" w:fill="FFFFFF"/>
        <w:rPr>
          <w:szCs w:val="24"/>
        </w:rPr>
      </w:pPr>
    </w:p>
    <w:p w:rsidR="00E56EEB" w:rsidRPr="00F71B6F" w:rsidRDefault="00246AA0" w:rsidP="00E56EEB">
      <w:pPr>
        <w:shd w:val="clear" w:color="auto" w:fill="FFFFFF"/>
        <w:rPr>
          <w:b/>
          <w:szCs w:val="24"/>
        </w:rPr>
      </w:pPr>
      <w:r w:rsidRPr="00F71B6F">
        <w:rPr>
          <w:b/>
        </w:rPr>
        <w:t>Pas de frais pour l’obtention d’un certificat d’entreprise de l’UE</w:t>
      </w:r>
    </w:p>
    <w:p w:rsidR="00E56EEB" w:rsidRPr="00F71B6F" w:rsidRDefault="00E56EEB" w:rsidP="00E56EEB">
      <w:pPr>
        <w:shd w:val="clear" w:color="auto" w:fill="FFFFFF"/>
        <w:rPr>
          <w:szCs w:val="24"/>
        </w:rPr>
      </w:pPr>
    </w:p>
    <w:p w:rsidR="00E56EEB" w:rsidRPr="00F71B6F" w:rsidRDefault="00246AA0" w:rsidP="00E56EEB">
      <w:pPr>
        <w:shd w:val="clear" w:color="auto" w:fill="FFFFFF"/>
        <w:rPr>
          <w:szCs w:val="24"/>
        </w:rPr>
      </w:pPr>
      <w:r w:rsidRPr="00F71B6F">
        <w:t xml:space="preserve">Le rapporteur estime que les sociétés devraient être encouragées à demander un certificat d’entreprise de l’UE et s’oppose donc à l’idée que les États membres facturent des frais aux sociétés pour l’obtention d’un certificat d’entreprise de l’UE. </w:t>
      </w:r>
    </w:p>
    <w:p w:rsidR="00E56EEB" w:rsidRPr="00F71B6F" w:rsidRDefault="00E56EEB" w:rsidP="00E56EEB">
      <w:pPr>
        <w:shd w:val="clear" w:color="auto" w:fill="FFFFFF"/>
        <w:rPr>
          <w:szCs w:val="24"/>
        </w:rPr>
      </w:pPr>
    </w:p>
    <w:p w:rsidR="00E56EEB" w:rsidRPr="00F71B6F" w:rsidRDefault="00246AA0" w:rsidP="00E56EEB">
      <w:pPr>
        <w:shd w:val="clear" w:color="auto" w:fill="FFFFFF"/>
        <w:rPr>
          <w:b/>
          <w:szCs w:val="24"/>
        </w:rPr>
      </w:pPr>
      <w:r w:rsidRPr="00F71B6F">
        <w:rPr>
          <w:b/>
        </w:rPr>
        <w:t>Procuration de l’UE</w:t>
      </w:r>
    </w:p>
    <w:p w:rsidR="00E56EEB" w:rsidRPr="00F71B6F" w:rsidRDefault="00E56EEB" w:rsidP="00E56EEB">
      <w:pPr>
        <w:shd w:val="clear" w:color="auto" w:fill="FFFFFF"/>
        <w:rPr>
          <w:b/>
          <w:szCs w:val="24"/>
        </w:rPr>
      </w:pPr>
    </w:p>
    <w:p w:rsidR="00E56EEB" w:rsidRPr="00F71B6F" w:rsidRDefault="00246AA0" w:rsidP="00E56EEB">
      <w:pPr>
        <w:shd w:val="clear" w:color="auto" w:fill="FFFFFF"/>
        <w:rPr>
          <w:szCs w:val="24"/>
        </w:rPr>
      </w:pPr>
      <w:r w:rsidRPr="00F71B6F">
        <w:t xml:space="preserve">Le rapporteur estime que la procuration de l’UE devrait être signée à l’aide de signatures électroniques qualifiées ou, si la procuration numérique de l’UE est certifiée ou authentifiée, que l’autorité de certification ou d’authentification devrait utiliser des signatures ou des sceaux électroniques qualifiés. Une fois déposée, la procuration numérique de l’UE devrait être considérée comme valide sous sa forme publiée dans le registre. Toute modification ou révocation de la procuration de l’UE doit être publiée dans le registre. </w:t>
      </w:r>
    </w:p>
    <w:p w:rsidR="00E56EEB" w:rsidRPr="00F71B6F" w:rsidRDefault="00E56EEB" w:rsidP="00E56EEB">
      <w:pPr>
        <w:shd w:val="clear" w:color="auto" w:fill="FFFFFF"/>
        <w:rPr>
          <w:szCs w:val="24"/>
        </w:rPr>
      </w:pPr>
    </w:p>
    <w:p w:rsidR="00E56EEB" w:rsidRPr="00F71B6F" w:rsidRDefault="00E56EEB" w:rsidP="00E56EEB">
      <w:pPr>
        <w:shd w:val="clear" w:color="auto" w:fill="FFFFFF"/>
        <w:rPr>
          <w:szCs w:val="24"/>
        </w:rPr>
      </w:pPr>
    </w:p>
    <w:p w:rsidR="00E56EEB" w:rsidRPr="00F71B6F" w:rsidRDefault="00E56EEB" w:rsidP="00E56EEB">
      <w:pPr>
        <w:sectPr w:rsidR="00E56EEB" w:rsidRPr="00F71B6F" w:rsidSect="00E56EE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56EEB" w:rsidRPr="00F71B6F" w:rsidRDefault="00246AA0" w:rsidP="00E56EEB">
      <w:pPr>
        <w:pStyle w:val="PageHeading"/>
      </w:pPr>
      <w:bookmarkStart w:id="5" w:name="_Toc152672211"/>
      <w:bookmarkStart w:id="6" w:name="_Toc155786551"/>
      <w:r w:rsidRPr="00F71B6F">
        <w:t>ANNEXE: LISTE DES ENTITÉS OU PERSONNES AYANT APPORTÉ LEUR CONTRIBUTION AU RAPPORTEUR POUR AVIS</w:t>
      </w:r>
      <w:bookmarkEnd w:id="5"/>
      <w:bookmarkEnd w:id="6"/>
    </w:p>
    <w:p w:rsidR="00E56EEB" w:rsidRPr="00F71B6F" w:rsidRDefault="00246AA0" w:rsidP="00E56EEB">
      <w:pPr>
        <w:spacing w:before="9" w:line="360" w:lineRule="auto"/>
        <w:ind w:right="159"/>
        <w:rPr>
          <w:rFonts w:eastAsia="Calibri"/>
          <w:sz w:val="22"/>
          <w:szCs w:val="22"/>
        </w:rPr>
      </w:pPr>
      <w:r w:rsidRPr="00F71B6F">
        <w:rPr>
          <w:sz w:val="22"/>
        </w:rPr>
        <w:t>Conformément à l’article 8 de l’annexe I du règlement intérieur, le rapporteur déclare avoir reçu des contributions des entités ou personnes suivantes pour l’élaboration du rapport, préalablement à son adoption en commission:</w:t>
      </w:r>
    </w:p>
    <w:p w:rsidR="00E56EEB" w:rsidRPr="00F71B6F" w:rsidRDefault="00E56EEB" w:rsidP="00E56EEB">
      <w:pPr>
        <w:spacing w:before="9" w:line="360" w:lineRule="auto"/>
        <w:ind w:right="159"/>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spacing w:line="260" w:lineRule="exact"/>
              <w:ind w:left="3567" w:right="3563"/>
              <w:jc w:val="both"/>
              <w:rPr>
                <w:rFonts w:eastAsia="Calibri"/>
                <w:b/>
                <w:sz w:val="22"/>
                <w:szCs w:val="22"/>
              </w:rPr>
            </w:pPr>
            <w:r w:rsidRPr="00F71B6F">
              <w:rPr>
                <w:b/>
                <w:sz w:val="22"/>
              </w:rPr>
              <w:t>Entité et/ou personne</w:t>
            </w:r>
          </w:p>
        </w:tc>
      </w:tr>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Commission européenne – DG JUST</w:t>
            </w:r>
          </w:p>
        </w:tc>
      </w:tr>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Conseil des notaires de l’Union européenne (CNUE)</w:t>
            </w:r>
          </w:p>
        </w:tc>
      </w:tr>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Bundesnotarkammer K.d.ö.R</w:t>
            </w:r>
          </w:p>
        </w:tc>
      </w:tr>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Conseil des barreaux européens (CCBE)</w:t>
            </w:r>
          </w:p>
        </w:tc>
      </w:tr>
      <w:tr w:rsidR="00246AA0"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EuropeanIssuers</w:t>
            </w:r>
          </w:p>
        </w:tc>
      </w:tr>
      <w:tr w:rsidR="00DE0701" w:rsidRPr="00F71B6F" w:rsidTr="000D1F15">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E56EEB" w:rsidRPr="00F71B6F" w:rsidRDefault="00246AA0" w:rsidP="000D1F15">
            <w:pPr>
              <w:rPr>
                <w:sz w:val="22"/>
              </w:rPr>
            </w:pPr>
            <w:r w:rsidRPr="00F71B6F">
              <w:t>Conseil National des Greffiers des Tribunaux de Commerce (CNGTC)</w:t>
            </w:r>
          </w:p>
        </w:tc>
      </w:tr>
    </w:tbl>
    <w:p w:rsidR="00E56EEB" w:rsidRPr="00F71B6F" w:rsidRDefault="00E56EEB" w:rsidP="00E56EEB">
      <w:pPr>
        <w:spacing w:before="9" w:line="360" w:lineRule="auto"/>
        <w:ind w:right="159"/>
        <w:rPr>
          <w:sz w:val="22"/>
        </w:rPr>
      </w:pPr>
    </w:p>
    <w:p w:rsidR="00E56EEB" w:rsidRPr="00F71B6F" w:rsidRDefault="00E56EEB" w:rsidP="00E56EEB">
      <w:pPr>
        <w:spacing w:line="200" w:lineRule="exact"/>
        <w:rPr>
          <w:rFonts w:ascii="Calibri" w:eastAsiaTheme="minorHAnsi" w:hAnsi="Calibri" w:cs="Calibri"/>
          <w:sz w:val="22"/>
          <w:szCs w:val="22"/>
          <w:lang w:eastAsia="en-US"/>
        </w:rPr>
      </w:pPr>
    </w:p>
    <w:p w:rsidR="00E56EEB" w:rsidRPr="00F71B6F" w:rsidRDefault="00246AA0" w:rsidP="00E56EEB">
      <w:pPr>
        <w:spacing w:line="200" w:lineRule="exact"/>
      </w:pPr>
      <w:r w:rsidRPr="00F71B6F">
        <w:rPr>
          <w:sz w:val="22"/>
        </w:rPr>
        <w:t>La liste ci-dessus est établie sous la responsabilité exclusive du rapporteur.</w:t>
      </w:r>
    </w:p>
    <w:p w:rsidR="00E56EEB" w:rsidRPr="00F71B6F" w:rsidRDefault="00E56EEB" w:rsidP="00E56EEB">
      <w:pPr>
        <w:spacing w:line="200" w:lineRule="exact"/>
      </w:pPr>
    </w:p>
    <w:p w:rsidR="00E56EEB" w:rsidRPr="00F71B6F" w:rsidRDefault="00E56EEB" w:rsidP="00E56EEB"/>
    <w:p w:rsidR="00E56EEB" w:rsidRPr="00F71B6F" w:rsidRDefault="00246AA0" w:rsidP="00E56EEB">
      <w:r w:rsidRPr="00F71B6F">
        <w:br w:type="page"/>
      </w:r>
    </w:p>
    <w:p w:rsidR="00947CAA" w:rsidRPr="00F71B6F" w:rsidRDefault="00246AA0" w:rsidP="00947CAA">
      <w:pPr>
        <w:pStyle w:val="PageHeading"/>
      </w:pPr>
      <w:bookmarkStart w:id="7" w:name="_Toc155786552"/>
      <w:r w:rsidRPr="00F71B6F">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Modification des directives 2009/102/CE et (UE) 2017/1132 visant à étendre et à améliorer l’utilisation des outils et processus numériques dans le domaine du droit des sociétés</w:t>
            </w: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COM(2023)0177 – C9-0121/2023 – 2023/0089(COD)</w:t>
            </w: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30.3.2023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Commission compétente au fond</w:t>
            </w:r>
          </w:p>
          <w:p w:rsidR="00947CAA" w:rsidRPr="00F71B6F" w:rsidRDefault="00246AA0">
            <w:pPr>
              <w:autoSpaceDE w:val="0"/>
              <w:autoSpaceDN w:val="0"/>
              <w:adjustRightInd w:val="0"/>
              <w:rPr>
                <w:sz w:val="20"/>
              </w:rPr>
            </w:pPr>
            <w:r w:rsidRPr="00F71B6F">
              <w:rPr>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JURI</w:t>
            </w:r>
          </w:p>
          <w:p w:rsidR="00947CAA" w:rsidRPr="00F71B6F" w:rsidRDefault="00246AA0">
            <w:pPr>
              <w:autoSpaceDE w:val="0"/>
              <w:autoSpaceDN w:val="0"/>
              <w:adjustRightInd w:val="0"/>
              <w:rPr>
                <w:sz w:val="20"/>
              </w:rPr>
            </w:pPr>
            <w:r w:rsidRPr="00F71B6F">
              <w:rPr>
                <w:sz w:val="20"/>
              </w:rPr>
              <w:t>17.4.2023</w:t>
            </w: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Commissions saisies pour avis</w:t>
            </w:r>
          </w:p>
          <w:p w:rsidR="00947CAA" w:rsidRPr="00F71B6F" w:rsidRDefault="00246AA0">
            <w:pPr>
              <w:autoSpaceDE w:val="0"/>
              <w:autoSpaceDN w:val="0"/>
              <w:adjustRightInd w:val="0"/>
              <w:rPr>
                <w:sz w:val="20"/>
              </w:rPr>
            </w:pPr>
            <w:r w:rsidRPr="00F71B6F">
              <w:rPr>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IMCO</w:t>
            </w:r>
          </w:p>
          <w:p w:rsidR="00947CAA" w:rsidRPr="00F71B6F" w:rsidRDefault="00246AA0">
            <w:pPr>
              <w:autoSpaceDE w:val="0"/>
              <w:autoSpaceDN w:val="0"/>
              <w:adjustRightInd w:val="0"/>
              <w:rPr>
                <w:sz w:val="20"/>
              </w:rPr>
            </w:pPr>
            <w:r w:rsidRPr="00F71B6F">
              <w:rPr>
                <w:sz w:val="20"/>
              </w:rPr>
              <w:t>17.4.2023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Avis non émis</w:t>
            </w:r>
          </w:p>
          <w:p w:rsidR="00947CAA" w:rsidRPr="00F71B6F" w:rsidRDefault="00246AA0">
            <w:pPr>
              <w:autoSpaceDE w:val="0"/>
              <w:autoSpaceDN w:val="0"/>
              <w:adjustRightInd w:val="0"/>
              <w:rPr>
                <w:sz w:val="20"/>
              </w:rPr>
            </w:pPr>
            <w:r w:rsidRPr="00F71B6F">
              <w:rPr>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IMCO</w:t>
            </w:r>
          </w:p>
          <w:p w:rsidR="00947CAA" w:rsidRPr="00F71B6F" w:rsidRDefault="00246AA0">
            <w:pPr>
              <w:autoSpaceDE w:val="0"/>
              <w:autoSpaceDN w:val="0"/>
              <w:adjustRightInd w:val="0"/>
              <w:rPr>
                <w:sz w:val="20"/>
              </w:rPr>
            </w:pPr>
            <w:r w:rsidRPr="00F71B6F">
              <w:rPr>
                <w:sz w:val="20"/>
              </w:rPr>
              <w:t>25.4.2023</w:t>
            </w: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Rapporteurs</w:t>
            </w:r>
          </w:p>
          <w:p w:rsidR="00947CAA" w:rsidRPr="00F71B6F" w:rsidRDefault="00246AA0">
            <w:pPr>
              <w:autoSpaceDE w:val="0"/>
              <w:autoSpaceDN w:val="0"/>
              <w:adjustRightInd w:val="0"/>
              <w:rPr>
                <w:sz w:val="20"/>
              </w:rPr>
            </w:pPr>
            <w:r w:rsidRPr="00F71B6F">
              <w:rPr>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Emil Radev</w:t>
            </w:r>
          </w:p>
          <w:p w:rsidR="00947CAA" w:rsidRPr="00F71B6F" w:rsidRDefault="00246AA0">
            <w:pPr>
              <w:autoSpaceDE w:val="0"/>
              <w:autoSpaceDN w:val="0"/>
              <w:adjustRightInd w:val="0"/>
              <w:rPr>
                <w:sz w:val="20"/>
              </w:rPr>
            </w:pPr>
            <w:r w:rsidRPr="00F71B6F">
              <w:rPr>
                <w:sz w:val="20"/>
              </w:rPr>
              <w:t>5.5.2023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27.6.2023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7.9.2023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24.10.2023</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947CAA">
            <w:pPr>
              <w:autoSpaceDE w:val="0"/>
              <w:autoSpaceDN w:val="0"/>
              <w:adjustRightInd w:val="0"/>
              <w:rPr>
                <w:rFonts w:ascii="sans-serif" w:hAnsi="sans-serif" w:cs="sans-serif"/>
                <w:szCs w:val="24"/>
              </w:rPr>
            </w:pP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w:t>
            </w:r>
          </w:p>
          <w:p w:rsidR="00947CAA" w:rsidRPr="00F71B6F" w:rsidRDefault="00246AA0">
            <w:pPr>
              <w:autoSpaceDE w:val="0"/>
              <w:autoSpaceDN w:val="0"/>
              <w:adjustRightInd w:val="0"/>
              <w:rPr>
                <w:sz w:val="20"/>
              </w:rPr>
            </w:pPr>
            <w:r w:rsidRPr="00F71B6F">
              <w:rPr>
                <w:sz w:val="20"/>
              </w:rPr>
              <w:t>–:</w:t>
            </w:r>
          </w:p>
          <w:p w:rsidR="00947CAA" w:rsidRPr="00F71B6F" w:rsidRDefault="00246AA0">
            <w:pPr>
              <w:autoSpaceDE w:val="0"/>
              <w:autoSpaceDN w:val="0"/>
              <w:adjustRightInd w:val="0"/>
              <w:rPr>
                <w:sz w:val="20"/>
              </w:rPr>
            </w:pPr>
            <w:r w:rsidRPr="00F71B6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22</w:t>
            </w:r>
          </w:p>
          <w:p w:rsidR="00947CAA" w:rsidRPr="00F71B6F" w:rsidRDefault="00246AA0">
            <w:pPr>
              <w:autoSpaceDE w:val="0"/>
              <w:autoSpaceDN w:val="0"/>
              <w:adjustRightInd w:val="0"/>
              <w:rPr>
                <w:sz w:val="20"/>
              </w:rPr>
            </w:pPr>
            <w:r w:rsidRPr="00F71B6F">
              <w:rPr>
                <w:sz w:val="20"/>
              </w:rPr>
              <w:t>0</w:t>
            </w:r>
          </w:p>
          <w:p w:rsidR="00947CAA" w:rsidRPr="00F71B6F" w:rsidRDefault="00246AA0">
            <w:pPr>
              <w:autoSpaceDE w:val="0"/>
              <w:autoSpaceDN w:val="0"/>
              <w:adjustRightInd w:val="0"/>
              <w:rPr>
                <w:sz w:val="20"/>
              </w:rPr>
            </w:pPr>
            <w:r w:rsidRPr="00F71B6F">
              <w:rPr>
                <w:sz w:val="20"/>
              </w:rPr>
              <w:t>0</w:t>
            </w:r>
          </w:p>
        </w:tc>
      </w:tr>
      <w:tr w:rsidR="00246AA0" w:rsidRPr="00F71B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Pascal Arimont,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Daniel Buda, Pascal Durand, Heidi Hautala</w:t>
            </w: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Sylvie Guillaume, Pedro Marques, Anne-Sophie Pelletier</w:t>
            </w:r>
          </w:p>
        </w:tc>
      </w:tr>
      <w:tr w:rsidR="00246AA0" w:rsidRPr="00F71B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b/>
                <w:bCs/>
                <w:sz w:val="20"/>
              </w:rPr>
            </w:pPr>
            <w:r w:rsidRPr="00F71B6F">
              <w:rPr>
                <w:b/>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7CAA" w:rsidRPr="00F71B6F" w:rsidRDefault="00246AA0">
            <w:pPr>
              <w:autoSpaceDE w:val="0"/>
              <w:autoSpaceDN w:val="0"/>
              <w:adjustRightInd w:val="0"/>
              <w:rPr>
                <w:sz w:val="20"/>
              </w:rPr>
            </w:pPr>
            <w:r w:rsidRPr="00F71B6F">
              <w:rPr>
                <w:sz w:val="20"/>
              </w:rPr>
              <w:t>5.12.2023</w:t>
            </w:r>
          </w:p>
        </w:tc>
      </w:tr>
    </w:tbl>
    <w:p w:rsidR="00947CAA" w:rsidRPr="00F71B6F" w:rsidRDefault="00947CAA"/>
    <w:bookmarkEnd w:id="4"/>
    <w:p w:rsidR="00E56EEB" w:rsidRPr="00F71B6F" w:rsidRDefault="00E56EEB" w:rsidP="00E56EEB">
      <w:pPr>
        <w:sectPr w:rsidR="00E56EEB" w:rsidRPr="00F71B6F" w:rsidSect="00E56EE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56EEB" w:rsidRPr="00F71B6F" w:rsidRDefault="00E56EEB" w:rsidP="00E56EEB"/>
    <w:p w:rsidR="00E56EEB" w:rsidRPr="00F71B6F" w:rsidRDefault="00246AA0" w:rsidP="008B71C9">
      <w:pPr>
        <w:pStyle w:val="PageHeading"/>
      </w:pPr>
      <w:bookmarkStart w:id="8" w:name="RollCallPageRR"/>
      <w:bookmarkStart w:id="9" w:name="_Toc155786553"/>
      <w:r w:rsidRPr="00F71B6F">
        <w:t>VOTE FINAL PAR APPEL NOMINAL</w:t>
      </w:r>
      <w:r w:rsidRPr="00F71B6F">
        <w:br/>
        <w:t>EN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AA0" w:rsidRPr="00F71B6F" w:rsidTr="000D1F15">
        <w:trPr>
          <w:cantSplit/>
        </w:trPr>
        <w:tc>
          <w:tcPr>
            <w:tcW w:w="1701" w:type="dxa"/>
            <w:shd w:val="pct10" w:color="000000" w:fill="FFFFFF"/>
            <w:vAlign w:val="center"/>
          </w:tcPr>
          <w:p w:rsidR="00E56EEB" w:rsidRPr="00F71B6F" w:rsidRDefault="00246AA0" w:rsidP="000D1F15">
            <w:pPr>
              <w:pStyle w:val="RollCallVotes"/>
            </w:pPr>
            <w:r w:rsidRPr="00F71B6F">
              <w:t>22</w:t>
            </w:r>
          </w:p>
        </w:tc>
        <w:tc>
          <w:tcPr>
            <w:tcW w:w="7371" w:type="dxa"/>
            <w:shd w:val="pct10" w:color="000000" w:fill="FFFFFF"/>
          </w:tcPr>
          <w:p w:rsidR="00E56EEB" w:rsidRPr="00F71B6F" w:rsidRDefault="00246AA0" w:rsidP="000D1F15">
            <w:pPr>
              <w:pStyle w:val="RollCallSymbols14pt"/>
            </w:pPr>
            <w:r w:rsidRPr="00F71B6F">
              <w:t>+</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ECR</w:t>
            </w:r>
          </w:p>
        </w:tc>
        <w:tc>
          <w:tcPr>
            <w:tcW w:w="7371" w:type="dxa"/>
            <w:shd w:val="clear" w:color="auto" w:fill="FFFFFF"/>
          </w:tcPr>
          <w:p w:rsidR="00E56EEB" w:rsidRPr="00F71B6F" w:rsidRDefault="00246AA0" w:rsidP="000D1F15">
            <w:pPr>
              <w:pStyle w:val="RollCallTable"/>
            </w:pPr>
            <w:r w:rsidRPr="00F71B6F">
              <w:t>Raffaele Stancanelli</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ID</w:t>
            </w:r>
          </w:p>
        </w:tc>
        <w:tc>
          <w:tcPr>
            <w:tcW w:w="7371" w:type="dxa"/>
            <w:shd w:val="clear" w:color="auto" w:fill="FFFFFF"/>
          </w:tcPr>
          <w:p w:rsidR="00E56EEB" w:rsidRPr="00F71B6F" w:rsidRDefault="00246AA0" w:rsidP="000D1F15">
            <w:pPr>
              <w:pStyle w:val="RollCallTable"/>
            </w:pPr>
            <w:r w:rsidRPr="00F71B6F">
              <w:t>Virginie Joron, Gilles Lebreton</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NI</w:t>
            </w:r>
          </w:p>
        </w:tc>
        <w:tc>
          <w:tcPr>
            <w:tcW w:w="7371" w:type="dxa"/>
            <w:shd w:val="clear" w:color="auto" w:fill="FFFFFF"/>
          </w:tcPr>
          <w:p w:rsidR="00E56EEB" w:rsidRPr="00F71B6F" w:rsidRDefault="00246AA0" w:rsidP="000D1F15">
            <w:pPr>
              <w:pStyle w:val="RollCallTable"/>
            </w:pPr>
            <w:r w:rsidRPr="00F71B6F">
              <w:t>Sabrina Pignedoli</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PPE</w:t>
            </w:r>
          </w:p>
        </w:tc>
        <w:tc>
          <w:tcPr>
            <w:tcW w:w="7371" w:type="dxa"/>
            <w:shd w:val="clear" w:color="auto" w:fill="FFFFFF"/>
          </w:tcPr>
          <w:p w:rsidR="00E56EEB" w:rsidRPr="00F71B6F" w:rsidRDefault="00246AA0" w:rsidP="000D1F15">
            <w:pPr>
              <w:pStyle w:val="RollCallTable"/>
            </w:pPr>
            <w:r w:rsidRPr="00F71B6F">
              <w:t>Pascal Arimont, Daniel Buda, Geoffroy Didier, Jiří Pospíšil, Axel Voss, Marion Walsmann, Javier Zarzalejos</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Renew</w:t>
            </w:r>
          </w:p>
        </w:tc>
        <w:tc>
          <w:tcPr>
            <w:tcW w:w="7371" w:type="dxa"/>
            <w:shd w:val="clear" w:color="auto" w:fill="FFFFFF"/>
          </w:tcPr>
          <w:p w:rsidR="00E56EEB" w:rsidRPr="00F71B6F" w:rsidRDefault="00246AA0" w:rsidP="000D1F15">
            <w:pPr>
              <w:pStyle w:val="RollCallTable"/>
            </w:pPr>
            <w:r w:rsidRPr="00F71B6F">
              <w:t>Pierre Karleskind, Karen Melchior, Adrián Vázquez Lázara</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S&amp;D</w:t>
            </w:r>
          </w:p>
        </w:tc>
        <w:tc>
          <w:tcPr>
            <w:tcW w:w="7371" w:type="dxa"/>
            <w:shd w:val="clear" w:color="auto" w:fill="FFFFFF"/>
          </w:tcPr>
          <w:p w:rsidR="00E56EEB" w:rsidRPr="00F71B6F" w:rsidRDefault="00246AA0" w:rsidP="000D1F15">
            <w:pPr>
              <w:pStyle w:val="RollCallTable"/>
            </w:pPr>
            <w:r w:rsidRPr="00F71B6F">
              <w:t>Pascal Durand, Ibán García Del Blanco, Sylvie Guillaume, Pedro Marques, Tiemo Wölken</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The Left</w:t>
            </w:r>
          </w:p>
        </w:tc>
        <w:tc>
          <w:tcPr>
            <w:tcW w:w="7371" w:type="dxa"/>
            <w:shd w:val="clear" w:color="auto" w:fill="FFFFFF"/>
          </w:tcPr>
          <w:p w:rsidR="00E56EEB" w:rsidRPr="00F71B6F" w:rsidRDefault="00246AA0" w:rsidP="000D1F15">
            <w:pPr>
              <w:pStyle w:val="RollCallTable"/>
            </w:pPr>
            <w:r w:rsidRPr="00F71B6F">
              <w:t>Anne-Sophie Pelletier</w:t>
            </w:r>
          </w:p>
        </w:tc>
      </w:tr>
      <w:tr w:rsidR="00246AA0" w:rsidRPr="00F71B6F" w:rsidTr="000D1F15">
        <w:trPr>
          <w:cantSplit/>
        </w:trPr>
        <w:tc>
          <w:tcPr>
            <w:tcW w:w="1701" w:type="dxa"/>
            <w:shd w:val="clear" w:color="auto" w:fill="FFFFFF"/>
          </w:tcPr>
          <w:p w:rsidR="00E56EEB" w:rsidRPr="00F71B6F" w:rsidRDefault="00246AA0" w:rsidP="000D1F15">
            <w:pPr>
              <w:pStyle w:val="RollCallTable"/>
            </w:pPr>
            <w:r w:rsidRPr="00F71B6F">
              <w:t>Verts/ALE</w:t>
            </w:r>
          </w:p>
        </w:tc>
        <w:tc>
          <w:tcPr>
            <w:tcW w:w="7371" w:type="dxa"/>
            <w:shd w:val="clear" w:color="auto" w:fill="FFFFFF"/>
          </w:tcPr>
          <w:p w:rsidR="00E56EEB" w:rsidRPr="00F71B6F" w:rsidRDefault="00246AA0" w:rsidP="000D1F15">
            <w:pPr>
              <w:pStyle w:val="RollCallTable"/>
            </w:pPr>
            <w:r w:rsidRPr="00F71B6F">
              <w:t>Heidi Hautala, Sergey Lagodinsky</w:t>
            </w:r>
          </w:p>
        </w:tc>
      </w:tr>
    </w:tbl>
    <w:p w:rsidR="00E56EEB" w:rsidRPr="00F71B6F" w:rsidRDefault="00E56EEB" w:rsidP="00E56E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AA0" w:rsidRPr="00F71B6F" w:rsidTr="000D1F15">
        <w:trPr>
          <w:cantSplit/>
        </w:trPr>
        <w:tc>
          <w:tcPr>
            <w:tcW w:w="1701" w:type="dxa"/>
            <w:shd w:val="pct10" w:color="000000" w:fill="FFFFFF"/>
            <w:vAlign w:val="center"/>
          </w:tcPr>
          <w:p w:rsidR="00E56EEB" w:rsidRPr="00F71B6F" w:rsidRDefault="00246AA0" w:rsidP="000D1F15">
            <w:pPr>
              <w:pStyle w:val="RollCallVotes"/>
            </w:pPr>
            <w:r w:rsidRPr="00F71B6F">
              <w:t>0</w:t>
            </w:r>
          </w:p>
        </w:tc>
        <w:tc>
          <w:tcPr>
            <w:tcW w:w="7371" w:type="dxa"/>
            <w:shd w:val="pct10" w:color="000000" w:fill="FFFFFF"/>
          </w:tcPr>
          <w:p w:rsidR="00E56EEB" w:rsidRPr="00F71B6F" w:rsidRDefault="00246AA0" w:rsidP="000D1F15">
            <w:pPr>
              <w:pStyle w:val="RollCallSymbols14pt"/>
            </w:pPr>
            <w:r w:rsidRPr="00F71B6F">
              <w:t>-</w:t>
            </w:r>
          </w:p>
        </w:tc>
      </w:tr>
      <w:tr w:rsidR="00246AA0" w:rsidRPr="00F71B6F" w:rsidTr="000D1F15">
        <w:trPr>
          <w:cantSplit/>
        </w:trPr>
        <w:tc>
          <w:tcPr>
            <w:tcW w:w="1701" w:type="dxa"/>
            <w:shd w:val="clear" w:color="auto" w:fill="FFFFFF"/>
          </w:tcPr>
          <w:p w:rsidR="00E56EEB" w:rsidRPr="00F71B6F" w:rsidRDefault="00E56EEB" w:rsidP="000D1F15">
            <w:pPr>
              <w:pStyle w:val="RollCallTable"/>
            </w:pPr>
          </w:p>
        </w:tc>
        <w:tc>
          <w:tcPr>
            <w:tcW w:w="7371" w:type="dxa"/>
            <w:shd w:val="clear" w:color="auto" w:fill="FFFFFF"/>
          </w:tcPr>
          <w:p w:rsidR="00E56EEB" w:rsidRPr="00F71B6F" w:rsidRDefault="00E56EEB" w:rsidP="000D1F15">
            <w:pPr>
              <w:pStyle w:val="RollCallTable"/>
            </w:pPr>
          </w:p>
        </w:tc>
      </w:tr>
    </w:tbl>
    <w:p w:rsidR="00E56EEB" w:rsidRPr="00F71B6F" w:rsidRDefault="00E56EEB" w:rsidP="00E56EEB"/>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AA0" w:rsidRPr="00F71B6F" w:rsidTr="000D1F15">
        <w:trPr>
          <w:cantSplit/>
        </w:trPr>
        <w:tc>
          <w:tcPr>
            <w:tcW w:w="1701" w:type="dxa"/>
            <w:shd w:val="pct10" w:color="000000" w:fill="FFFFFF"/>
            <w:vAlign w:val="center"/>
          </w:tcPr>
          <w:p w:rsidR="00E56EEB" w:rsidRPr="00F71B6F" w:rsidRDefault="00246AA0" w:rsidP="000D1F15">
            <w:pPr>
              <w:pStyle w:val="RollCallVotes"/>
            </w:pPr>
            <w:r w:rsidRPr="00F71B6F">
              <w:t>0</w:t>
            </w:r>
          </w:p>
        </w:tc>
        <w:tc>
          <w:tcPr>
            <w:tcW w:w="7371" w:type="dxa"/>
            <w:shd w:val="pct10" w:color="000000" w:fill="FFFFFF"/>
          </w:tcPr>
          <w:p w:rsidR="00E56EEB" w:rsidRPr="00F71B6F" w:rsidRDefault="00246AA0" w:rsidP="000D1F15">
            <w:pPr>
              <w:pStyle w:val="RollCallSymbols14pt"/>
            </w:pPr>
            <w:r w:rsidRPr="00F71B6F">
              <w:t>0</w:t>
            </w:r>
          </w:p>
        </w:tc>
      </w:tr>
      <w:tr w:rsidR="00246AA0" w:rsidRPr="00F71B6F" w:rsidTr="000D1F15">
        <w:trPr>
          <w:cantSplit/>
        </w:trPr>
        <w:tc>
          <w:tcPr>
            <w:tcW w:w="1701" w:type="dxa"/>
            <w:shd w:val="clear" w:color="auto" w:fill="FFFFFF"/>
          </w:tcPr>
          <w:p w:rsidR="00E56EEB" w:rsidRPr="00F71B6F" w:rsidRDefault="00E56EEB" w:rsidP="000D1F15">
            <w:pPr>
              <w:pStyle w:val="RollCallTable"/>
            </w:pPr>
          </w:p>
        </w:tc>
        <w:tc>
          <w:tcPr>
            <w:tcW w:w="7371" w:type="dxa"/>
            <w:shd w:val="clear" w:color="auto" w:fill="FFFFFF"/>
          </w:tcPr>
          <w:p w:rsidR="00E56EEB" w:rsidRPr="00F71B6F" w:rsidRDefault="00E56EEB" w:rsidP="000D1F15">
            <w:pPr>
              <w:pStyle w:val="RollCallTable"/>
            </w:pPr>
          </w:p>
        </w:tc>
      </w:tr>
    </w:tbl>
    <w:p w:rsidR="00E56EEB" w:rsidRPr="00F71B6F" w:rsidRDefault="00E56EEB" w:rsidP="00147FBF">
      <w:pPr>
        <w:pStyle w:val="Normal12a"/>
      </w:pPr>
    </w:p>
    <w:p w:rsidR="00E56EEB" w:rsidRPr="00F71B6F" w:rsidRDefault="00246AA0" w:rsidP="00B735E3">
      <w:r w:rsidRPr="00F71B6F">
        <w:t>Légende des signes utilisés:</w:t>
      </w:r>
    </w:p>
    <w:p w:rsidR="00E56EEB" w:rsidRPr="00F71B6F" w:rsidRDefault="00246AA0" w:rsidP="001C6342">
      <w:pPr>
        <w:pStyle w:val="RollCallTabs"/>
      </w:pPr>
      <w:r w:rsidRPr="00F71B6F">
        <w:t>+</w:t>
      </w:r>
      <w:r w:rsidRPr="00F71B6F">
        <w:tab/>
        <w:t>:</w:t>
      </w:r>
      <w:r w:rsidRPr="00F71B6F">
        <w:tab/>
        <w:t>pour</w:t>
      </w:r>
    </w:p>
    <w:p w:rsidR="00E56EEB" w:rsidRPr="00F71B6F" w:rsidRDefault="00246AA0" w:rsidP="001C6342">
      <w:pPr>
        <w:pStyle w:val="RollCallTabs"/>
      </w:pPr>
      <w:r w:rsidRPr="00F71B6F">
        <w:t>-</w:t>
      </w:r>
      <w:r w:rsidRPr="00F71B6F">
        <w:tab/>
        <w:t>:</w:t>
      </w:r>
      <w:r w:rsidRPr="00F71B6F">
        <w:tab/>
        <w:t>contre</w:t>
      </w:r>
    </w:p>
    <w:p w:rsidR="00E56EEB" w:rsidRPr="00F71B6F" w:rsidRDefault="00246AA0" w:rsidP="001C6342">
      <w:pPr>
        <w:pStyle w:val="RollCallTabs"/>
      </w:pPr>
      <w:r w:rsidRPr="00F71B6F">
        <w:t>0</w:t>
      </w:r>
      <w:r w:rsidRPr="00F71B6F">
        <w:tab/>
        <w:t>:</w:t>
      </w:r>
      <w:r w:rsidRPr="00F71B6F">
        <w:tab/>
        <w:t>abstention</w:t>
      </w:r>
    </w:p>
    <w:p w:rsidR="00E56EEB" w:rsidRPr="00F71B6F" w:rsidRDefault="00E56EEB" w:rsidP="00AD5932"/>
    <w:bookmarkEnd w:id="8"/>
    <w:p w:rsidR="000B0B4D" w:rsidRPr="00F71B6F" w:rsidRDefault="000B0B4D" w:rsidP="00E56EEB"/>
    <w:sectPr w:rsidR="000B0B4D" w:rsidRPr="00F71B6F" w:rsidSect="00E56E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7D8" w:rsidRPr="00F71B6F" w:rsidRDefault="00246AA0">
      <w:r w:rsidRPr="00F71B6F">
        <w:separator/>
      </w:r>
    </w:p>
  </w:endnote>
  <w:endnote w:type="continuationSeparator" w:id="0">
    <w:p w:rsidR="00A977D8" w:rsidRPr="00F71B6F" w:rsidRDefault="00246AA0">
      <w:r w:rsidRPr="00F71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DokChampa">
    <w:altName w:val="Leelawadee UI"/>
    <w:charset w:val="00"/>
    <w:family w:val="swiss"/>
    <w:pitch w:val="variable"/>
    <w:sig w:usb0="03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55F" w:rsidRPr="00F71B6F" w:rsidRDefault="0064255F" w:rsidP="0064255F">
    <w:pPr>
      <w:pStyle w:val="EPFooter"/>
    </w:pPr>
    <w:r w:rsidRPr="00F71B6F">
      <w:t>PE</w:t>
    </w:r>
    <w:r w:rsidRPr="00F71B6F">
      <w:rPr>
        <w:rStyle w:val="HideTWBExt"/>
      </w:rPr>
      <w:t>&lt;NoPE&gt;</w:t>
    </w:r>
    <w:r w:rsidRPr="00F71B6F">
      <w:t>751.881</w:t>
    </w:r>
    <w:r w:rsidRPr="00F71B6F">
      <w:rPr>
        <w:rStyle w:val="HideTWBExt"/>
      </w:rPr>
      <w:t>&lt;/NoPE&gt;&lt;Version&gt;</w:t>
    </w:r>
    <w:r w:rsidRPr="00F71B6F">
      <w:t>v02-00</w:t>
    </w:r>
    <w:r w:rsidRPr="00F71B6F">
      <w:rPr>
        <w:rStyle w:val="HideTWBExt"/>
      </w:rPr>
      <w:t>&lt;/Version&gt;</w:t>
    </w:r>
    <w:r w:rsidRPr="00F71B6F">
      <w:tab/>
    </w:r>
    <w:r w:rsidRPr="00F71B6F">
      <w:fldChar w:fldCharType="begin"/>
    </w:r>
    <w:r w:rsidRPr="00F71B6F">
      <w:instrText xml:space="preserve"> PAGE  \* MERGEFORMAT </w:instrText>
    </w:r>
    <w:r w:rsidRPr="00F71B6F">
      <w:fldChar w:fldCharType="separate"/>
    </w:r>
    <w:r w:rsidR="00956EB5">
      <w:rPr>
        <w:noProof/>
      </w:rPr>
      <w:t>36</w:t>
    </w:r>
    <w:r w:rsidRPr="00F71B6F">
      <w:fldChar w:fldCharType="end"/>
    </w:r>
    <w:r w:rsidRPr="00F71B6F">
      <w:t>/</w:t>
    </w:r>
    <w:fldSimple w:instr=" NUMPAGES  \* MERGEFORMAT ">
      <w:r w:rsidR="00956EB5">
        <w:rPr>
          <w:noProof/>
        </w:rPr>
        <w:t>43</w:t>
      </w:r>
    </w:fldSimple>
    <w:r w:rsidRPr="00F71B6F">
      <w:tab/>
    </w:r>
    <w:r w:rsidRPr="00F71B6F">
      <w:rPr>
        <w:rStyle w:val="HideTWBExt"/>
      </w:rPr>
      <w:t>&lt;PathFdR&gt;</w:t>
    </w:r>
    <w:r w:rsidR="00F71B6F" w:rsidRPr="00F71B6F">
      <w:t>RR\1292107FR.docx</w:t>
    </w:r>
    <w:r w:rsidRPr="00F71B6F">
      <w:rPr>
        <w:rStyle w:val="HideTWBExt"/>
      </w:rPr>
      <w:t>&lt;/PathFdR&gt;</w:t>
    </w:r>
  </w:p>
  <w:p w:rsidR="00A57AC1" w:rsidRPr="00F71B6F" w:rsidRDefault="0064255F" w:rsidP="0064255F">
    <w:pPr>
      <w:pStyle w:val="EPFooter2"/>
    </w:pPr>
    <w:r w:rsidRPr="00F71B6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55F" w:rsidRPr="00F71B6F" w:rsidRDefault="0064255F" w:rsidP="0064255F">
    <w:pPr>
      <w:pStyle w:val="EPFooter"/>
    </w:pPr>
    <w:r w:rsidRPr="00F71B6F">
      <w:rPr>
        <w:rStyle w:val="HideTWBExt"/>
      </w:rPr>
      <w:t>&lt;PathFdR&gt;</w:t>
    </w:r>
    <w:r w:rsidR="00F71B6F" w:rsidRPr="00F71B6F">
      <w:t>RR\1292107FR.docx</w:t>
    </w:r>
    <w:r w:rsidRPr="00F71B6F">
      <w:rPr>
        <w:rStyle w:val="HideTWBExt"/>
      </w:rPr>
      <w:t>&lt;/PathFdR&gt;</w:t>
    </w:r>
    <w:r w:rsidRPr="00F71B6F">
      <w:tab/>
    </w:r>
    <w:r w:rsidRPr="00F71B6F">
      <w:fldChar w:fldCharType="begin"/>
    </w:r>
    <w:r w:rsidRPr="00F71B6F">
      <w:instrText xml:space="preserve"> PAGE  \* MERGEFORMAT </w:instrText>
    </w:r>
    <w:r w:rsidRPr="00F71B6F">
      <w:fldChar w:fldCharType="separate"/>
    </w:r>
    <w:r w:rsidR="00956EB5">
      <w:rPr>
        <w:noProof/>
      </w:rPr>
      <w:t>37</w:t>
    </w:r>
    <w:r w:rsidRPr="00F71B6F">
      <w:fldChar w:fldCharType="end"/>
    </w:r>
    <w:r w:rsidRPr="00F71B6F">
      <w:t>/</w:t>
    </w:r>
    <w:fldSimple w:instr=" NUMPAGES  \* MERGEFORMAT ">
      <w:r w:rsidR="00956EB5">
        <w:rPr>
          <w:noProof/>
        </w:rPr>
        <w:t>43</w:t>
      </w:r>
    </w:fldSimple>
    <w:r w:rsidRPr="00F71B6F">
      <w:tab/>
      <w:t>PE</w:t>
    </w:r>
    <w:r w:rsidRPr="00F71B6F">
      <w:rPr>
        <w:rStyle w:val="HideTWBExt"/>
      </w:rPr>
      <w:t>&lt;NoPE&gt;</w:t>
    </w:r>
    <w:r w:rsidRPr="00F71B6F">
      <w:t>751.881</w:t>
    </w:r>
    <w:r w:rsidRPr="00F71B6F">
      <w:rPr>
        <w:rStyle w:val="HideTWBExt"/>
      </w:rPr>
      <w:t>&lt;/NoPE&gt;&lt;Version&gt;</w:t>
    </w:r>
    <w:r w:rsidRPr="00F71B6F">
      <w:t>v02-00</w:t>
    </w:r>
    <w:r w:rsidRPr="00F71B6F">
      <w:rPr>
        <w:rStyle w:val="HideTWBExt"/>
      </w:rPr>
      <w:t>&lt;/Version&gt;</w:t>
    </w:r>
  </w:p>
  <w:p w:rsidR="00A57AC1" w:rsidRPr="00F71B6F" w:rsidRDefault="0064255F" w:rsidP="0064255F">
    <w:pPr>
      <w:pStyle w:val="EPFooter2"/>
    </w:pPr>
    <w:r w:rsidRPr="00F71B6F">
      <w:tab/>
    </w:r>
    <w:r w:rsidRPr="00F71B6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55F" w:rsidRPr="00F71B6F" w:rsidRDefault="0064255F" w:rsidP="0064255F">
    <w:pPr>
      <w:pStyle w:val="EPFooter"/>
    </w:pPr>
    <w:r w:rsidRPr="00F71B6F">
      <w:rPr>
        <w:rStyle w:val="HideTWBExt"/>
      </w:rPr>
      <w:t>&lt;PathFdR&gt;</w:t>
    </w:r>
    <w:r w:rsidR="00F71B6F" w:rsidRPr="00F71B6F">
      <w:t>RR\1292107FR.docx</w:t>
    </w:r>
    <w:r w:rsidRPr="00F71B6F">
      <w:rPr>
        <w:rStyle w:val="HideTWBExt"/>
      </w:rPr>
      <w:t>&lt;/PathFdR&gt;</w:t>
    </w:r>
    <w:r w:rsidRPr="00F71B6F">
      <w:tab/>
    </w:r>
    <w:r w:rsidRPr="00F71B6F">
      <w:tab/>
      <w:t>PE</w:t>
    </w:r>
    <w:r w:rsidRPr="00F71B6F">
      <w:rPr>
        <w:rStyle w:val="HideTWBExt"/>
      </w:rPr>
      <w:t>&lt;NoPE&gt;</w:t>
    </w:r>
    <w:r w:rsidRPr="00F71B6F">
      <w:t>751.881</w:t>
    </w:r>
    <w:r w:rsidRPr="00F71B6F">
      <w:rPr>
        <w:rStyle w:val="HideTWBExt"/>
      </w:rPr>
      <w:t>&lt;/NoPE&gt;&lt;Version&gt;</w:t>
    </w:r>
    <w:r w:rsidRPr="00F71B6F">
      <w:t>v02-00</w:t>
    </w:r>
    <w:r w:rsidRPr="00F71B6F">
      <w:rPr>
        <w:rStyle w:val="HideTWBExt"/>
      </w:rPr>
      <w:t>&lt;/Version&gt;</w:t>
    </w:r>
  </w:p>
  <w:p w:rsidR="00A57AC1" w:rsidRPr="00F71B6F" w:rsidRDefault="0064255F" w:rsidP="0064255F">
    <w:pPr>
      <w:pStyle w:val="EPFooter2"/>
    </w:pPr>
    <w:r w:rsidRPr="00F71B6F">
      <w:t>FR</w:t>
    </w:r>
    <w:r w:rsidRPr="00F71B6F">
      <w:tab/>
    </w:r>
    <w:r w:rsidRPr="00F71B6F">
      <w:rPr>
        <w:b w:val="0"/>
        <w:i/>
        <w:color w:val="C0C0C0"/>
        <w:sz w:val="22"/>
      </w:rPr>
      <w:t>Unie dans la diversité</w:t>
    </w:r>
    <w:r w:rsidRPr="00F71B6F">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C59" w:rsidRPr="00F71B6F" w:rsidRDefault="00246AA0">
      <w:r w:rsidRPr="00F71B6F">
        <w:separator/>
      </w:r>
    </w:p>
  </w:footnote>
  <w:footnote w:type="continuationSeparator" w:id="0">
    <w:p w:rsidR="00CB5C59" w:rsidRPr="00F71B6F" w:rsidRDefault="00246AA0">
      <w:r w:rsidRPr="00F71B6F">
        <w:continuationSeparator/>
      </w:r>
    </w:p>
  </w:footnote>
  <w:footnote w:id="1">
    <w:p w:rsidR="00E56EEB" w:rsidRPr="00F71B6F" w:rsidRDefault="00246AA0" w:rsidP="00E56EEB">
      <w:pPr>
        <w:pStyle w:val="FootnoteText"/>
      </w:pPr>
      <w:r w:rsidRPr="00F71B6F">
        <w:rPr>
          <w:rStyle w:val="FootnoteReference"/>
        </w:rPr>
        <w:footnoteRef/>
      </w:r>
      <w:r w:rsidRPr="00F71B6F">
        <w:t xml:space="preserve"> JO C 293 du 18.8.2023, p. 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EB5" w:rsidRDefault="00956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EB5" w:rsidRDefault="00956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EB5" w:rsidRDefault="00956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JURI"/>
    <w:docVar w:name="CopyToNetwork" w:val="-1"/>
    <w:docVar w:name="CVar" w:val="2"/>
    <w:docVar w:name="DOCMNU" w:val=" 2"/>
    <w:docVar w:name="EPOJMNU" w:val=" 3"/>
    <w:docVar w:name="EPSTATMNU" w:val=" 1"/>
    <w:docVar w:name="EPSTATPLURMNU" w:val=" 1"/>
    <w:docVar w:name="iNoAmend" w:val="2"/>
    <w:docVar w:name="INSTITUTIONSMNU" w:val=" 2"/>
    <w:docVar w:name="JURI1MNU" w:val=" 1"/>
    <w:docVar w:name="JURI2MNU" w:val=" 1"/>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66733 HideTWBExt;}{\*\cs18 \additive \v\f1\fs20\cf15 _x000d__x000a_\spriority0 \styrsid10766733 HideTWBInt;}{\s19\ql \li0\ri0\sa120\nowidctlpar\wrapdefault\aspalpha\aspnum\faauto\adjustright\rin0\lin0\itap0 \rtlch\fcs1 \af0\afs20\alang1025 \ltrch\fcs0 \fs24\lang2057\langfe2057\cgrid\langnp2057\langfenp2057 _x000d__x000a_\sbasedon0 \snext19 \spriority0 \styrsid10766733 Normal6a;}{\s20\ql \li0\ri0\nowidctlpar\wrapdefault\aspalpha\aspnum\faauto\adjustright\rin0\lin0\itap0 \rtlch\fcs1 \af0\afs20\alang1025 \ltrch\fcs0 \b\fs24\lang2057\langfe2057\cgrid\langnp2057\langfenp2057 _x000d__x000a_\sbasedon0 \snext20 \spriority0 \styrsid10766733 NormalBold;}{\s21\ql \li0\ri0\sa240\nowidctlpar\wrapdefault\aspalpha\aspnum\faauto\adjustright\rin0\lin0\itap0 \rtlch\fcs1 \af0\afs20\alang1025 \ltrch\fcs0 _x000d__x000a_\i\fs24\lang2057\langfe2057\cgrid\langnp2057\langfenp2057 \sbasedon0 \snext21 \spriority0 \styrsid10766733 AmJustText;}{\s22\qc \li0\ri0\sb240\sa240\nowidctlpar\wrapdefault\aspalpha\aspnum\faauto\adjustright\rin0\lin0\itap0 \rtlch\fcs1 _x000d__x000a_\af0\afs20\alang1025 \ltrch\fcs0 \i\fs24\lang2057\langfe2057\cgrid\langnp2057\langfenp2057 \sbasedon0 \snext22 \spriority0 \styrsid10766733 AmCrossRef;}{_x000d__x000a_\s23\qc \li0\ri0\sb240\sa240\keepn\nowidctlpar\wrapdefault\aspalpha\aspnum\faauto\adjustright\rin0\lin0\itap0 \rtlch\fcs1 \af0\afs20\alang1025 \ltrch\fcs0 \i\fs24\lang2057\langfe2057\cgrid\langnp2057\langfenp2057 _x000d__x000a_\sbasedon0 \snext21 \spriority0 \styrsid10766733 AmJustTitle;}{\s24\qc \li0\ri0\sa240\nowidctlpar\wrapdefault\aspalpha\aspnum\faauto\adjustright\rin0\lin0\itap0 \rtlch\fcs1 \af0\afs20\alang1025 \ltrch\fcs0 _x000d__x000a_\i\fs24\lang2057\langfe2057\cgrid\langnp2057\langfenp2057 \sbasedon0 \snext24 \spriority0 \styrsid1076673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766733 AmNumberTabs;}{\s26\ql \li0\ri0\sb240\nowidctlpar\wrapdefault\aspalpha\aspnum\faauto\adjustright\rin0\lin0\itap0 \rtlch\fcs1 _x000d__x000a_\af0\afs20\alang1025 \ltrch\fcs0 \b\fs24\lang2057\langfe2057\cgrid\langnp2057\langfenp2057 \sbasedon0 \snext26 \spriority0 \styrsid10766733 NormalBold12b;}}{\*\rsidtbl \rsid24658\rsid223860\rsid735077\rsid1718133\rsid2892074\rsid3565327\rsid4666813_x000d__x000a_\rsid6641733\rsid7823322\rsid9636012\rsid10377208\rsid10766733\rsid11215221\rsid11549030\rsid12154954\rsid14382809\rsid14424199\rsid14431155\rsid15204470\rsid15285974\rsid15950462\rsid16324206\rsid16662270}{\mmathPr\mmathFont34\mbrkBin0\mbrkBinSub0_x000d__x000a_\msmallFrac0\mdispDef1\mlMargin0\mrMargin0\mdefJc1\mwrapIndent1440\mintLim0\mnaryLim1}{\info{\author BIASIA BERTI Clara}{\operator BIASIA BERTI Clara}{\creatim\yr2023\mo12\dy14\hr15\min22}{\revtim\yr2023\mo12\dy14\hr15\min22}{\version1}{\edmins0}_x000d__x000a_{\nofpages1}{\nofwords94}{\nofchars536}{\nofcharsws62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66733\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4431155 \chftnsep _x000d__x000a_\par }}{\*\ftnsepc \ltrpar \pard\plain \ltrpar\ql \li0\ri0\widctlpar\wrapdefault\aspalpha\aspnum\faauto\adjustright\rin0\lin0\itap0 \rtlch\fcs1 \af0\afs20\alang1025 \ltrch\fcs0 \fs24\lang2057\langfe2057\cgrid\langnp2057\langfenp2057 {\rtlch\fcs1 \af0 _x000d__x000a_\ltrch\fcs0 \insrsid14431155 \chftnsepc _x000d__x000a_\par }}{\*\aftnsep \ltrpar \pard\plain \ltrpar\ql \li0\ri0\widctlpar\wrapdefault\aspalpha\aspnum\faauto\adjustright\rin0\lin0\itap0 \rtlch\fcs1 \af0\afs20\alang1025 \ltrch\fcs0 \fs24\lang2057\langfe2057\cgrid\langnp2057\langfenp2057 {\rtlch\fcs1 \af0 _x000d__x000a_\ltrch\fcs0 \insrsid14431155 \chftnsep _x000d__x000a_\par }}{\*\aftnsepc \ltrpar \pard\plain \ltrpar\ql \li0\ri0\widctlpar\wrapdefault\aspalpha\aspnum\faauto\adjustright\rin0\lin0\itap0 \rtlch\fcs1 \af0\afs20\alang1025 \ltrch\fcs0 \fs24\lang2057\langfe2057\cgrid\langnp2057\langfenp2057 {\rtlch\fcs1 \af0 _x000d__x000a_\ltrch\fcs0 \insrsid144311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766733 \rtlch\fcs1 _x000d__x000a_\af0\afs20\alang1025 \ltrch\fcs0 \b\fs24\lang2057\langfe2057\cgrid\langnp2057\langfenp2057 {\rtlch\fcs1 \af0 \ltrch\fcs0 \cs17\b0\v\fs20\cf9\lang1024\langfe1024\loch\af1\hich\af1\dbch\af31501\noproof\insrsid10766733\charrsid926735 {\*\bkmkstart restart}_x000d__x000a_\hich\af1\dbch\af31501\loch\f1 &lt;Amend&gt;}{\rtlch\fcs1 \af0 \ltrch\fcs0 \insrsid10766733\charrsid926735 Amendment\tab \tab }{\rtlch\fcs1 \af0 \ltrch\fcs0 _x000d__x000a_\cs17\b0\v\fs20\cf9\lang1024\langfe1024\loch\af1\hich\af1\dbch\af31501\noproof\insrsid10766733\charrsid926735 \hich\af1\dbch\af31501\loch\f1 &lt;NumAm&gt;}{\rtlch\fcs1 \af0 \ltrch\fcs0 \insrsid10766733\charrsid926735 #}{\rtlch\fcs1 \af1 \ltrch\fcs0 _x000d__x000a_\cs18\v\f1\fs20\cf15\insrsid10766733\charrsid926735 ENMIENDA@NRAM@}{\rtlch\fcs1 \af0 \ltrch\fcs0 \insrsid10766733\charrsid926735 #}{\rtlch\fcs1 \af0 \ltrch\fcs0 _x000d__x000a_\cs17\b0\v\fs20\cf9\lang1024\langfe1024\loch\af1\hich\af1\dbch\af31501\noproof\insrsid10766733\charrsid926735 \hich\af1\dbch\af31501\loch\f1 &lt;/NumAm&gt;}{\rtlch\fcs1 \af0 \ltrch\fcs0 \insrsid10766733\charrsid926735 _x000d__x000a_\par }\pard\plain \ltrpar\s26\ql \li0\ri0\sb240\keepn\nowidctlpar\wrapdefault\aspalpha\aspnum\faauto\adjustright\rin0\lin0\itap0\pararsid10766733 \rtlch\fcs1 \af0\afs20\alang1025 \ltrch\fcs0 \b\fs24\lang2057\langfe2057\cgrid\langnp2057\langfenp2057 {_x000d__x000a_\rtlch\fcs1 \af0 \ltrch\fcs0 \cs17\b0\v\fs20\cf9\lang1024\langfe1024\loch\af1\hich\af1\dbch\af31501\noproof\insrsid10766733\charrsid926735 \hich\af1\dbch\af31501\loch\f1 &lt;DocAmend&gt;}{\rtlch\fcs1 \af0 \ltrch\fcs0 \insrsid10766733\charrsid926735 _x000d__x000a_Proposal for a #}{\rtlch\fcs1 \af1 \ltrch\fcs0 \cs18\v\f1\fs20\cf15\insrsid10766733\charrsid926735 MNU[DOC1][DOC2][DOC3]@DOCMSG@DOCMNU}{\rtlch\fcs1 \af0 \ltrch\fcs0 \insrsid10766733\charrsid926735 ##}{\rtlch\fcs1 \af1 \ltrch\fcs0 _x000d__x000a_\cs18\v\f1\fs20\cf15\insrsid10766733\charrsid926735 MNU[AMACTYES][NOTAPP]@CHOICE@AMACTMNU}{\rtlch\fcs1 \af0 \ltrch\fcs0 \insrsid10766733\charrsid926735 #}{\rtlch\fcs1 \af0 \ltrch\fcs0 _x000d__x000a_\cs17\b0\v\fs20\cf9\lang1024\langfe1024\loch\af1\hich\af1\dbch\af31501\noproof\insrsid10766733\charrsid926735 \hich\af1\dbch\af31501\loch\f1 &lt;/DocAmend&gt;}{\rtlch\fcs1 \af0 \ltrch\fcs0 \insrsid10766733\charrsid926735 _x000d__x000a_\par }\pard\plain \ltrpar\s20\ql \li0\ri0\keepn\nowidctlpar\wrapdefault\aspalpha\aspnum\faauto\adjustright\rin0\lin0\itap0\pararsid10766733 \rtlch\fcs1 \af0\afs20\alang1025 \ltrch\fcs0 \b\fs24\lang2057\langfe2057\cgrid\langnp2057\langfenp2057 {\rtlch\fcs1 _x000d__x000a_\af0 \ltrch\fcs0 \cs17\b0\v\fs20\cf9\lang1024\langfe1024\loch\af1\hich\af1\dbch\af31501\noproof\insrsid10766733\charrsid926735 \hich\af1\dbch\af31501\loch\f1 &lt;Article&gt;}{\rtlch\fcs1 \af0 \ltrch\fcs0 \insrsid10766733\charrsid926735 #}{\rtlch\fcs1 \af1 _x000d__x000a_\ltrch\fcs0 \cs18\v\f1\fs20\cf15\insrsid10766733\charrsid926735 MNU[AMACTPARTYES][AMACTPARTNO]@CHOICE@AMACTMNU}{\rtlch\fcs1 \af0 \ltrch\fcs0 \insrsid10766733\charrsid926735 #}{\rtlch\fcs1 \af0 \ltrch\fcs0 _x000d__x000a_\cs17\b0\v\fs20\cf9\lang1024\langfe1024\loch\af1\hich\af1\dbch\af31501\noproof\insrsid10766733\charrsid926735 \hich\af1\dbch\af31501\loch\f1 &lt;/Article&gt;}{\rtlch\fcs1 \af0 \ltrch\fcs0 \insrsid10766733\charrsid926735 _x000d__x000a_\par }\pard\plain \ltrpar\ql \li0\ri0\keepn\widctlpar\wrapdefault\aspalpha\aspnum\faauto\adjustright\rin0\lin0\itap0\pararsid10766733 \rtlch\fcs1 \af0\afs20\alang1025 \ltrch\fcs0 \fs24\lang2057\langfe2057\cgrid\langnp2057\langfenp2057 {\rtlch\fcs1 \af0 _x000d__x000a_\ltrch\fcs0 \cs17\v\fs20\cf9\lang1024\langfe1024\loch\af1\hich\af1\dbch\af31501\noproof\insrsid10766733\charrsid926735 \hich\af1\dbch\af31501\loch\f1 &lt;DocAmend2&gt;&lt;OptDel\hich\af1\dbch\af31501\loch\f1 &gt;}{\rtlch\fcs1 \af0 \ltrch\fcs0 _x000d__x000a_\insrsid10766733\charrsid926735 #}{\rtlch\fcs1 \af1 \ltrch\fcs0 \cs18\v\f1\fs20\cf15\insrsid10766733\charrsid926735 MNU[OPTNRACTYES][NOTAPP]@CHOICE@AMACTMNU}{\rtlch\fcs1 \af0 \ltrch\fcs0 \insrsid10766733\charrsid926735 #}{\rtlch\fcs1 \af0 \ltrch\fcs0 _x000d__x000a_\cs17\v\fs20\cf9\lang1024\langfe1024\loch\af1\hich\af1\dbch\af31501\noproof\insrsid10766733\charrsid926735 \hich\af1\dbch\af31501\loch\f1 &lt;/OptDel&gt;&lt;/DocAmend2&gt;}{\rtlch\fcs1 \af0 \ltrch\fcs0 \insrsid10766733\charrsid926735 _x000d__x000a_\par }\pard \ltrpar\ql \li0\ri0\widctlpar\wrapdefault\aspalpha\aspnum\faauto\adjustright\rin0\lin0\itap0\pararsid10766733 {\rtlch\fcs1 \af0 \ltrch\fcs0 \cs17\v\fs20\cf9\lang1024\langfe1024\loch\af1\hich\af1\dbch\af31501\noproof\insrsid10766733\charrsid926735 _x000d__x000a_\hich\af1\dbch\af31501\loch\f1 &lt;Article2&gt;&lt;OptDel&gt;}{\rtlch\fcs1 \af0 \ltrch\fcs0 \insrsid10766733\charrsid926735 #}{\rtlch\fcs1 \af1 \ltrch\fcs0 \cs18\v\f1\fs20\cf15\insrsid10766733\charrsid926735 MNU[OPTACTPARTYES][NOTAPP]@CHOICE@AMACTMNU}{\rtlch\fcs1 _x000d__x000a_\af0 \ltrch\fcs0 \insrsid10766733\charrsid926735 #}{\rtlch\fcs1 \af0 \ltrch\fcs0 \cs17\v\fs20\cf9\lang1024\langfe1024\loch\af1\hich\af1\dbch\af31501\noproof\insrsid10766733\charrsid926735 \hich\af1\dbch\af31501\loch\f1 &lt;/OptDel&gt;&lt;/Article2&gt;}{\rtlch\fcs1 _x000d__x000a_\af0 \ltrch\fcs0 \insrsid10766733\charrsid926735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insrsid10766733\charrsid926735 \cell }\pard \ltrpar\ql \li0\ri0\widctlpar\intbl\wrapdefault\aspalpha\aspnum\faauto\adjustright\rin0\lin0 {\rtlch\fcs1 \af0 \ltrch\fcs0 \insrsid10766733\charrsid926735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10766733\charrsid926735 #}{\rtlch\fcs1 \af1 \ltrch\fcs0 \cs18\v\f1\fs20\cf15\insrsid10766733\charrsid926735 MNU[OPTLEFTAMACT][LEFTPROP]@CHOICE@AMACTMNU}{\rtlch\fcs1 \af0 \ltrch\fcs0 \insrsid10766733\charrsid926735 #\cell Amendment\cell _x000d__x000a_}\pard\plain \ltrpar\ql \li0\ri0\widctlpar\intbl\wrapdefault\aspalpha\aspnum\faauto\adjustright\rin0\lin0 \rtlch\fcs1 \af0\afs20\alang1025 \ltrch\fcs0 \fs24\lang2057\langfe2057\cgrid\langnp2057\langfenp2057 {\rtlch\fcs1 \af0 \ltrch\fcs0 _x000d__x000a_\insrsid10766733\charrsid926735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0766733\charrsid926735 ##\cell ##}{\rtlch\fcs1 \af0\afs24 \ltrch\fcs0 \insrsid10766733\charrsid926735 \cell }\pard\plain \ltrpar\ql \li0\ri0\widctlpar\intbl\wrapdefault\aspalpha\aspnum\faauto\adjustright\rin0\lin0 _x000d__x000a_\rtlch\fcs1 \af0\afs20\alang1025 \ltrch\fcs0 \fs24\lang2057\langfe2057\cgrid\langnp2057\langfenp2057 {\rtlch\fcs1 \af0 \ltrch\fcs0 \insrsid10766733\charrsid926735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10766733 \rtlch\fcs1 \af0\afs20\alang1025 \ltrch\fcs0 \i\fs24\lang2057\langfe2057\cgrid\langnp2057\langfenp2057 {\rtlch\fcs1 \af0 \ltrch\fcs0 _x000d__x000a_\cs17\i0\v\fs20\cf9\lang1024\langfe1024\loch\af1\hich\af1\dbch\af31501\noproof\insrsid10766733\charrsid926735 \hich\af1\dbch\af31501\loch\f1 &lt;OptDel&gt;}{\rtlch\fcs1 \af0 \ltrch\fcs0 \insrsid10766733\charrsid926735 #}{\rtlch\fcs1 \af1 \ltrch\fcs0 _x000d__x000a_\cs18\v\f1\fs20\cf15\insrsid10766733\charrsid926735 MNU[CROSSREFNO][CROSSREFYES]@CHOICE@}{\rtlch\fcs1 \af0 \ltrch\fcs0 \insrsid10766733\charrsid926735 #}{\rtlch\fcs1 \af0 \ltrch\fcs0 _x000d__x000a_\cs17\i0\v\fs20\cf9\lang1024\langfe1024\loch\af1\hich\af1\dbch\af31501\noproof\insrsid10766733\charrsid926735 \hich\af1\dbch\af31501\loch\f1 &lt;/OptDel&gt;}{\rtlch\fcs1 \af0 \ltrch\fcs0 \insrsid10766733\charrsid926735 _x000d__x000a_\par }\pard\plain \ltrpar\s23\qc \li0\ri0\sb240\sa240\keepn\nowidctlpar\wrapdefault\aspalpha\aspnum\faauto\adjustright\rin0\lin0\itap0\pararsid10766733 \rtlch\fcs1 \af0\afs20\alang1025 \ltrch\fcs0 \i\fs24\lang2057\langfe2057\cgrid\langnp2057\langfenp2057 {_x000d__x000a_\rtlch\fcs1 \af0 \ltrch\fcs0 \cs17\i0\v\fs20\cf9\lang1024\langfe1024\loch\af1\hich\af1\dbch\af31501\noproof\insrsid10766733\charrsid926735 \hich\af1\dbch\af31501\loch\f1 &lt;TitreJust&gt;}{\rtlch\fcs1 \af0 \ltrch\fcs0 \insrsid10766733\charrsid926735 _x000d__x000a_Justification}{\rtlch\fcs1 \af0 \ltrch\fcs0 \cs17\i0\v\fs20\cf9\lang1024\langfe1024\loch\af1\hich\af1\dbch\af31501\noproof\insrsid10766733\charrsid926735 \hich\af1\dbch\af31501\loch\f1 &lt;/TitreJust&gt;}{\rtlch\fcs1 \af0 \ltrch\fcs0 _x000d__x000a_\insrsid10766733\charrsid926735 _x000d__x000a_\par }\pard\plain \ltrpar\s21\ql \li0\ri0\sa240\nowidctlpar\wrapdefault\aspalpha\aspnum\faauto\adjustright\rin0\lin0\itap0\pararsid10766733 \rtlch\fcs1 \af0\afs20\alang1025 \ltrch\fcs0 \i\fs24\lang2057\langfe2057\cgrid\langnp2057\langfenp2057 {\rtlch\fcs1 _x000d__x000a_\af0 \ltrch\fcs0 \cs17\i0\v\fs20\cf9\lang1024\langfe1024\loch\af1\hich\af1\dbch\af31501\noproof\insrsid10766733\charrsid926735 \hich\af1\dbch\af31501\loch\f1 &lt;OptDelPrev&gt;}{\rtlch\fcs1 \af0 \ltrch\fcs0 \insrsid10766733\charrsid926735 #}{\rtlch\fcs1 \af1 _x000d__x000a_\ltrch\fcs0 \cs18\v\f1\fs20\cf15\insrsid10766733\charrsid926735 MNU[TEXTJUSTYES][TEXTJUSTNO]@CHOICE@}{\rtlch\fcs1 \af0 \ltrch\fcs0 \insrsid10766733\charrsid926735 #}{\rtlch\fcs1 \af0 \ltrch\fcs0 _x000d__x000a_\cs17\i0\v\fs20\cf9\lang1024\langfe1024\loch\af1\hich\af1\dbch\af31501\noproof\insrsid10766733\charrsid926735 \hich\af1\dbch\af31501\loch\f1 &lt;/OptDelPrev&gt;}{\rtlch\fcs1 \af0 \ltrch\fcs0 \insrsid10766733\charrsid926735 _x000d__x000a_\par }\pard\plain \ltrpar\ql \li0\ri0\widctlpar\wrapdefault\aspalpha\aspnum\faauto\adjustright\rin0\lin0\itap0\pararsid10766733 \rtlch\fcs1 \af0\afs20\alang1025 \ltrch\fcs0 \fs24\lang2057\langfe2057\cgrid\langnp2057\langfenp2057 {\rtlch\fcs1 \af0 \ltrch\fcs0 _x000d__x000a_\cs17\v\fs20\cf9\lang1024\langfe1024\loch\af1\hich\af1\dbch\af31501\noproof\insrsid10766733\charrsid926735 \hich\af1\dbch\af31501\loch\f1 &lt;/Amend&gt;}{\rtlch\fcs1 \af0 \ltrch\fcs0 \insrsid1076673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3_x000d__x000a_45ea98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40283 HideTWBExt;}{_x000d__x000a_\s18\ql \li0\ri0\sa120\nowidctlpar\wrapdefault\aspalpha\aspnum\faauto\adjustright\rin0\lin0\itap0 \rtlch\fcs1 \af0\afs20\alang1025 \ltrch\fcs0 \fs24\lang2057\langfe2057\cgrid\langnp2057\langfenp2057 \sbasedon0 \snext18 \spriority0 \styrsid8340283 _x000d__x000a_Normal6a;}{\s19\ql \li0\ri0\nowidctlpar\wrapdefault\aspalpha\aspnum\faauto\adjustright\rin0\lin0\itap0 \rtlch\fcs1 \af0\afs20\alang1025 \ltrch\fcs0 \b\fs24\lang2057\langfe2057\cgrid\langnp2057\langfenp2057 \sbasedon0 \snext19 \spriority0 \styrsid8340283 _x000d__x000a_NormalBold;}{\s20\ql \li0\ri0\sa240\nowidctlpar\wrapdefault\aspalpha\aspnum\faauto\adjustright\rin0\lin0\itap0 \rtlch\fcs1 \af0\afs20\alang1025 \ltrch\fcs0 \i\fs24\lang2057\langfe2057\cgrid\langnp2057\langfenp2057 _x000d__x000a_\sbasedon0 \snext20 \spriority0 \styrsid8340283 AmJustText;}{\s21\qc \li0\ri0\sb240\sa240\nowidctlpar\wrapdefault\aspalpha\aspnum\faauto\adjustright\rin0\lin0\itap0 \rtlch\fcs1 \af0\afs20\alang1025 \ltrch\fcs0 _x000d__x000a_\i\fs24\lang2057\langfe2057\cgrid\langnp2057\langfenp2057 \sbasedon0 \snext21 \spriority0 \styrsid8340283 AmCrossRef;}{\s22\qc \li0\ri0\sb240\sa240\keepn\nowidctlpar\wrapdefault\aspalpha\aspnum\faauto\adjustright\rin0\lin0\itap0 \rtlch\fcs1 _x000d__x000a_\af0\afs20\alang1025 \ltrch\fcs0 \i\fs24\lang2057\langfe2057\cgrid\langnp2057\langfenp2057 \sbasedon0 \snext20 \spriority0 \styrsid8340283 AmJustTitle;}{\s23\qc \li0\ri0\sa240\nowidctlpar\wrapdefault\aspalpha\aspnum\faauto\adjustright\rin0\lin0\itap0 _x000d__x000a_\rtlch\fcs1 \af0\afs20\alang1025 \ltrch\fcs0 \i\fs24\lang2057\langfe2057\cgrid\langnp2057\langfenp2057 \sbasedon0 \snext23 \spriority0 \styrsid834028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340283 AmNumberTabs;}{\s25\ql \li0\ri0\sb240\nowidctlpar\wrapdefault\aspalpha\aspnum\faauto\adjustright\rin0\lin0\itap0 \rtlch\fcs1 _x000d__x000a_\af0\afs20\alang1025 \ltrch\fcs0 \b\fs24\lang2057\langfe2057\cgrid\langnp2057\langfenp2057 \sbasedon0 \snext25 \spriority0 \styrsid8340283 NormalBold12b;}}{\*\rsidtbl \rsid24658\rsid223860\rsid735077\rsid1718133\rsid2892074\rsid3565327\rsid4666813_x000d__x000a_\rsid6641733\rsid7823322\rsid8131321\rsid834028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3\mo12\dy14\hr15\min22}{\revtim\yr2023\mo12\dy14\hr15\min22}{\version1}{\edmins0}_x000d__x000a_{\nofpages1}{\nofwords54}{\nofchars313}{\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40283\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8131321 \chftnsep _x000d__x000a_\par }}{\*\ftnsepc \ltrpar \pard\plain \ltrpar\ql \li0\ri0\widctlpar\wrapdefault\aspalpha\aspnum\faauto\adjustright\rin0\lin0\itap0 \rtlch\fcs1 \af0\afs20\alang1025 \ltrch\fcs0 \fs24\lang2057\langfe2057\cgrid\langnp2057\langfenp2057 {\rtlch\fcs1 \af0 _x000d__x000a_\ltrch\fcs0 \insrsid8131321 \chftnsepc _x000d__x000a_\par }}{\*\aftnsep \ltrpar \pard\plain \ltrpar\ql \li0\ri0\widctlpar\wrapdefault\aspalpha\aspnum\faauto\adjustright\rin0\lin0\itap0 \rtlch\fcs1 \af0\afs20\alang1025 \ltrch\fcs0 \fs24\lang2057\langfe2057\cgrid\langnp2057\langfenp2057 {\rtlch\fcs1 \af0 _x000d__x000a_\ltrch\fcs0 \insrsid8131321 \chftnsep _x000d__x000a_\par }}{\*\aftnsepc \ltrpar \pard\plain \ltrpar\ql \li0\ri0\widctlpar\wrapdefault\aspalpha\aspnum\faauto\adjustright\rin0\lin0\itap0 \rtlch\fcs1 \af0\afs20\alang1025 \ltrch\fcs0 \fs24\lang2057\langfe2057\cgrid\langnp2057\langfenp2057 {\rtlch\fcs1 \af0 _x000d__x000a_\ltrch\fcs0 \insrsid81313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340283 \rtlch\fcs1 _x000d__x000a_\af0\afs20\alang1025 \ltrch\fcs0 \b\fs24\lang2057\langfe2057\cgrid\langnp2057\langfenp2057 {\rtlch\fcs1 \af0 \ltrch\fcs0 \cs17\b0\v\fs20\cf9\lang1024\langfe1024\loch\af1\hich\af1\dbch\af31501\noproof\langnp1030\insrsid8340283\charrsid5141309 _x000d__x000a_{\*\bkmkstart restart}\hich\af1\dbch\af31501\loch\f1 &lt;Amend&gt;}{\rtlch\fcs1 \af0 \ltrch\fcs0 \lang1030\langfe2057\langnp1030\insrsid8340283\charrsid5141309 [ZAMENDMENT]\tab \tab }{\rtlch\fcs1 \af0 \ltrch\fcs0 _x000d__x000a_\cs17\b0\v\fs20\cf9\lang1024\langfe1024\loch\af1\hich\af1\dbch\af31501\noproof\langnp1030\insrsid8340283\charrsid5141309 \hich\af1\dbch\af31501\loch\f1 &lt;NumAm&gt;}{\rtlch\fcs1 \af0 \ltrch\fcs0 \lang1030\langfe2057\langnp1030\insrsid8340283\charrsid5141309 _x000d__x000a_[ZNRAM]}{\rtlch\fcs1 \af0 \ltrch\fcs0 \cs17\b0\v\fs20\cf9\lang1024\langfe1024\loch\af1\hich\af1\dbch\af31501\noproof\langnp1030\insrsid8340283\charrsid5141309 \hich\af1\dbch\af31501\loch\f1 &lt;/NumAm&gt;}{\rtlch\fcs1 \af0 \ltrch\fcs0 _x000d__x000a_\lang1030\langfe2057\langnp1030\insrsid8340283\charrsid5141309 _x000d__x000a_\par }\pard\plain \ltrpar\s25\ql \li0\ri0\sb240\keepn\nowidctlpar\wrapdefault\aspalpha\aspnum\faauto\adjustright\rin0\lin0\itap0\pararsid8340283 \rtlch\fcs1 \af0\afs20\alang1025 \ltrch\fcs0 \b\fs24\lang2057\langfe2057\cgrid\langnp2057\langfenp2057 {_x000d__x000a_\rtlch\fcs1 \af0 \ltrch\fcs0 \cs17\b0\v\fs20\cf9\lang1024\langfe1024\loch\af1\hich\af1\dbch\af31501\noproof\langnp1030\insrsid8340283\charrsid5141309 \hich\af1\dbch\af31501\loch\f1 &lt;DocAmend&gt;}{\rtlch\fcs1 \af0 \ltrch\fcs0 _x000d__x000a_\lang1030\langfe2057\langnp1030\insrsid8340283\charrsid5141309 [ZPROPOSAL][ZAMACT]}{\rtlch\fcs1 \af0 \ltrch\fcs0 \cs17\b0\v\fs20\cf9\lang1024\langfe1024\loch\af1\hich\af1\dbch\af31501\noproof\langnp1030\insrsid8340283\charrsid5141309 _x000d__x000a_\hich\af1\dbch\af31501\loch\f1 &lt;/DocAmend&gt;}{\rtlch\fcs1 \af0 \ltrch\fcs0 \lang1030\langfe2057\langnp1030\insrsid8340283\charrsid5141309 _x000d__x000a_\par }\pard\plain \ltrpar\s19\ql \li0\ri0\keepn\nowidctlpar\wrapdefault\aspalpha\aspnum\faauto\adjustright\rin0\lin0\itap0\pararsid8340283 \rtlch\fcs1 \af0\afs20\alang1025 \ltrch\fcs0 \b\fs24\lang2057\langfe2057\cgrid\langnp2057\langfenp2057 {\rtlch\fcs1 \af0 _x000d__x000a_\ltrch\fcs0 \cs17\b0\v\fs20\cf9\lang1024\langfe1024\loch\af1\hich\af1\dbch\af31501\noproof\langnp1030\insrsid8340283\charrsid5141309 \hich\af1\dbch\af31501\loch\f1 &lt;Article&gt;}{\rtlch\fcs1 \af0 \ltrch\fcs0 _x000d__x000a_\lang1030\langfe2057\langnp1030\insrsid8340283\charrsid5141309 [ZAMPART]}{\rtlch\fcs1 \af0 \ltrch\fcs0 \cs17\b0\v\fs20\cf9\lang1024\langfe1024\loch\af1\hich\af1\dbch\af31501\noproof\langnp1030\insrsid8340283\charrsid5141309 \hich\af1\dbch\af31501\loch\f1 _x000d__x000a_&lt;/Article&gt;}{\rtlch\fcs1 \af0 \ltrch\fcs0 \lang1030\langfe2057\langnp1030\insrsid8340283\charrsid5141309 _x000d__x000a_\par }\pard\plain \ltrpar\ql \li0\ri0\keepn\widctlpar\wrapdefault\aspalpha\aspnum\faauto\adjustright\rin0\lin0\itap0\pararsid8340283 \rtlch\fcs1 \af0\afs20\alang1025 \ltrch\fcs0 \fs24\lang2057\langfe2057\cgrid\langnp2057\langfenp2057 {\rtlch\fcs1 \af0 _x000d__x000a_\ltrch\fcs0 \cs17\v\fs20\cf9\lang1024\langfe1024\loch\af1\hich\af1\dbch\af31501\noproof\langnp1043\insrsid8340283\charrsid5141309 \hich\af1\dbch\af31501\loch\f1 &lt;DocAmend2&gt;&lt;OptDel&gt;}{\rtlch\fcs1 \af0 \ltrch\fcs0 _x000d__x000a_\lang1043\langfe2057\langnp1043\insrsid8340283\charrsid5141309 [ZNRACT]}{\rtlch\fcs1 \af0 \ltrch\fcs0 \cs17\v\fs20\cf9\lang1024\langfe1024\loch\af1\hich\af1\dbch\af31501\noproof\langnp1043\insrsid8340283\charrsid5141309 \hich\af1\dbch\af31501\loch\f1 _x000d__x000a_&lt;/OptDel&gt;&lt;/DocAmend2&gt;}{\rtlch\fcs1 \af0 \ltrch\fcs0 \lang1043\langfe2057\langnp1043\insrsid8340283\charrsid5141309 _x000d__x000a_\par }\pard \ltrpar\ql \li0\ri0\widctlpar\wrapdefault\aspalpha\aspnum\faauto\adjustright\rin0\lin0\itap0\pararsid8340283 {\rtlch\fcs1 \af0 \ltrch\fcs0 _x000d__x000a_\cs17\v\fs20\cf9\lang1024\langfe1024\loch\af1\hich\af1\dbch\af31501\noproof\langnp1036\insrsid8340283\charrsid5141309 \hich\af1\dbch\af31501\loch\f1 &lt;Article2&gt;&lt;OptDel&gt;}{\rtlch\fcs1 \af0 \ltrch\fcs0 _x000d__x000a_\lang1036\langfe2057\langnp1036\insrsid8340283\charrsid5141309 [ZACTPART]}{\rtlch\fcs1 \af0 \ltrch\fcs0 \cs17\v\fs20\cf9\lang1024\langfe1024\loch\af1\hich\af1\dbch\af31501\noproof\langnp1036\insrsid8340283\charrsid5141309 \hich\af1\dbch\af31501\loch\f1 _x000d__x000a_&lt;/OptDel&gt;&lt;/Article2&gt;}{\rtlch\fcs1 \af0 \ltrch\fcs0 \lang1036\langfe2057\langnp1036\insrsid8340283\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8340283\charrsid5141309 \cell }\pard \ltrpar\ql \li0\ri0\widctlpar\intbl\wrapdefault\aspalpha\aspnum\faauto\adjustright\rin0\lin0 {\rtlch\fcs1 \af0 \ltrch\fcs0 \insrsid8340283\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8340283\charrsid4593153 [ZLEFT]\cell [ZRIGHT]\cell }\pard\plain \ltrpar\ql \li0\ri0\widctlpar\intbl\wrapdefault\aspalpha\aspnum\faauto\adjustright\rin0\lin0 \rtlch\fcs1 \af0\afs20\alang1025 \ltrch\fcs0 _x000d__x000a_\fs24\lang2057\langfe2057\cgrid\langnp2057\langfenp2057 {\rtlch\fcs1 \af0 \ltrch\fcs0 \insrsid8340283\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8340283\charrsid4593153 [ZTEXTL]\cell [ZTEXTR]}{\rtlch\fcs1 \af0\afs24 \ltrch\fcs0 \insrsid8340283\charrsid4593153 \cell }\pard\plain \ltrpar\ql \li0\ri0\widctlpar\intbl\wrapdefault\aspalpha\aspnum\faauto\adjustright\rin0\lin0 \rtlch\fcs1 _x000d__x000a_\af0\afs20\alang1025 \ltrch\fcs0 \fs24\lang2057\langfe2057\cgrid\langnp2057\langfenp2057 {\rtlch\fcs1 \af0 \ltrch\fcs0 \insrsid8340283\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340283 \rtlch\fcs1 \af0\afs20\alang1025 \ltrch\fcs0 \i\fs24\lang2057\langfe2057\cgrid\langnp2057\langfenp2057 {\rtlch\fcs1 \af0 \ltrch\fcs0 _x000d__x000a_\cs17\i0\v\fs20\cf9\lang1024\langfe1024\loch\af1\hich\af1\dbch\af31501\noproof\insrsid8340283\charrsid4593153 \hich\af1\dbch\af31501\loch\f1 &lt;OptDel&gt;}{\rtlch\fcs1 \af0 \ltrch\fcs0 \insrsid8340283\charrsid4593153 [ZCROSSREF]}{\rtlch\fcs1 \af0 \ltrch\fcs0 _x000d__x000a_\cs17\i0\v\fs20\cf9\lang1024\langfe1024\loch\af1\hich\af1\dbch\af31501\noproof\insrsid8340283\charrsid4593153 \hich\af1\dbch\af31501\loch\f1 &lt;/OptDel&gt;}{\rtlch\fcs1 \af0 \ltrch\fcs0 \insrsid8340283\charrsid4593153 _x000d__x000a_\par }\pard\plain \ltrpar\s22\qc \li0\ri0\sb240\sa240\keepn\nowidctlpar\wrapdefault\aspalpha\aspnum\faauto\adjustright\rin0\lin0\itap0\pararsid8340283 \rtlch\fcs1 \af0\afs20\alang1025 \ltrch\fcs0 \i\fs24\lang2057\langfe2057\cgrid\langnp2057\langfenp2057 {_x000d__x000a_\rtlch\fcs1 \af0 \ltrch\fcs0 \cs17\i0\v\fs20\cf9\lang1024\langfe1024\loch\af1\hich\af1\dbch\af31501\noproof\insrsid8340283\charrsid4593153 \hich\af1\dbch\af31501\loch\f1 &lt;TitreJust&gt;}{\rtlch\fcs1 \af0 \ltrch\fcs0 \insrsid8340283\charrsid4593153 _x000d__x000a_[ZJUSTIFICATION]}{\rtlch\fcs1 \af0 \ltrch\fcs0 \cs17\i0\v\fs20\cf9\lang1024\langfe1024\loch\af1\hich\af1\dbch\af31501\noproof\insrsid8340283\charrsid4593153 \hich\af1\dbch\af31501\loch\f1 &lt;/TitreJust&gt;}{\rtlch\fcs1 \af0 \ltrch\fcs0 _x000d__x000a_\insrsid8340283\charrsid4593153 _x000d__x000a_\par }\pard\plain \ltrpar\s20\ql \li0\ri0\sa240\nowidctlpar\wrapdefault\aspalpha\aspnum\faauto\adjustright\rin0\lin0\itap0\pararsid8340283 \rtlch\fcs1 \af0\afs20\alang1025 \ltrch\fcs0 \i\fs24\lang2057\langfe2057\cgrid\langnp2057\langfenp2057 {\rtlch\fcs1 \af0 _x000d__x000a_\ltrch\fcs0 \cs17\i0\v\fs20\cf9\lang1024\langfe1024\loch\af1\hich\af1\dbch\af31501\noproof\insrsid8340283\charrsid4593153 \hich\af1\dbch\af31501\loch\f1 &lt;OptDelPrev&gt;}{\rtlch\fcs1 \af0 \ltrch\fcs0 \insrsid8340283\charrsid4593153 [ZTEXTJUST]}{\rtlch\fcs1 _x000d__x000a_\af0 \ltrch\fcs0 \cs17\i0\v\fs20\cf9\lang1024\langfe1024\loch\af1\hich\af1\dbch\af31501\noproof\insrsid8340283\charrsid4593153 \hich\af1\dbch\af31501\loch\f1 &lt;/OptDelPrev&gt;}{\rtlch\fcs1 \af0 \ltrch\fcs0 \insrsid8340283\charrsid4593153 _x000d__x000a_\par }\pard\plain \ltrpar\ql \li0\ri0\widctlpar\wrapdefault\aspalpha\aspnum\faauto\adjustright\rin0\lin0\itap0\pararsid8340283 \rtlch\fcs1 \af0\afs20\alang1025 \ltrch\fcs0 \fs24\lang2057\langfe2057\cgrid\langnp2057\langfenp2057 {\rtlch\fcs1 \af0 \ltrch\fcs0 _x000d__x000a_\cs17\v\fs20\cf9\lang1024\langfe1024\loch\af1\hich\af1\dbch\af31501\noproof\insrsid8340283\charrsid4593153 \hich\af1\dbch\af31501\loch\f1 &lt;/Amend&gt;}{\rtlch\fcs1 \af0 \ltrch\fcs0 \insrsid834028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e_x000d__x000a_73ec98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VTAMPART" w:val="XX"/>
    <w:docVar w:name="TXTAUTHOR" w:val="Emil Radev"/>
    <w:docVar w:name="TXTLANGUE" w:val="FR"/>
    <w:docVar w:name="TXTLANGUEMIN" w:val="fr"/>
    <w:docVar w:name="TXTNRC" w:val="0121/2023"/>
    <w:docVar w:name="TXTNRCOD" w:val="2023/0089"/>
    <w:docVar w:name="TXTNRCOM" w:val="(2023)0177"/>
    <w:docVar w:name="TXTNRFIRSTAM" w:val="1"/>
    <w:docVar w:name="TXTNRLASTAM" w:val="34"/>
    <w:docVar w:name="TXTNRPE" w:val="751.881"/>
    <w:docVar w:name="TXTPEorAP" w:val="PE"/>
    <w:docVar w:name="TXTROUTE" w:val="RR\1292107FR.docx"/>
    <w:docVar w:name="TXTTITLE" w:val="Amending Directives 2009/102/EC and (EU) 2017/1132 as regards further expanding and upgrading the use of digital tools and processes in company law"/>
    <w:docVar w:name="TXTVERSION" w:val="02-00"/>
  </w:docVars>
  <w:rsids>
    <w:rsidRoot w:val="000E240F"/>
    <w:rsid w:val="00011AAB"/>
    <w:rsid w:val="00012351"/>
    <w:rsid w:val="000139E5"/>
    <w:rsid w:val="00084DD2"/>
    <w:rsid w:val="00084E89"/>
    <w:rsid w:val="000B0B4D"/>
    <w:rsid w:val="000B7489"/>
    <w:rsid w:val="000D1F15"/>
    <w:rsid w:val="000E240F"/>
    <w:rsid w:val="000F1096"/>
    <w:rsid w:val="000F341C"/>
    <w:rsid w:val="00120948"/>
    <w:rsid w:val="00123DD5"/>
    <w:rsid w:val="001277AE"/>
    <w:rsid w:val="00142215"/>
    <w:rsid w:val="00147FBF"/>
    <w:rsid w:val="001767E2"/>
    <w:rsid w:val="00187008"/>
    <w:rsid w:val="001B3829"/>
    <w:rsid w:val="001C5592"/>
    <w:rsid w:val="001C5B44"/>
    <w:rsid w:val="001C6342"/>
    <w:rsid w:val="001C6FFC"/>
    <w:rsid w:val="001F211F"/>
    <w:rsid w:val="001F7C7C"/>
    <w:rsid w:val="00212B84"/>
    <w:rsid w:val="00227060"/>
    <w:rsid w:val="002346B0"/>
    <w:rsid w:val="00246AA0"/>
    <w:rsid w:val="002667C3"/>
    <w:rsid w:val="002669B6"/>
    <w:rsid w:val="00290BED"/>
    <w:rsid w:val="002913B8"/>
    <w:rsid w:val="002C5B7E"/>
    <w:rsid w:val="002D13EE"/>
    <w:rsid w:val="002E33EE"/>
    <w:rsid w:val="002F40BB"/>
    <w:rsid w:val="002F4B02"/>
    <w:rsid w:val="00323EF8"/>
    <w:rsid w:val="003316DD"/>
    <w:rsid w:val="003342DE"/>
    <w:rsid w:val="0036352D"/>
    <w:rsid w:val="00366A46"/>
    <w:rsid w:val="00370AC3"/>
    <w:rsid w:val="003758DF"/>
    <w:rsid w:val="003824EE"/>
    <w:rsid w:val="003A0F3B"/>
    <w:rsid w:val="003A3E87"/>
    <w:rsid w:val="003B4689"/>
    <w:rsid w:val="003C2068"/>
    <w:rsid w:val="003C37CF"/>
    <w:rsid w:val="003F735D"/>
    <w:rsid w:val="004100B1"/>
    <w:rsid w:val="0042649F"/>
    <w:rsid w:val="00426E47"/>
    <w:rsid w:val="00455743"/>
    <w:rsid w:val="00461601"/>
    <w:rsid w:val="00476649"/>
    <w:rsid w:val="004C0915"/>
    <w:rsid w:val="004D424E"/>
    <w:rsid w:val="004D52E8"/>
    <w:rsid w:val="004E42C8"/>
    <w:rsid w:val="004E733D"/>
    <w:rsid w:val="004F3FA5"/>
    <w:rsid w:val="0051271F"/>
    <w:rsid w:val="00521F46"/>
    <w:rsid w:val="00551111"/>
    <w:rsid w:val="00551123"/>
    <w:rsid w:val="00570A6A"/>
    <w:rsid w:val="005722E4"/>
    <w:rsid w:val="00586E50"/>
    <w:rsid w:val="0059583D"/>
    <w:rsid w:val="005A42D9"/>
    <w:rsid w:val="005C2BEF"/>
    <w:rsid w:val="005D1A99"/>
    <w:rsid w:val="005D7609"/>
    <w:rsid w:val="005D7EE8"/>
    <w:rsid w:val="005F5D83"/>
    <w:rsid w:val="0060155B"/>
    <w:rsid w:val="00642325"/>
    <w:rsid w:val="0064255F"/>
    <w:rsid w:val="0068732D"/>
    <w:rsid w:val="006A25B4"/>
    <w:rsid w:val="006A2F5D"/>
    <w:rsid w:val="006B415A"/>
    <w:rsid w:val="006F4FB3"/>
    <w:rsid w:val="006F7907"/>
    <w:rsid w:val="00726901"/>
    <w:rsid w:val="00731E7A"/>
    <w:rsid w:val="00743189"/>
    <w:rsid w:val="00743D33"/>
    <w:rsid w:val="007932B3"/>
    <w:rsid w:val="00793EA9"/>
    <w:rsid w:val="007D6F68"/>
    <w:rsid w:val="008139F1"/>
    <w:rsid w:val="00823E6B"/>
    <w:rsid w:val="00826780"/>
    <w:rsid w:val="00832D4E"/>
    <w:rsid w:val="00832F3F"/>
    <w:rsid w:val="00837CCD"/>
    <w:rsid w:val="00841BFF"/>
    <w:rsid w:val="0084598E"/>
    <w:rsid w:val="008633CC"/>
    <w:rsid w:val="00865190"/>
    <w:rsid w:val="008719B9"/>
    <w:rsid w:val="00877723"/>
    <w:rsid w:val="00894ECE"/>
    <w:rsid w:val="00896BB4"/>
    <w:rsid w:val="008A7FB8"/>
    <w:rsid w:val="008B71C9"/>
    <w:rsid w:val="008C5443"/>
    <w:rsid w:val="008C7962"/>
    <w:rsid w:val="008E4BA4"/>
    <w:rsid w:val="009022B8"/>
    <w:rsid w:val="00914537"/>
    <w:rsid w:val="00917CC4"/>
    <w:rsid w:val="00947CAA"/>
    <w:rsid w:val="009529B1"/>
    <w:rsid w:val="00956EB5"/>
    <w:rsid w:val="009763DA"/>
    <w:rsid w:val="00983DC9"/>
    <w:rsid w:val="0099178F"/>
    <w:rsid w:val="009975B3"/>
    <w:rsid w:val="009A216D"/>
    <w:rsid w:val="009B4B93"/>
    <w:rsid w:val="009F24BE"/>
    <w:rsid w:val="009F6C2F"/>
    <w:rsid w:val="009F767A"/>
    <w:rsid w:val="00A22533"/>
    <w:rsid w:val="00A26F46"/>
    <w:rsid w:val="00A34FD3"/>
    <w:rsid w:val="00A36929"/>
    <w:rsid w:val="00A50548"/>
    <w:rsid w:val="00A57AC1"/>
    <w:rsid w:val="00A60EE7"/>
    <w:rsid w:val="00A910C9"/>
    <w:rsid w:val="00A977D8"/>
    <w:rsid w:val="00AA35B0"/>
    <w:rsid w:val="00AA605F"/>
    <w:rsid w:val="00AD18C8"/>
    <w:rsid w:val="00AD5932"/>
    <w:rsid w:val="00AD7FA6"/>
    <w:rsid w:val="00AE4643"/>
    <w:rsid w:val="00AF0416"/>
    <w:rsid w:val="00B10CB4"/>
    <w:rsid w:val="00B13D6F"/>
    <w:rsid w:val="00B23B72"/>
    <w:rsid w:val="00B32BDC"/>
    <w:rsid w:val="00B42702"/>
    <w:rsid w:val="00B57B8B"/>
    <w:rsid w:val="00B735E3"/>
    <w:rsid w:val="00B8232B"/>
    <w:rsid w:val="00B85407"/>
    <w:rsid w:val="00B90D14"/>
    <w:rsid w:val="00B95702"/>
    <w:rsid w:val="00BC6489"/>
    <w:rsid w:val="00BC76B8"/>
    <w:rsid w:val="00BD480C"/>
    <w:rsid w:val="00C20954"/>
    <w:rsid w:val="00C23324"/>
    <w:rsid w:val="00C42A41"/>
    <w:rsid w:val="00C47E74"/>
    <w:rsid w:val="00C57A72"/>
    <w:rsid w:val="00C713D4"/>
    <w:rsid w:val="00C73602"/>
    <w:rsid w:val="00CB5C59"/>
    <w:rsid w:val="00CF60C8"/>
    <w:rsid w:val="00D05FD9"/>
    <w:rsid w:val="00D30DE2"/>
    <w:rsid w:val="00D32924"/>
    <w:rsid w:val="00D503A3"/>
    <w:rsid w:val="00DA6ED0"/>
    <w:rsid w:val="00DC5011"/>
    <w:rsid w:val="00DE0701"/>
    <w:rsid w:val="00DE5425"/>
    <w:rsid w:val="00E171B6"/>
    <w:rsid w:val="00E22239"/>
    <w:rsid w:val="00E31581"/>
    <w:rsid w:val="00E37BBB"/>
    <w:rsid w:val="00E42D84"/>
    <w:rsid w:val="00E56174"/>
    <w:rsid w:val="00E56EEB"/>
    <w:rsid w:val="00E72695"/>
    <w:rsid w:val="00E73B61"/>
    <w:rsid w:val="00EB1753"/>
    <w:rsid w:val="00EB6CFF"/>
    <w:rsid w:val="00EE3996"/>
    <w:rsid w:val="00F07062"/>
    <w:rsid w:val="00F23CFC"/>
    <w:rsid w:val="00F433E2"/>
    <w:rsid w:val="00F71B6F"/>
    <w:rsid w:val="00F76A09"/>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3F03CA-3C1C-4BC2-B2E8-9A0307DD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E37BBB"/>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link w:val="AmNumberTabsChar"/>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E37BBB"/>
    <w:pPr>
      <w:tabs>
        <w:tab w:val="right" w:pos="454"/>
        <w:tab w:val="left" w:pos="737"/>
      </w:tabs>
      <w:ind w:left="737" w:hanging="737"/>
    </w:pPr>
    <w:rPr>
      <w:snapToGrid w:val="0"/>
      <w:sz w:val="18"/>
      <w:lang w:eastAsia="en-US"/>
    </w:rPr>
  </w:style>
  <w:style w:type="paragraph" w:customStyle="1" w:styleId="Lgendetitre">
    <w:name w:val="Légende titre"/>
    <w:basedOn w:val="Normal"/>
    <w:rsid w:val="00E37BBB"/>
    <w:pPr>
      <w:spacing w:before="240" w:after="240"/>
    </w:pPr>
    <w:rPr>
      <w:b/>
      <w:i/>
      <w:snapToGrid w:val="0"/>
      <w:lang w:eastAsia="en-US"/>
    </w:rPr>
  </w:style>
  <w:style w:type="paragraph" w:customStyle="1" w:styleId="Lgendestandard">
    <w:name w:val="Légende standard"/>
    <w:basedOn w:val="Normal"/>
    <w:rsid w:val="00E37BBB"/>
    <w:rPr>
      <w:sz w:val="18"/>
    </w:rPr>
  </w:style>
  <w:style w:type="character" w:customStyle="1" w:styleId="FooterChar">
    <w:name w:val="Footer Char"/>
    <w:basedOn w:val="DefaultParagraphFont"/>
    <w:link w:val="Footer"/>
    <w:semiHidden/>
    <w:rsid w:val="00E37BBB"/>
    <w:rPr>
      <w:sz w:val="22"/>
    </w:rPr>
  </w:style>
  <w:style w:type="paragraph" w:styleId="Footer">
    <w:name w:val="footer"/>
    <w:link w:val="FooterChar"/>
    <w:semiHidden/>
    <w:unhideWhenUsed/>
    <w:rsid w:val="00E37BBB"/>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E37BBB"/>
    <w:rPr>
      <w:noProof/>
      <w:sz w:val="24"/>
    </w:rPr>
  </w:style>
  <w:style w:type="paragraph" w:customStyle="1" w:styleId="Normal12">
    <w:name w:val="Normal12"/>
    <w:basedOn w:val="Normal"/>
    <w:link w:val="Normal12Char"/>
    <w:rsid w:val="00E37BBB"/>
    <w:pPr>
      <w:spacing w:after="240"/>
    </w:pPr>
    <w:rPr>
      <w:noProof/>
    </w:rPr>
  </w:style>
  <w:style w:type="character" w:customStyle="1" w:styleId="Normal6Char">
    <w:name w:val="Normal6 Char"/>
    <w:basedOn w:val="DefaultParagraphFont"/>
    <w:link w:val="Normal6"/>
    <w:locked/>
    <w:rsid w:val="00E37BBB"/>
    <w:rPr>
      <w:sz w:val="24"/>
      <w:lang w:val="fr-FR"/>
    </w:rPr>
  </w:style>
  <w:style w:type="paragraph" w:customStyle="1" w:styleId="Normal6">
    <w:name w:val="Normal6"/>
    <w:basedOn w:val="Normal"/>
    <w:link w:val="Normal6Char"/>
    <w:rsid w:val="00E37BBB"/>
    <w:pPr>
      <w:spacing w:after="120"/>
    </w:pPr>
  </w:style>
  <w:style w:type="paragraph" w:customStyle="1" w:styleId="Normal12Italic">
    <w:name w:val="Normal12Italic"/>
    <w:basedOn w:val="Normal12"/>
    <w:rsid w:val="00E37BBB"/>
    <w:rPr>
      <w:i/>
    </w:rPr>
  </w:style>
  <w:style w:type="paragraph" w:customStyle="1" w:styleId="Footer2">
    <w:name w:val="Footer2"/>
    <w:basedOn w:val="Normal12"/>
    <w:rsid w:val="00E37BB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37BBB"/>
    <w:pPr>
      <w:jc w:val="center"/>
    </w:pPr>
    <w:rPr>
      <w:noProof w:val="0"/>
      <w:sz w:val="56"/>
    </w:rPr>
  </w:style>
  <w:style w:type="paragraph" w:customStyle="1" w:styleId="AMNumberTabs0">
    <w:name w:val="AMNumberTabs"/>
    <w:basedOn w:val="Normal"/>
    <w:rsid w:val="00E37B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37BBB"/>
    <w:pPr>
      <w:spacing w:after="240"/>
      <w:jc w:val="center"/>
    </w:pPr>
    <w:rPr>
      <w:i/>
    </w:rPr>
  </w:style>
  <w:style w:type="paragraph" w:customStyle="1" w:styleId="Olang">
    <w:name w:val="Olang"/>
    <w:basedOn w:val="Normal"/>
    <w:rsid w:val="00E37BBB"/>
    <w:pPr>
      <w:spacing w:before="240" w:after="240"/>
      <w:jc w:val="right"/>
    </w:pPr>
    <w:rPr>
      <w:noProof/>
      <w:szCs w:val="24"/>
    </w:rPr>
  </w:style>
  <w:style w:type="paragraph" w:styleId="BalloonText">
    <w:name w:val="Balloon Text"/>
    <w:basedOn w:val="Normal"/>
    <w:link w:val="BalloonTextChar"/>
    <w:semiHidden/>
    <w:unhideWhenUsed/>
    <w:rsid w:val="00C713D4"/>
    <w:rPr>
      <w:rFonts w:ascii="Segoe UI" w:hAnsi="Segoe UI" w:cs="Segoe UI"/>
      <w:sz w:val="18"/>
      <w:szCs w:val="18"/>
    </w:rPr>
  </w:style>
  <w:style w:type="character" w:customStyle="1" w:styleId="BalloonTextChar">
    <w:name w:val="Balloon Text Char"/>
    <w:basedOn w:val="DefaultParagraphFont"/>
    <w:link w:val="BalloonText"/>
    <w:semiHidden/>
    <w:rsid w:val="00C713D4"/>
    <w:rPr>
      <w:rFonts w:ascii="Segoe UI" w:hAnsi="Segoe UI" w:cs="Segoe UI"/>
      <w:sz w:val="18"/>
      <w:szCs w:val="18"/>
    </w:rPr>
  </w:style>
  <w:style w:type="character" w:styleId="CommentReference">
    <w:name w:val="annotation reference"/>
    <w:basedOn w:val="DefaultParagraphFont"/>
    <w:rsid w:val="00C713D4"/>
    <w:rPr>
      <w:sz w:val="16"/>
      <w:szCs w:val="16"/>
    </w:rPr>
  </w:style>
  <w:style w:type="paragraph" w:styleId="CommentText">
    <w:name w:val="annotation text"/>
    <w:basedOn w:val="Normal"/>
    <w:link w:val="CommentTextChar"/>
    <w:rsid w:val="00C713D4"/>
    <w:rPr>
      <w:sz w:val="20"/>
    </w:rPr>
  </w:style>
  <w:style w:type="character" w:customStyle="1" w:styleId="CommentTextChar">
    <w:name w:val="Comment Text Char"/>
    <w:basedOn w:val="DefaultParagraphFont"/>
    <w:link w:val="CommentText"/>
    <w:rsid w:val="00C713D4"/>
  </w:style>
  <w:style w:type="paragraph" w:styleId="CommentSubject">
    <w:name w:val="annotation subject"/>
    <w:basedOn w:val="CommentText"/>
    <w:next w:val="CommentText"/>
    <w:link w:val="CommentSubjectChar"/>
    <w:semiHidden/>
    <w:unhideWhenUsed/>
    <w:rsid w:val="00C713D4"/>
    <w:rPr>
      <w:b/>
      <w:bCs/>
    </w:rPr>
  </w:style>
  <w:style w:type="character" w:customStyle="1" w:styleId="CommentSubjectChar">
    <w:name w:val="Comment Subject Char"/>
    <w:basedOn w:val="CommentTextChar"/>
    <w:link w:val="CommentSubject"/>
    <w:semiHidden/>
    <w:rsid w:val="00C713D4"/>
    <w:rPr>
      <w:b/>
      <w:bCs/>
    </w:rPr>
  </w:style>
  <w:style w:type="character" w:styleId="Hyperlink">
    <w:name w:val="Hyperlink"/>
    <w:basedOn w:val="DefaultParagraphFont"/>
    <w:rsid w:val="00227060"/>
    <w:rPr>
      <w:color w:val="0563C1" w:themeColor="hyperlink"/>
      <w:u w:val="single"/>
    </w:rPr>
  </w:style>
  <w:style w:type="character" w:customStyle="1" w:styleId="AmNumberTabsChar">
    <w:name w:val="AmNumberTabs Char"/>
    <w:basedOn w:val="DefaultParagraphFont"/>
    <w:link w:val="AmNumberTabs"/>
    <w:rsid w:val="00E56EEB"/>
    <w:rPr>
      <w:b/>
      <w:sz w:val="24"/>
    </w:rPr>
  </w:style>
  <w:style w:type="character" w:customStyle="1" w:styleId="NormalBold12bChar">
    <w:name w:val="NormalBold12b Char"/>
    <w:basedOn w:val="AmNumberTabsChar"/>
    <w:link w:val="NormalBold12b"/>
    <w:rsid w:val="00E56EEB"/>
    <w:rPr>
      <w:b/>
      <w:sz w:val="24"/>
    </w:rPr>
  </w:style>
  <w:style w:type="paragraph" w:customStyle="1" w:styleId="Normal12a">
    <w:name w:val="Normal12a"/>
    <w:basedOn w:val="Normal"/>
    <w:rsid w:val="00E56EEB"/>
    <w:pPr>
      <w:spacing w:after="240"/>
    </w:pPr>
  </w:style>
  <w:style w:type="paragraph" w:customStyle="1" w:styleId="RollCallVotes">
    <w:name w:val="RollCallVotes"/>
    <w:basedOn w:val="Normal"/>
    <w:rsid w:val="00E56EEB"/>
    <w:pPr>
      <w:spacing w:before="120" w:after="120"/>
      <w:jc w:val="center"/>
    </w:pPr>
    <w:rPr>
      <w:b/>
      <w:bCs/>
      <w:snapToGrid w:val="0"/>
      <w:sz w:val="16"/>
      <w:lang w:eastAsia="en-US"/>
    </w:rPr>
  </w:style>
  <w:style w:type="paragraph" w:customStyle="1" w:styleId="RollCallTabs">
    <w:name w:val="RollCallTabs"/>
    <w:basedOn w:val="Normal"/>
    <w:qFormat/>
    <w:rsid w:val="00E56EEB"/>
    <w:pPr>
      <w:tabs>
        <w:tab w:val="center" w:pos="284"/>
        <w:tab w:val="left" w:pos="426"/>
      </w:tabs>
    </w:pPr>
    <w:rPr>
      <w:snapToGrid w:val="0"/>
      <w:lang w:eastAsia="en-US"/>
    </w:rPr>
  </w:style>
  <w:style w:type="paragraph" w:customStyle="1" w:styleId="RollCallSymbols14pt">
    <w:name w:val="RollCallSymbols14pt"/>
    <w:basedOn w:val="Normal"/>
    <w:rsid w:val="00E56EEB"/>
    <w:pPr>
      <w:spacing w:before="120" w:after="120"/>
      <w:jc w:val="center"/>
    </w:pPr>
    <w:rPr>
      <w:rFonts w:ascii="Arial" w:hAnsi="Arial"/>
      <w:b/>
      <w:bCs/>
      <w:snapToGrid w:val="0"/>
      <w:sz w:val="28"/>
      <w:lang w:eastAsia="en-US"/>
    </w:rPr>
  </w:style>
  <w:style w:type="paragraph" w:customStyle="1" w:styleId="RollCallTable">
    <w:name w:val="RollCallTable"/>
    <w:basedOn w:val="Normal"/>
    <w:rsid w:val="00E56EEB"/>
    <w:pPr>
      <w:spacing w:before="120" w:after="120"/>
    </w:pPr>
    <w:rPr>
      <w:snapToGrid w:val="0"/>
      <w:sz w:val="16"/>
      <w:lang w:eastAsia="en-US"/>
    </w:rPr>
  </w:style>
  <w:style w:type="paragraph" w:styleId="FootnoteText">
    <w:name w:val="footnote text"/>
    <w:basedOn w:val="Normal"/>
    <w:link w:val="FootnoteTextChar"/>
    <w:rsid w:val="00E56EEB"/>
    <w:rPr>
      <w:sz w:val="20"/>
    </w:rPr>
  </w:style>
  <w:style w:type="character" w:customStyle="1" w:styleId="FootnoteTextChar">
    <w:name w:val="Footnote Text Char"/>
    <w:basedOn w:val="DefaultParagraphFont"/>
    <w:link w:val="FootnoteText"/>
    <w:rsid w:val="00E56EEB"/>
    <w:rPr>
      <w:lang w:val="fr-FR"/>
    </w:rPr>
  </w:style>
  <w:style w:type="character" w:styleId="FootnoteReference">
    <w:name w:val="footnote reference"/>
    <w:basedOn w:val="DefaultParagraphFont"/>
    <w:rsid w:val="00E56EEB"/>
    <w:rPr>
      <w:vertAlign w:val="superscript"/>
    </w:rPr>
  </w:style>
  <w:style w:type="paragraph" w:styleId="Revision">
    <w:name w:val="Revision"/>
    <w:hidden/>
    <w:uiPriority w:val="99"/>
    <w:semiHidden/>
    <w:rsid w:val="00E56EE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F1EB9-7BA8-40DD-A43C-A74EEBCE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12579</Words>
  <Characters>70950</Characters>
  <Application>Microsoft Office Word</Application>
  <DocSecurity>0</DocSecurity>
  <Lines>2627</Lines>
  <Paragraphs>835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RODRIGUEZ MALNERO Yolanda</dc:creator>
  <cp:lastModifiedBy>-</cp:lastModifiedBy>
  <cp:revision>2</cp:revision>
  <cp:lastPrinted>2004-11-04T09:41:00Z</cp:lastPrinted>
  <dcterms:created xsi:type="dcterms:W3CDTF">2024-01-10T12:42:00Z</dcterms:created>
  <dcterms:modified xsi:type="dcterms:W3CDTF">2024-01-10T12:42:00Z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1292107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RR</vt:lpwstr>
  </property>
  <property fmtid="{D5CDD505-2E9C-101B-9397-08002B2CF9AE}" pid="8" name="Bookout">
    <vt:lpwstr/>
  </property>
  <property fmtid="{D5CDD505-2E9C-101B-9397-08002B2CF9AE}" pid="9" name="Created with">
    <vt:lpwstr>9.14.1 Build [20230315]</vt:lpwstr>
  </property>
  <property fmtid="{D5CDD505-2E9C-101B-9397-08002B2CF9AE}" pid="10" name="FooterPath">
    <vt:lpwstr>RR\1292107FR.docx</vt:lpwstr>
  </property>
  <property fmtid="{D5CDD505-2E9C-101B-9397-08002B2CF9AE}" pid="11" name="LastEdited with">
    <vt:lpwstr>9.17.0 Build [20231101]</vt:lpwstr>
  </property>
  <property fmtid="{D5CDD505-2E9C-101B-9397-08002B2CF9AE}" pid="12" name="PE number">
    <vt:lpwstr>751.881</vt:lpwstr>
  </property>
  <property fmtid="{D5CDD505-2E9C-101B-9397-08002B2CF9AE}" pid="13" name="SDLStudio">
    <vt:lpwstr/>
  </property>
  <property fmtid="{D5CDD505-2E9C-101B-9397-08002B2CF9AE}" pid="14" name="SendToEpades">
    <vt:lpwstr>OK(AMNUM) - 2023/07/19 15:07</vt:lpwstr>
  </property>
</Properties>
</file>