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C37AD" w:rsidRPr="00407D43" w:rsidTr="00C85D0F">
        <w:trPr>
          <w:trHeight w:hRule="exact" w:val="1418"/>
        </w:trPr>
        <w:tc>
          <w:tcPr>
            <w:tcW w:w="6804" w:type="dxa"/>
            <w:shd w:val="clear" w:color="auto" w:fill="auto"/>
            <w:vAlign w:val="center"/>
          </w:tcPr>
          <w:p w:rsidR="00B13D6F" w:rsidRPr="00407D43" w:rsidRDefault="00407D43" w:rsidP="00C85D0F">
            <w:pPr>
              <w:pStyle w:val="EPName"/>
            </w:pPr>
            <w:bookmarkStart w:id="0" w:name="_GoBack"/>
            <w:bookmarkEnd w:id="0"/>
            <w:r w:rsidRPr="00407D43">
              <w:t>Parlement européen</w:t>
            </w:r>
          </w:p>
          <w:p w:rsidR="00B13D6F" w:rsidRPr="00407D43" w:rsidRDefault="00407D43" w:rsidP="00240FDD">
            <w:pPr>
              <w:pStyle w:val="EPTerm"/>
            </w:pPr>
            <w:r w:rsidRPr="00407D43">
              <w:t>2019-2024</w:t>
            </w:r>
          </w:p>
        </w:tc>
        <w:tc>
          <w:tcPr>
            <w:tcW w:w="2268" w:type="dxa"/>
            <w:shd w:val="clear" w:color="auto" w:fill="auto"/>
          </w:tcPr>
          <w:p w:rsidR="00B13D6F" w:rsidRPr="00407D43" w:rsidRDefault="00407D43" w:rsidP="00C85D0F">
            <w:pPr>
              <w:pStyle w:val="EPLogo"/>
            </w:pPr>
            <w:r w:rsidRPr="00407D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07D43" w:rsidRDefault="00461601" w:rsidP="00461601">
      <w:pPr>
        <w:pStyle w:val="LineTop"/>
      </w:pPr>
    </w:p>
    <w:p w:rsidR="00461601" w:rsidRPr="00407D43" w:rsidRDefault="00407D43" w:rsidP="00461601">
      <w:pPr>
        <w:pStyle w:val="EPBody"/>
      </w:pPr>
      <w:r w:rsidRPr="00407D43">
        <w:t>Document de séance</w:t>
      </w:r>
    </w:p>
    <w:p w:rsidR="00461601" w:rsidRPr="00407D43" w:rsidRDefault="00461601" w:rsidP="00461601">
      <w:pPr>
        <w:pStyle w:val="LineBottom"/>
      </w:pPr>
    </w:p>
    <w:p w:rsidR="00793EA9" w:rsidRPr="00407D43" w:rsidRDefault="00407D43">
      <w:pPr>
        <w:pStyle w:val="CoverReference"/>
      </w:pPr>
      <w:r w:rsidRPr="00407D43">
        <w:rPr>
          <w:rStyle w:val="HideTWBExt"/>
        </w:rPr>
        <w:t>&lt;NoDocSe&gt;</w:t>
      </w:r>
      <w:r w:rsidRPr="00407D43">
        <w:t>A9</w:t>
      </w:r>
      <w:r w:rsidRPr="00407D43">
        <w:noBreakHyphen/>
        <w:t>0396/2023</w:t>
      </w:r>
      <w:r w:rsidRPr="00407D43">
        <w:rPr>
          <w:rStyle w:val="HideTWBExt"/>
        </w:rPr>
        <w:t>&lt;/NoDocSe&gt;</w:t>
      </w:r>
    </w:p>
    <w:p w:rsidR="00793EA9" w:rsidRPr="00407D43" w:rsidRDefault="00407D43">
      <w:pPr>
        <w:pStyle w:val="CoverDate"/>
      </w:pPr>
      <w:r w:rsidRPr="00407D43">
        <w:rPr>
          <w:rStyle w:val="HideTWBExt"/>
        </w:rPr>
        <w:t>&lt;Date&gt;</w:t>
      </w:r>
      <w:r w:rsidRPr="00407D43">
        <w:rPr>
          <w:rStyle w:val="HideTWBInt"/>
        </w:rPr>
        <w:t>{05/12/2023}</w:t>
      </w:r>
      <w:r w:rsidRPr="00407D43">
        <w:t>5.12.2023</w:t>
      </w:r>
      <w:r w:rsidRPr="00407D43">
        <w:rPr>
          <w:rStyle w:val="HideTWBExt"/>
        </w:rPr>
        <w:t>&lt;/Date&gt;</w:t>
      </w:r>
    </w:p>
    <w:p w:rsidR="00793EA9" w:rsidRPr="00407D43" w:rsidRDefault="00407D43">
      <w:pPr>
        <w:pStyle w:val="CoverDocType"/>
      </w:pPr>
      <w:r w:rsidRPr="00407D43">
        <w:rPr>
          <w:rStyle w:val="HideTWBExt"/>
          <w:b w:val="0"/>
        </w:rPr>
        <w:t>&lt;RefProcLect&gt;</w:t>
      </w:r>
      <w:r w:rsidRPr="00407D43">
        <w:t>***I</w:t>
      </w:r>
      <w:r w:rsidRPr="00407D43">
        <w:rPr>
          <w:rStyle w:val="HideTWBExt"/>
          <w:b w:val="0"/>
        </w:rPr>
        <w:t>&lt;/RefProcLect&gt;</w:t>
      </w:r>
    </w:p>
    <w:p w:rsidR="00793EA9" w:rsidRPr="00407D43" w:rsidRDefault="00407D43">
      <w:pPr>
        <w:pStyle w:val="CoverDocType24a"/>
      </w:pPr>
      <w:r w:rsidRPr="00407D43">
        <w:rPr>
          <w:rStyle w:val="HideTWBExt"/>
          <w:b w:val="0"/>
        </w:rPr>
        <w:t>&lt;TitreType&gt;</w:t>
      </w:r>
      <w:r w:rsidRPr="00407D43">
        <w:t>RAPPORT</w:t>
      </w:r>
      <w:r w:rsidRPr="00407D43">
        <w:rPr>
          <w:rStyle w:val="HideTWBExt"/>
          <w:b w:val="0"/>
        </w:rPr>
        <w:t>&lt;/TitreType&gt;</w:t>
      </w:r>
    </w:p>
    <w:p w:rsidR="00793EA9" w:rsidRPr="00407D43" w:rsidRDefault="00407D43">
      <w:pPr>
        <w:pStyle w:val="CoverNormal"/>
      </w:pPr>
      <w:r w:rsidRPr="00407D43">
        <w:rPr>
          <w:rStyle w:val="HideTWBExt"/>
        </w:rPr>
        <w:t>&lt;Titre&gt;</w:t>
      </w:r>
      <w:r w:rsidRPr="00407D43">
        <w:t>sur la proposition de directive du Parlement européen et du Conseil modifiant la directive (UE) 2015/413 facilitant l’échange transfrontalier d’informations concernant les infractions en matière de sécurité routière</w:t>
      </w:r>
      <w:r w:rsidRPr="00407D43">
        <w:rPr>
          <w:rStyle w:val="HideTWBExt"/>
        </w:rPr>
        <w:t>&lt;/Titre&gt;</w:t>
      </w:r>
    </w:p>
    <w:p w:rsidR="00793EA9" w:rsidRPr="00407D43" w:rsidRDefault="00407D43">
      <w:pPr>
        <w:pStyle w:val="CoverNormal24a"/>
      </w:pPr>
      <w:r w:rsidRPr="00407D43">
        <w:rPr>
          <w:rStyle w:val="HideTWBExt"/>
        </w:rPr>
        <w:t>&lt;DocRef&gt;</w:t>
      </w:r>
      <w:r w:rsidRPr="00407D43">
        <w:t>(COM(2023)0126 – C9</w:t>
      </w:r>
      <w:r w:rsidRPr="00407D43">
        <w:noBreakHyphen/>
        <w:t>0034</w:t>
      </w:r>
      <w:r w:rsidRPr="00407D43">
        <w:t>/2023 – 2023/0052(COD))</w:t>
      </w:r>
      <w:r w:rsidRPr="00407D43">
        <w:rPr>
          <w:rStyle w:val="HideTWBExt"/>
        </w:rPr>
        <w:t>&lt;/DocRef&gt;</w:t>
      </w:r>
    </w:p>
    <w:p w:rsidR="00793EA9" w:rsidRPr="00407D43" w:rsidRDefault="00407D43">
      <w:pPr>
        <w:pStyle w:val="CoverNormal24a"/>
      </w:pPr>
      <w:r w:rsidRPr="00407D43">
        <w:rPr>
          <w:rStyle w:val="HideTWBExt"/>
        </w:rPr>
        <w:t>&lt;Commission&gt;</w:t>
      </w:r>
      <w:r w:rsidRPr="00407D43">
        <w:rPr>
          <w:rStyle w:val="HideTWBInt"/>
        </w:rPr>
        <w:t>{TRAN}</w:t>
      </w:r>
      <w:r w:rsidRPr="00407D43">
        <w:t>Commission des transports et du tourisme</w:t>
      </w:r>
      <w:r w:rsidRPr="00407D43">
        <w:rPr>
          <w:rStyle w:val="HideTWBExt"/>
        </w:rPr>
        <w:t>&lt;/Commission&gt;</w:t>
      </w:r>
    </w:p>
    <w:p w:rsidR="00793EA9" w:rsidRPr="00407D43" w:rsidRDefault="00407D43">
      <w:pPr>
        <w:pStyle w:val="CoverNormal24a"/>
      </w:pPr>
      <w:r w:rsidRPr="00407D43">
        <w:t xml:space="preserve">Rapporteur: </w:t>
      </w:r>
      <w:r w:rsidRPr="00407D43">
        <w:rPr>
          <w:rStyle w:val="HideTWBExt"/>
        </w:rPr>
        <w:t>&lt;Depute&gt;</w:t>
      </w:r>
      <w:r w:rsidRPr="00407D43">
        <w:t>Kosma Złotowski</w:t>
      </w:r>
      <w:r w:rsidRPr="00407D43">
        <w:rPr>
          <w:rStyle w:val="HideTWBExt"/>
        </w:rPr>
        <w:t>&lt;/Depute&gt;</w:t>
      </w:r>
    </w:p>
    <w:p w:rsidR="001C5B44" w:rsidRPr="00407D43" w:rsidRDefault="001C5B44" w:rsidP="001C5B44">
      <w:pPr>
        <w:pStyle w:val="CoverNormal"/>
      </w:pPr>
    </w:p>
    <w:p w:rsidR="00240FDD" w:rsidRPr="00407D43" w:rsidRDefault="00407D43" w:rsidP="00894923">
      <w:r w:rsidRPr="00407D43">
        <w:br w:type="page"/>
      </w:r>
      <w:r w:rsidR="00E10D7D" w:rsidRPr="00407D43">
        <w:lastRenderedPageBreak/>
        <w:fldChar w:fldCharType="begin"/>
      </w:r>
      <w:r w:rsidRPr="00407D43">
        <w:instrText xml:space="preserve"> TITLE  \* MERGEFORMAT </w:instrText>
      </w:r>
      <w:r w:rsidR="00E10D7D" w:rsidRPr="00407D43">
        <w:fldChar w:fldCharType="separate"/>
      </w:r>
      <w:r>
        <w:t>PR_COD_1amCom</w:t>
      </w:r>
      <w:r w:rsidR="00E10D7D" w:rsidRPr="00407D43">
        <w:fldChar w:fldCharType="end"/>
      </w:r>
    </w:p>
    <w:p w:rsidR="00240FDD" w:rsidRPr="00407D43" w:rsidRDefault="00240FDD" w:rsidP="00894923"/>
    <w:p w:rsidR="00240FDD" w:rsidRPr="00407D43" w:rsidRDefault="00240FD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C37AD" w:rsidRPr="00407D43">
        <w:tc>
          <w:tcPr>
            <w:tcW w:w="5811" w:type="dxa"/>
          </w:tcPr>
          <w:p w:rsidR="00240FDD" w:rsidRPr="00407D43" w:rsidRDefault="00407D43" w:rsidP="00894923">
            <w:pPr>
              <w:pStyle w:val="Lgendetitre"/>
            </w:pPr>
            <w:r w:rsidRPr="00407D43">
              <w:t>Légende des signes utilisés</w:t>
            </w:r>
          </w:p>
        </w:tc>
      </w:tr>
      <w:tr w:rsidR="005C37AD" w:rsidRPr="00407D43" w:rsidTr="007452CB">
        <w:trPr>
          <w:cantSplit/>
          <w:trHeight w:val="1807"/>
        </w:trPr>
        <w:tc>
          <w:tcPr>
            <w:tcW w:w="5811" w:type="dxa"/>
            <w:tcBorders>
              <w:bottom w:val="single" w:sz="4" w:space="0" w:color="auto"/>
            </w:tcBorders>
          </w:tcPr>
          <w:p w:rsidR="00240FDD" w:rsidRPr="00407D43" w:rsidRDefault="00407D43" w:rsidP="003506ED">
            <w:pPr>
              <w:pStyle w:val="Lgendesigne"/>
            </w:pPr>
            <w:r w:rsidRPr="00407D43">
              <w:tab/>
              <w:t>*</w:t>
            </w:r>
            <w:r w:rsidRPr="00407D43">
              <w:tab/>
              <w:t>Procédure de consultation</w:t>
            </w:r>
          </w:p>
          <w:p w:rsidR="00240FDD" w:rsidRPr="00407D43" w:rsidRDefault="00407D43" w:rsidP="003506ED">
            <w:pPr>
              <w:pStyle w:val="Lgendesigne"/>
            </w:pPr>
            <w:r w:rsidRPr="00407D43">
              <w:tab/>
              <w:t>***</w:t>
            </w:r>
            <w:r w:rsidRPr="00407D43">
              <w:tab/>
              <w:t>Procédure d’approbation</w:t>
            </w:r>
          </w:p>
          <w:p w:rsidR="00240FDD" w:rsidRPr="00407D43" w:rsidRDefault="00407D43" w:rsidP="003506ED">
            <w:pPr>
              <w:pStyle w:val="Lgendesigne"/>
            </w:pPr>
            <w:r w:rsidRPr="00407D43">
              <w:tab/>
              <w:t>***I</w:t>
            </w:r>
            <w:r w:rsidRPr="00407D43">
              <w:tab/>
              <w:t>Procédure législative ordinaire (première lecture)</w:t>
            </w:r>
          </w:p>
          <w:p w:rsidR="00240FDD" w:rsidRPr="00407D43" w:rsidRDefault="00407D43" w:rsidP="003506ED">
            <w:pPr>
              <w:pStyle w:val="Lgendesigne"/>
            </w:pPr>
            <w:r w:rsidRPr="00407D43">
              <w:tab/>
              <w:t>***II</w:t>
            </w:r>
            <w:r w:rsidRPr="00407D43">
              <w:tab/>
              <w:t>Procédure législative ordinaire (deuxième lecture)</w:t>
            </w:r>
          </w:p>
          <w:p w:rsidR="00240FDD" w:rsidRPr="00407D43" w:rsidRDefault="00407D43" w:rsidP="003506ED">
            <w:pPr>
              <w:pStyle w:val="Lgendesigne"/>
            </w:pPr>
            <w:r w:rsidRPr="00407D43">
              <w:tab/>
              <w:t>***III</w:t>
            </w:r>
            <w:r w:rsidRPr="00407D43">
              <w:tab/>
              <w:t>Procédure législative ordinaire (troisième lecture)</w:t>
            </w:r>
          </w:p>
          <w:p w:rsidR="00240FDD" w:rsidRPr="00407D43" w:rsidRDefault="00240FDD" w:rsidP="003506ED">
            <w:pPr>
              <w:pStyle w:val="Lgendestandard"/>
            </w:pPr>
          </w:p>
          <w:p w:rsidR="00240FDD" w:rsidRPr="00407D43" w:rsidRDefault="00407D43" w:rsidP="003506ED">
            <w:pPr>
              <w:pStyle w:val="Lgendestandard"/>
            </w:pPr>
            <w:r w:rsidRPr="00407D43">
              <w:t>(La procédure indiquée est fondée sur la base juridique</w:t>
            </w:r>
            <w:r w:rsidRPr="00407D43">
              <w:t xml:space="preserve"> proposée par le projet d’acte.)</w:t>
            </w:r>
          </w:p>
          <w:p w:rsidR="00240FDD" w:rsidRPr="00407D43" w:rsidRDefault="00240FDD" w:rsidP="00B54EAF">
            <w:pPr>
              <w:pStyle w:val="Lgendestandard"/>
            </w:pPr>
          </w:p>
        </w:tc>
      </w:tr>
    </w:tbl>
    <w:p w:rsidR="00240FDD" w:rsidRPr="00407D43" w:rsidRDefault="00240FDD" w:rsidP="00894923"/>
    <w:p w:rsidR="00240FDD" w:rsidRPr="00407D43" w:rsidRDefault="00240FDD" w:rsidP="00894923"/>
    <w:p w:rsidR="00240FDD" w:rsidRPr="00407D43" w:rsidRDefault="00240FDD" w:rsidP="00894923"/>
    <w:p w:rsidR="00240FDD" w:rsidRPr="00407D43" w:rsidRDefault="00240FD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C37AD" w:rsidRPr="00407D43">
        <w:tc>
          <w:tcPr>
            <w:tcW w:w="5811" w:type="dxa"/>
          </w:tcPr>
          <w:p w:rsidR="00240FDD" w:rsidRPr="00407D43" w:rsidRDefault="00407D43" w:rsidP="00894923">
            <w:pPr>
              <w:pStyle w:val="Lgendetitre"/>
            </w:pPr>
            <w:r w:rsidRPr="00407D43">
              <w:t>Amendements à un projet d’acte</w:t>
            </w:r>
          </w:p>
        </w:tc>
      </w:tr>
      <w:tr w:rsidR="005C37AD" w:rsidRPr="00407D43" w:rsidTr="00554250">
        <w:trPr>
          <w:trHeight w:val="4496"/>
        </w:trPr>
        <w:tc>
          <w:tcPr>
            <w:tcW w:w="5811" w:type="dxa"/>
          </w:tcPr>
          <w:p w:rsidR="00240FDD" w:rsidRPr="00407D43" w:rsidRDefault="00407D43" w:rsidP="003506ED">
            <w:pPr>
              <w:pStyle w:val="Lgendestandard"/>
              <w:rPr>
                <w:szCs w:val="24"/>
              </w:rPr>
            </w:pPr>
            <w:r w:rsidRPr="00407D43">
              <w:rPr>
                <w:b/>
              </w:rPr>
              <w:t>Amendements du Parlement présentés en deux colonnes</w:t>
            </w:r>
          </w:p>
          <w:p w:rsidR="00240FDD" w:rsidRPr="00407D43" w:rsidRDefault="00240FDD" w:rsidP="003506ED">
            <w:pPr>
              <w:pStyle w:val="Lgendestandard"/>
              <w:rPr>
                <w:szCs w:val="24"/>
              </w:rPr>
            </w:pPr>
          </w:p>
          <w:p w:rsidR="00240FDD" w:rsidRPr="00407D43" w:rsidRDefault="00407D43" w:rsidP="003506ED">
            <w:pPr>
              <w:pStyle w:val="Lgendestandard"/>
              <w:rPr>
                <w:szCs w:val="24"/>
              </w:rPr>
            </w:pPr>
            <w:r w:rsidRPr="00407D43">
              <w:t xml:space="preserve">Les suppressions sont signalées par des italiques gras dans la colonne de gauche. </w:t>
            </w:r>
            <w:r w:rsidRPr="00407D43">
              <w:t>Les remplacements sont signalés par des italiques gras dans les deux colonnes Le texte nouveau est signalé par des italiques gras dans la colonne de droite</w:t>
            </w:r>
          </w:p>
          <w:p w:rsidR="00240FDD" w:rsidRPr="00407D43" w:rsidRDefault="00240FDD" w:rsidP="003506ED">
            <w:pPr>
              <w:pStyle w:val="Lgendestandard"/>
              <w:rPr>
                <w:szCs w:val="24"/>
              </w:rPr>
            </w:pPr>
          </w:p>
          <w:p w:rsidR="00240FDD" w:rsidRPr="00407D43" w:rsidRDefault="00407D43" w:rsidP="003506ED">
            <w:pPr>
              <w:pStyle w:val="Lgendestandard"/>
              <w:rPr>
                <w:szCs w:val="24"/>
              </w:rPr>
            </w:pPr>
            <w:r w:rsidRPr="00407D43">
              <w:t>Les première et deuxième lignes de l’en-tête de chaque amendement identifient le passage concerné d</w:t>
            </w:r>
            <w:r w:rsidRPr="00407D43">
              <w:t>ans le projet d’acte à l’examen. Si un amendement porte sur un acte existant, que le projet d’acte entend modifier, l’en-tête comporte en outre une troisième et une quatrième lignes qui identifient respectivement l’acte existant et la disposition de celui-</w:t>
            </w:r>
            <w:r w:rsidRPr="00407D43">
              <w:t>ci qui est concernée.</w:t>
            </w:r>
          </w:p>
          <w:p w:rsidR="00240FDD" w:rsidRPr="00407D43" w:rsidRDefault="00240FDD" w:rsidP="003506ED">
            <w:pPr>
              <w:pStyle w:val="Lgendestandard"/>
              <w:rPr>
                <w:szCs w:val="24"/>
              </w:rPr>
            </w:pPr>
          </w:p>
          <w:p w:rsidR="00240FDD" w:rsidRPr="00407D43" w:rsidRDefault="00407D43" w:rsidP="003506ED">
            <w:pPr>
              <w:pStyle w:val="Lgendestandard"/>
              <w:rPr>
                <w:b/>
                <w:szCs w:val="24"/>
              </w:rPr>
            </w:pPr>
            <w:r w:rsidRPr="00407D43">
              <w:rPr>
                <w:b/>
              </w:rPr>
              <w:t>Amendements du Parlement prenant la forme d’un texte consolidé</w:t>
            </w:r>
          </w:p>
          <w:p w:rsidR="00240FDD" w:rsidRPr="00407D43" w:rsidRDefault="00240FDD" w:rsidP="003506ED">
            <w:pPr>
              <w:pStyle w:val="Lgendestandard"/>
              <w:rPr>
                <w:szCs w:val="24"/>
              </w:rPr>
            </w:pPr>
          </w:p>
          <w:p w:rsidR="00240FDD" w:rsidRPr="00407D43" w:rsidRDefault="00407D43" w:rsidP="003506ED">
            <w:pPr>
              <w:pStyle w:val="Lgendestandard"/>
              <w:rPr>
                <w:szCs w:val="24"/>
              </w:rPr>
            </w:pPr>
            <w:r w:rsidRPr="00407D43">
              <w:t>Les parties de textes nouvelles sont indiquées en italiques gras. Les parties de texte supprimées sont indiquées par le symbole ▌ ou barrées. Les remplacements sont sign</w:t>
            </w:r>
            <w:r w:rsidRPr="00407D43">
              <w:t xml:space="preserve">alés en indiquant en italiques gras le texte nouveau et en effaçant ou en barrant le texte remplacé. </w:t>
            </w:r>
          </w:p>
          <w:p w:rsidR="00240FDD" w:rsidRPr="00407D43" w:rsidRDefault="00407D43" w:rsidP="003506ED">
            <w:pPr>
              <w:pStyle w:val="Lgendestandard"/>
            </w:pPr>
            <w:r w:rsidRPr="00407D43">
              <w:t>Par exception, les modifications de nature strictement technique apportées par les services en vue de l’élaboration du texte final ne sont pas marquées.</w:t>
            </w:r>
          </w:p>
          <w:p w:rsidR="00240FDD" w:rsidRPr="00407D43" w:rsidRDefault="00240FDD" w:rsidP="0069092A">
            <w:pPr>
              <w:pStyle w:val="Lgendestandard"/>
            </w:pPr>
          </w:p>
        </w:tc>
      </w:tr>
    </w:tbl>
    <w:p w:rsidR="00240FDD" w:rsidRPr="00407D43" w:rsidRDefault="00240FDD" w:rsidP="00894923"/>
    <w:p w:rsidR="00793EA9" w:rsidRPr="00407D43" w:rsidRDefault="00793EA9" w:rsidP="00012351">
      <w:pPr>
        <w:widowControl/>
        <w:tabs>
          <w:tab w:val="center" w:pos="4677"/>
        </w:tabs>
      </w:pPr>
    </w:p>
    <w:p w:rsidR="00793EA9" w:rsidRPr="00407D43" w:rsidRDefault="00407D43">
      <w:pPr>
        <w:pStyle w:val="TOCHeading"/>
      </w:pPr>
      <w:r w:rsidRPr="00407D43">
        <w:br w:type="page"/>
      </w:r>
      <w:r w:rsidRPr="00407D43">
        <w:lastRenderedPageBreak/>
        <w:t>SOMMAIRE</w:t>
      </w:r>
    </w:p>
    <w:p w:rsidR="00793EA9" w:rsidRPr="00407D43" w:rsidRDefault="00407D43">
      <w:pPr>
        <w:pStyle w:val="TOCPage"/>
      </w:pPr>
      <w:r w:rsidRPr="00407D43">
        <w:t>Page</w:t>
      </w:r>
    </w:p>
    <w:p w:rsidR="00407D43" w:rsidRDefault="00407D43">
      <w:pPr>
        <w:pStyle w:val="TOC1"/>
        <w:tabs>
          <w:tab w:val="right" w:leader="dot" w:pos="9060"/>
        </w:tabs>
        <w:rPr>
          <w:rFonts w:asciiTheme="minorHAnsi" w:eastAsiaTheme="minorEastAsia" w:hAnsiTheme="minorHAnsi" w:cstheme="minorBidi"/>
          <w:noProof/>
          <w:sz w:val="22"/>
          <w:szCs w:val="22"/>
          <w:lang w:val="en-GB"/>
        </w:rPr>
      </w:pPr>
      <w:r w:rsidRPr="00407D43">
        <w:rPr>
          <w:b/>
        </w:rPr>
        <w:fldChar w:fldCharType="begin"/>
      </w:r>
      <w:r w:rsidRPr="00407D43">
        <w:rPr>
          <w:b/>
        </w:rPr>
        <w:instrText xml:space="preserve"> TOC \t "PageHeading</w:instrText>
      </w:r>
      <w:r w:rsidR="00CD4DE8" w:rsidRPr="00407D43">
        <w:rPr>
          <w:b/>
        </w:rPr>
        <w:instrText>;</w:instrText>
      </w:r>
      <w:r w:rsidRPr="00407D43">
        <w:rPr>
          <w:b/>
        </w:rPr>
        <w:instrText xml:space="preserve">1" </w:instrText>
      </w:r>
      <w:r w:rsidRPr="00407D43">
        <w:rPr>
          <w:b/>
        </w:rPr>
        <w:fldChar w:fldCharType="separate"/>
      </w:r>
      <w:r>
        <w:rPr>
          <w:noProof/>
        </w:rPr>
        <w:t>PROJET DE RÉSOLUTION LÉGISLATIVE DU PARLEMENT EUROPÉEN</w:t>
      </w:r>
      <w:r>
        <w:rPr>
          <w:noProof/>
        </w:rPr>
        <w:tab/>
      </w:r>
      <w:r>
        <w:rPr>
          <w:noProof/>
        </w:rPr>
        <w:fldChar w:fldCharType="begin"/>
      </w:r>
      <w:r>
        <w:rPr>
          <w:noProof/>
        </w:rPr>
        <w:instrText xml:space="preserve"> PAGEREF _Toc155886591 \h </w:instrText>
      </w:r>
      <w:r>
        <w:rPr>
          <w:noProof/>
        </w:rPr>
      </w:r>
      <w:r>
        <w:rPr>
          <w:noProof/>
        </w:rPr>
        <w:fldChar w:fldCharType="separate"/>
      </w:r>
      <w:r>
        <w:rPr>
          <w:noProof/>
        </w:rPr>
        <w:t>4</w:t>
      </w:r>
      <w:r>
        <w:rPr>
          <w:noProof/>
        </w:rPr>
        <w:fldChar w:fldCharType="end"/>
      </w:r>
    </w:p>
    <w:p w:rsidR="00407D43" w:rsidRDefault="00407D43">
      <w:pPr>
        <w:pStyle w:val="TOC1"/>
        <w:tabs>
          <w:tab w:val="right" w:leader="dot" w:pos="9060"/>
        </w:tabs>
        <w:rPr>
          <w:rFonts w:asciiTheme="minorHAnsi" w:eastAsiaTheme="minorEastAsia" w:hAnsiTheme="minorHAnsi" w:cstheme="minorBidi"/>
          <w:noProof/>
          <w:sz w:val="22"/>
          <w:szCs w:val="22"/>
          <w:lang w:val="en-GB"/>
        </w:rPr>
      </w:pPr>
      <w:r>
        <w:rPr>
          <w:noProof/>
        </w:rPr>
        <w:t>ANNEXE: LISTE DES ENTITÉS OU PERSONNES AYANT APPORTÉ LEUR CONTRIBUTION AU RAPPORTEUR</w:t>
      </w:r>
      <w:r>
        <w:rPr>
          <w:noProof/>
        </w:rPr>
        <w:tab/>
      </w:r>
      <w:r>
        <w:rPr>
          <w:noProof/>
        </w:rPr>
        <w:fldChar w:fldCharType="begin"/>
      </w:r>
      <w:r>
        <w:rPr>
          <w:noProof/>
        </w:rPr>
        <w:instrText xml:space="preserve"> PAGEREF _Toc155886592 \h </w:instrText>
      </w:r>
      <w:r>
        <w:rPr>
          <w:noProof/>
        </w:rPr>
      </w:r>
      <w:r>
        <w:rPr>
          <w:noProof/>
        </w:rPr>
        <w:fldChar w:fldCharType="separate"/>
      </w:r>
      <w:r>
        <w:rPr>
          <w:noProof/>
        </w:rPr>
        <w:t>44</w:t>
      </w:r>
      <w:r>
        <w:rPr>
          <w:noProof/>
        </w:rPr>
        <w:fldChar w:fldCharType="end"/>
      </w:r>
    </w:p>
    <w:p w:rsidR="00407D43" w:rsidRDefault="00407D43">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_Toc155886593 \h </w:instrText>
      </w:r>
      <w:r>
        <w:rPr>
          <w:noProof/>
        </w:rPr>
      </w:r>
      <w:r>
        <w:rPr>
          <w:noProof/>
        </w:rPr>
        <w:fldChar w:fldCharType="separate"/>
      </w:r>
      <w:r>
        <w:rPr>
          <w:noProof/>
        </w:rPr>
        <w:t>45</w:t>
      </w:r>
      <w:r>
        <w:rPr>
          <w:noProof/>
        </w:rPr>
        <w:fldChar w:fldCharType="end"/>
      </w:r>
    </w:p>
    <w:p w:rsidR="00407D43" w:rsidRDefault="00407D43">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_Toc155886594 \h </w:instrText>
      </w:r>
      <w:r>
        <w:rPr>
          <w:noProof/>
        </w:rPr>
      </w:r>
      <w:r>
        <w:rPr>
          <w:noProof/>
        </w:rPr>
        <w:fldChar w:fldCharType="separate"/>
      </w:r>
      <w:r>
        <w:rPr>
          <w:noProof/>
        </w:rPr>
        <w:t>46</w:t>
      </w:r>
      <w:r>
        <w:rPr>
          <w:noProof/>
        </w:rPr>
        <w:fldChar w:fldCharType="end"/>
      </w:r>
    </w:p>
    <w:p w:rsidR="002346B0" w:rsidRPr="00407D43" w:rsidRDefault="00407D43" w:rsidP="00C23324">
      <w:r w:rsidRPr="00407D43">
        <w:rPr>
          <w:b/>
        </w:rPr>
        <w:fldChar w:fldCharType="end"/>
      </w:r>
    </w:p>
    <w:p w:rsidR="00793EA9" w:rsidRPr="00407D43" w:rsidRDefault="00407D43" w:rsidP="00A42D93">
      <w:pPr>
        <w:pStyle w:val="PageHeading"/>
        <w:jc w:val="left"/>
      </w:pPr>
      <w:r w:rsidRPr="00407D43">
        <w:br w:type="page"/>
      </w:r>
      <w:bookmarkStart w:id="1" w:name="_Toc155886591"/>
      <w:r w:rsidRPr="00407D43">
        <w:lastRenderedPageBreak/>
        <w:t>PROJET DE RÉSOLUTION LÉGISLATIVE DU PARLEMENT EUROPÉEN</w:t>
      </w:r>
      <w:bookmarkEnd w:id="1"/>
    </w:p>
    <w:p w:rsidR="0086407D" w:rsidRPr="00407D43" w:rsidRDefault="00407D43" w:rsidP="0086407D">
      <w:pPr>
        <w:pStyle w:val="NormalBold"/>
      </w:pPr>
      <w:r w:rsidRPr="00407D43">
        <w:t>sur la proposition de directive du Parlement européen et du Conseil modifiant la directive (UE) 2015/413 facilitant l’échange transfrontalier d’informations concernant les infractions en matière de sécurité routière</w:t>
      </w:r>
    </w:p>
    <w:p w:rsidR="00793EA9" w:rsidRPr="00407D43" w:rsidRDefault="00407D43" w:rsidP="0086407D">
      <w:pPr>
        <w:pStyle w:val="NormalBold12a"/>
      </w:pPr>
      <w:r w:rsidRPr="00407D43">
        <w:t>(COM(2023)0126 – C9</w:t>
      </w:r>
      <w:r w:rsidRPr="00407D43">
        <w:noBreakHyphen/>
        <w:t>0034/2023 – 2023/005</w:t>
      </w:r>
      <w:r w:rsidRPr="00407D43">
        <w:t>2(COD))</w:t>
      </w:r>
    </w:p>
    <w:p w:rsidR="00793EA9" w:rsidRPr="00407D43" w:rsidRDefault="00407D43" w:rsidP="00A910C9">
      <w:pPr>
        <w:pStyle w:val="NormalBold"/>
      </w:pPr>
      <w:r w:rsidRPr="00407D43">
        <w:t>(Procédure législative ordinaire: première lecture)</w:t>
      </w:r>
    </w:p>
    <w:p w:rsidR="00793EA9" w:rsidRPr="00407D43" w:rsidRDefault="00407D43" w:rsidP="00A910C9">
      <w:pPr>
        <w:pStyle w:val="EPComma"/>
      </w:pPr>
      <w:r w:rsidRPr="00407D43">
        <w:rPr>
          <w:i/>
        </w:rPr>
        <w:t>Le Parlement européen</w:t>
      </w:r>
      <w:r w:rsidRPr="00407D43">
        <w:t>,</w:t>
      </w:r>
    </w:p>
    <w:p w:rsidR="0086407D" w:rsidRPr="00407D43" w:rsidRDefault="00407D43" w:rsidP="0086407D">
      <w:pPr>
        <w:pStyle w:val="NormalHanging12a"/>
      </w:pPr>
      <w:r w:rsidRPr="00407D43">
        <w:t>–</w:t>
      </w:r>
      <w:r w:rsidRPr="00407D43">
        <w:tab/>
        <w:t>vu la proposition de la Commission au Parlement européen et au Conseil (COM(2023)0126),</w:t>
      </w:r>
    </w:p>
    <w:p w:rsidR="0086407D" w:rsidRPr="00407D43" w:rsidRDefault="00407D43" w:rsidP="0086407D">
      <w:pPr>
        <w:pStyle w:val="NormalHanging12a"/>
      </w:pPr>
      <w:r w:rsidRPr="00407D43">
        <w:t>–</w:t>
      </w:r>
      <w:r w:rsidRPr="00407D43">
        <w:tab/>
        <w:t>vu l’article 294, paragraphe 2, et l’article 91, paragraphe 1, point c), du trait</w:t>
      </w:r>
      <w:r w:rsidRPr="00407D43">
        <w:t>é sur le fonctionnement de l’Union européenne, conformément auxquels la proposition lui a été présentée par la Commission (C9</w:t>
      </w:r>
      <w:r w:rsidRPr="00407D43">
        <w:noBreakHyphen/>
        <w:t>0034/2023),</w:t>
      </w:r>
    </w:p>
    <w:p w:rsidR="0086407D" w:rsidRPr="00407D43" w:rsidRDefault="00407D43" w:rsidP="0086407D">
      <w:pPr>
        <w:pStyle w:val="NormalHanging12a"/>
      </w:pPr>
      <w:r w:rsidRPr="00407D43">
        <w:t>–</w:t>
      </w:r>
      <w:r w:rsidRPr="00407D43">
        <w:tab/>
        <w:t>vu l’article 294, paragraphe 3, du traité sur le fonctionnement de l’Union européenne,</w:t>
      </w:r>
    </w:p>
    <w:p w:rsidR="0086407D" w:rsidRPr="00407D43" w:rsidRDefault="00407D43" w:rsidP="0086407D">
      <w:pPr>
        <w:pStyle w:val="NormalHanging12a"/>
      </w:pPr>
      <w:r w:rsidRPr="00407D43">
        <w:t>–</w:t>
      </w:r>
      <w:r w:rsidRPr="00407D43">
        <w:tab/>
        <w:t>vu l’article 59 de son règl</w:t>
      </w:r>
      <w:r w:rsidRPr="00407D43">
        <w:t>ement intérieur,</w:t>
      </w:r>
    </w:p>
    <w:p w:rsidR="0086407D" w:rsidRPr="00407D43" w:rsidRDefault="00407D43" w:rsidP="0086407D">
      <w:pPr>
        <w:pStyle w:val="NormalHanging12a"/>
      </w:pPr>
      <w:r w:rsidRPr="00407D43">
        <w:t>–</w:t>
      </w:r>
      <w:r w:rsidRPr="00407D43">
        <w:tab/>
        <w:t>vu le rapport de la commission des transports et du tourisme (A9-0396/2023),</w:t>
      </w:r>
    </w:p>
    <w:p w:rsidR="0086407D" w:rsidRPr="00407D43" w:rsidRDefault="00407D43" w:rsidP="0086407D">
      <w:pPr>
        <w:pStyle w:val="NormalHanging12a"/>
      </w:pPr>
      <w:r w:rsidRPr="00407D43">
        <w:t>1.</w:t>
      </w:r>
      <w:r w:rsidRPr="00407D43">
        <w:tab/>
        <w:t>arrête la position en première lecture figurant ci-après;</w:t>
      </w:r>
    </w:p>
    <w:p w:rsidR="0086407D" w:rsidRPr="00407D43" w:rsidRDefault="00407D43" w:rsidP="0086407D">
      <w:pPr>
        <w:pStyle w:val="NormalHanging12a"/>
      </w:pPr>
      <w:r w:rsidRPr="00407D43">
        <w:t>2.</w:t>
      </w:r>
      <w:r w:rsidRPr="00407D43">
        <w:tab/>
        <w:t>approuve sa déclaration annexée à la présente résolution;</w:t>
      </w:r>
    </w:p>
    <w:p w:rsidR="0086407D" w:rsidRPr="00407D43" w:rsidRDefault="00407D43" w:rsidP="0086407D">
      <w:pPr>
        <w:pStyle w:val="NormalHanging12a"/>
      </w:pPr>
      <w:r w:rsidRPr="00407D43">
        <w:t>3.</w:t>
      </w:r>
      <w:r w:rsidRPr="00407D43">
        <w:tab/>
        <w:t>demande à la Commission de le saisi</w:t>
      </w:r>
      <w:r w:rsidRPr="00407D43">
        <w:t>r à nouveau, si elle remplace, modifie de manière substantielle ou entend modifier de manière substantielle sa proposition;</w:t>
      </w:r>
    </w:p>
    <w:p w:rsidR="0086407D" w:rsidRPr="00407D43" w:rsidRDefault="00407D43" w:rsidP="0086407D">
      <w:pPr>
        <w:tabs>
          <w:tab w:val="left" w:pos="-774"/>
          <w:tab w:val="left" w:pos="-114"/>
          <w:tab w:val="left" w:pos="709"/>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851" w:hanging="851"/>
        <w:rPr>
          <w:szCs w:val="24"/>
        </w:rPr>
      </w:pPr>
      <w:r w:rsidRPr="00407D43">
        <w:t>4.</w:t>
      </w:r>
      <w:r w:rsidRPr="00407D43">
        <w:tab/>
        <w:t>charge sa Présidente de transmettre la position du Parlement au Conseil et à la Commission ainsi qu’aux parlements nationaux.</w:t>
      </w:r>
    </w:p>
    <w:p w:rsidR="0086407D" w:rsidRPr="00407D43" w:rsidRDefault="0086407D" w:rsidP="0086407D">
      <w:pPr>
        <w:pStyle w:val="NormalHanging12a"/>
      </w:pPr>
    </w:p>
    <w:p w:rsidR="0086407D" w:rsidRPr="00407D43" w:rsidRDefault="00407D43" w:rsidP="0086407D">
      <w:bookmarkStart w:id="2" w:name="PasteOldAMStart"/>
      <w:bookmarkStart w:id="3" w:name="PasteOldAMEnd"/>
      <w:bookmarkEnd w:id="2"/>
      <w:bookmarkEnd w:id="3"/>
      <w:r w:rsidRPr="00407D43">
        <w:rPr>
          <w:rStyle w:val="HideTWBExt"/>
        </w:rPr>
        <w:t>&lt;RepeatBlock-Amend&gt;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1</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1</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(1)</w:t>
            </w:r>
            <w:r w:rsidRPr="00407D43">
              <w:tab/>
              <w:t>La directive (UE) 2015/413 facilite l’échange transfrontière d’informa</w:t>
            </w:r>
            <w:r w:rsidRPr="00407D43">
              <w:t xml:space="preserve">tions concernant les infractions en matière de sécurité routière et réduit ainsi l’impunité </w:t>
            </w:r>
            <w:r w:rsidRPr="00407D43">
              <w:lastRenderedPageBreak/>
              <w:t>des contrevenants non-résidents. L’efficacité des enquêtes et de l’exécution transfrontière des infractions en matière de sécurité routière améliore la sécurité rou</w:t>
            </w:r>
            <w:r w:rsidRPr="00407D43">
              <w:t>tière, car elle encourage les conducteurs non-résidents à commettre moins d’infractions et à adopter une conduite plus sûre.</w:t>
            </w:r>
          </w:p>
        </w:tc>
        <w:tc>
          <w:tcPr>
            <w:tcW w:w="4876" w:type="dxa"/>
            <w:hideMark/>
          </w:tcPr>
          <w:p w:rsidR="0086407D" w:rsidRPr="00407D43" w:rsidRDefault="00407D43" w:rsidP="00982395">
            <w:pPr>
              <w:pStyle w:val="Normal6"/>
              <w:rPr>
                <w:szCs w:val="24"/>
              </w:rPr>
            </w:pPr>
            <w:r w:rsidRPr="00407D43">
              <w:lastRenderedPageBreak/>
              <w:t>(1)</w:t>
            </w:r>
            <w:r w:rsidRPr="00407D43">
              <w:tab/>
              <w:t>La directive (UE) 2015/413 facilite l’échange transfrontière d’informations concernant les infractions en matière de sécurité r</w:t>
            </w:r>
            <w:r w:rsidRPr="00407D43">
              <w:t xml:space="preserve">outière et réduit ainsi l’impunité </w:t>
            </w:r>
            <w:r w:rsidRPr="00407D43">
              <w:lastRenderedPageBreak/>
              <w:t xml:space="preserve">des contrevenants non-résidents. L’efficacité des enquêtes et de l’exécution transfrontière des infractions en matière de sécurité routière </w:t>
            </w:r>
            <w:r w:rsidRPr="00407D43">
              <w:rPr>
                <w:b/>
                <w:i/>
              </w:rPr>
              <w:t xml:space="preserve">au sens strict </w:t>
            </w:r>
            <w:r w:rsidRPr="00407D43">
              <w:t xml:space="preserve">améliore la sécurité routière, car elle encourage les conducteurs </w:t>
            </w:r>
            <w:r w:rsidRPr="00407D43">
              <w:t>non-résidents à commettre moins d’infractions et à adopter une conduite plus sûre.</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2</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1 bis (nouveau)</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(1 bis)</w:t>
            </w:r>
            <w:r w:rsidRPr="00407D43">
              <w:rPr>
                <w:b/>
                <w:i/>
              </w:rPr>
              <w:tab/>
              <w:t xml:space="preserve">Pour réduire les risques liés à la circulation routière, il doit y avoir une prise de conscience de la probabilité élevée de se voir infliger une sanction inéluctable. </w:t>
            </w:r>
            <w:r w:rsidRPr="00407D43">
              <w:rPr>
                <w:b/>
                <w:i/>
              </w:rPr>
              <w:t>La connaissance des règles en vigueur dans les différents États membres permet d’accroître la sécurité routière et de réduire les infractions routières.</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3</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w:t>
      </w:r>
      <w:r w:rsidRPr="00407D43">
        <w:t>onsidérant 4</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(4)</w:t>
            </w:r>
            <w:r w:rsidRPr="00407D43">
              <w:tab/>
              <w:t xml:space="preserve">Le champ d’application de la directive devrait être étendu à d’autres infractions en matière de sécurité routière afin de garantir l’égalité de traitement des conducteurs. </w:t>
            </w:r>
            <w:r w:rsidRPr="00407D43">
              <w:t>Compte tenu de la base juridique sur laquelle la directive (UE) 2015/413 a été adoptée, à savoir l’article 91, paragraphe 1, point c), du traité sur le fonctionnement de l’Union européenne, un lien étroit entre les nouvelles infractions et la sécurité rout</w:t>
            </w:r>
            <w:r w:rsidRPr="00407D43">
              <w:t xml:space="preserve">ière devrait apparaître, grâce à la lutte contre les comportements dangereux et </w:t>
            </w:r>
            <w:r w:rsidRPr="00407D43">
              <w:rPr>
                <w:b/>
                <w:i/>
              </w:rPr>
              <w:lastRenderedPageBreak/>
              <w:t>imprudents</w:t>
            </w:r>
            <w:r w:rsidRPr="00407D43">
              <w:t xml:space="preserve"> qui présentent un risque grave pour les usagers de la route. L’extension du champ d’application devrait également englober les progrès techniques réalisés dans la dé</w:t>
            </w:r>
            <w:r w:rsidRPr="00407D43">
              <w:t>tection automatique des infractions en matière de sécurité routière.</w:t>
            </w:r>
          </w:p>
        </w:tc>
        <w:tc>
          <w:tcPr>
            <w:tcW w:w="4876" w:type="dxa"/>
            <w:hideMark/>
          </w:tcPr>
          <w:p w:rsidR="0086407D" w:rsidRPr="00407D43" w:rsidRDefault="00407D43" w:rsidP="00982395">
            <w:pPr>
              <w:pStyle w:val="Normal6"/>
              <w:rPr>
                <w:szCs w:val="24"/>
              </w:rPr>
            </w:pPr>
            <w:r w:rsidRPr="00407D43">
              <w:lastRenderedPageBreak/>
              <w:t>(4)</w:t>
            </w:r>
            <w:r w:rsidRPr="00407D43">
              <w:tab/>
              <w:t xml:space="preserve">Le champ d’application de la directive devrait être étendu à d’autres infractions en matière de sécurité routière </w:t>
            </w:r>
            <w:r w:rsidRPr="00407D43">
              <w:rPr>
                <w:b/>
                <w:i/>
              </w:rPr>
              <w:t>au sens strict</w:t>
            </w:r>
            <w:r w:rsidRPr="00407D43">
              <w:t xml:space="preserve"> afin de garantir l’égalité de traitement des conducteu</w:t>
            </w:r>
            <w:r w:rsidRPr="00407D43">
              <w:t xml:space="preserve">rs. Compte tenu de la base juridique sur laquelle la directive (UE) 2015/413 a été adoptée, à savoir l’article 91, paragraphe 1, point c), du traité sur le fonctionnement de l’Union européenne, un lien étroit </w:t>
            </w:r>
            <w:r w:rsidRPr="00407D43">
              <w:rPr>
                <w:b/>
                <w:i/>
              </w:rPr>
              <w:t>et direct</w:t>
            </w:r>
            <w:r w:rsidRPr="00407D43">
              <w:t xml:space="preserve"> entre les nouvelles infractions et la</w:t>
            </w:r>
            <w:r w:rsidRPr="00407D43">
              <w:t xml:space="preserve"> sécurité routière devrait apparaître, grâce à la lutte contre les comportements dangereux et </w:t>
            </w:r>
            <w:r w:rsidRPr="00407D43">
              <w:rPr>
                <w:b/>
                <w:i/>
              </w:rPr>
              <w:t>illégaux</w:t>
            </w:r>
            <w:r w:rsidRPr="00407D43">
              <w:t xml:space="preserve"> </w:t>
            </w:r>
            <w:r w:rsidRPr="00407D43">
              <w:lastRenderedPageBreak/>
              <w:t>qui présentent un risque grave pour les usagers de la route. L’extension du champ d’application devrait également englober les progrès techniques réalisé</w:t>
            </w:r>
            <w:r w:rsidRPr="00407D43">
              <w:t>s dans la détection automatique des infractions en matière de sécurité routière.</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4</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6</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(6)</w:t>
            </w:r>
            <w:r w:rsidRPr="00407D43">
              <w:tab/>
              <w:t>Les responsabilités et les compétences des points de contact nationaux devraient être définies afin de garantir que ceux-ci coopèrent de façon harmonieuse avec les autres autorités participant aux enquêtes sur les infractions en matière de sécurité routiè</w:t>
            </w:r>
            <w:r w:rsidRPr="00407D43">
              <w:t xml:space="preserve">re qui relèvent du champ d’application de la présente directive. Les points de contact nationaux devraient toujours être à la disposition de ces autorités et répondre à leurs demandes </w:t>
            </w:r>
            <w:r w:rsidRPr="00407D43">
              <w:rPr>
                <w:b/>
                <w:i/>
              </w:rPr>
              <w:t>dans un délai raisonnable</w:t>
            </w:r>
            <w:r w:rsidRPr="00407D43">
              <w:t>, indépendamment de la nature de l’infraction o</w:t>
            </w:r>
            <w:r w:rsidRPr="00407D43">
              <w:t>u du statut juridique de l’autorité, et en particulier de la compétence nationale, infranationale ou locale de l’autorité.</w:t>
            </w:r>
          </w:p>
        </w:tc>
        <w:tc>
          <w:tcPr>
            <w:tcW w:w="4876" w:type="dxa"/>
            <w:hideMark/>
          </w:tcPr>
          <w:p w:rsidR="0086407D" w:rsidRPr="00407D43" w:rsidRDefault="00407D43" w:rsidP="00982395">
            <w:pPr>
              <w:pStyle w:val="Normal6"/>
              <w:rPr>
                <w:szCs w:val="24"/>
              </w:rPr>
            </w:pPr>
            <w:r w:rsidRPr="00407D43">
              <w:t>(6)</w:t>
            </w:r>
            <w:r w:rsidRPr="00407D43">
              <w:tab/>
              <w:t>Les responsabilités et les compétences des points de contact nationaux devraient être définies afin de garantir que ceux-ci coopè</w:t>
            </w:r>
            <w:r w:rsidRPr="00407D43">
              <w:t>rent de façon harmonieuse avec les autres autorités participant aux enquêtes sur les infractions en matière de sécurité routière qui relèvent du champ d’application de la présente directive. Les points de contact nationaux devraient toujours être à la disp</w:t>
            </w:r>
            <w:r w:rsidRPr="00407D43">
              <w:t xml:space="preserve">osition de ces autorités et répondre à leurs demandes </w:t>
            </w:r>
            <w:r w:rsidRPr="00407D43">
              <w:rPr>
                <w:b/>
                <w:i/>
              </w:rPr>
              <w:t>sans retard injustifié</w:t>
            </w:r>
            <w:r w:rsidRPr="00407D43">
              <w:t>, indépendamment de la nature de l’infraction ou du statut juridique de l’autorité, et en particulier de la compétence nationale, infranationale ou locale de l’autorité.</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5</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7 bis (nouveau)</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(7 bis)</w:t>
            </w:r>
            <w:r w:rsidRPr="00407D43">
              <w:rPr>
                <w:b/>
                <w:i/>
              </w:rPr>
              <w:tab/>
            </w:r>
            <w:r w:rsidRPr="00407D43">
              <w:rPr>
                <w:b/>
                <w:i/>
              </w:rPr>
              <w:t xml:space="preserve">Plusieurs États membres sont aujourd’hui confrontés à un phénomène par lequel des voitures louées dans d’autres États membres sont utilisées pour commettre des infractions graves au code de la route. Ce faisant, les conducteurs de ces voitures de location </w:t>
            </w:r>
            <w:r w:rsidRPr="00407D43">
              <w:rPr>
                <w:b/>
                <w:i/>
              </w:rPr>
              <w:t xml:space="preserve">qui ont commis </w:t>
            </w:r>
            <w:r w:rsidRPr="00407D43">
              <w:rPr>
                <w:b/>
                <w:i/>
              </w:rPr>
              <w:lastRenderedPageBreak/>
              <w:t>une infraction au code de la route profitent des différences de réglementation entre les États membres et des lacunes dans l’échange d’informations pour rester impunis.</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6</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 xml:space="preserve">Proposition de </w:t>
      </w:r>
      <w:r w:rsidRPr="00407D43">
        <w:t>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8</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(8)</w:t>
            </w:r>
            <w:r w:rsidRPr="00407D43">
              <w:tab/>
            </w:r>
            <w:r w:rsidRPr="00407D43">
              <w:t xml:space="preserve">L’État membre de l’infraction devrait également être autorisé à effectuer des recherches automatisées dans les registres de véhicules afin d’extraire des données </w:t>
            </w:r>
            <w:r w:rsidRPr="00407D43">
              <w:rPr>
                <w:b/>
                <w:i/>
              </w:rPr>
              <w:t>sur les</w:t>
            </w:r>
            <w:r w:rsidRPr="00407D43">
              <w:t xml:space="preserve"> utilisateurs finaux des véhicules lorsque ces informations sont déjà disponibles. En o</w:t>
            </w:r>
            <w:r w:rsidRPr="00407D43">
              <w:t xml:space="preserve">utre, une période de conservation des données devrait être établie en ce qui concerne l’identité des propriétaires, détenteurs et utilisateurs finaux précédents des véhicules afin de fournir aux autorités les informations appropriées dont elles ont besoin </w:t>
            </w:r>
            <w:r w:rsidRPr="00407D43">
              <w:t>aux fins de l’enquête.</w:t>
            </w:r>
          </w:p>
        </w:tc>
        <w:tc>
          <w:tcPr>
            <w:tcW w:w="4876" w:type="dxa"/>
            <w:hideMark/>
          </w:tcPr>
          <w:p w:rsidR="0086407D" w:rsidRPr="00407D43" w:rsidRDefault="00407D43" w:rsidP="00982395">
            <w:pPr>
              <w:pStyle w:val="Normal6"/>
              <w:rPr>
                <w:szCs w:val="24"/>
              </w:rPr>
            </w:pPr>
            <w:r w:rsidRPr="00407D43">
              <w:t>(8)</w:t>
            </w:r>
            <w:r w:rsidRPr="00407D43">
              <w:tab/>
              <w:t xml:space="preserve">L’État membre de l’infraction devrait également être autorisé à effectuer des recherches automatisées dans les registres de véhicules afin d’extraire des données </w:t>
            </w:r>
            <w:r w:rsidRPr="00407D43">
              <w:rPr>
                <w:b/>
                <w:i/>
              </w:rPr>
              <w:t>nécessaires à l’identification des</w:t>
            </w:r>
            <w:r w:rsidRPr="00407D43">
              <w:t xml:space="preserve"> utilisateurs finaux des véhicule</w:t>
            </w:r>
            <w:r w:rsidRPr="00407D43">
              <w:t>s lorsque ces informations sont déjà disponibles. En outre, une période de conservation des données devrait être établie en ce qui concerne l’identité des propriétaires, détenteurs et utilisateurs finaux précédents des véhicules afin de fournir aux autorit</w:t>
            </w:r>
            <w:r w:rsidRPr="00407D43">
              <w:t>és les informations appropriées dont elles ont besoin aux fins de l’enquête.</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7</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12</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(12)</w:t>
            </w:r>
            <w:r w:rsidRPr="00407D43">
              <w:tab/>
            </w:r>
            <w:r w:rsidRPr="00407D43">
              <w:t xml:space="preserve">L’État membre d’immatriculation ou l’État membre de résidence devrait fournir, dans un délai </w:t>
            </w:r>
            <w:r w:rsidRPr="00407D43">
              <w:rPr>
                <w:b/>
                <w:i/>
              </w:rPr>
              <w:t>raisonnable</w:t>
            </w:r>
            <w:r w:rsidRPr="00407D43">
              <w:t>, les informations complémentaires demandées par l’État membre de l’infraction et qui sont nécessaires pour identifier la personne responsable. S’il n’e</w:t>
            </w:r>
            <w:r w:rsidRPr="00407D43">
              <w:t xml:space="preserve">st pas possible de recueillir ou de fournir les informations, ou s’il n’est pas possible de le faire </w:t>
            </w:r>
            <w:r w:rsidRPr="00407D43">
              <w:rPr>
                <w:b/>
                <w:i/>
              </w:rPr>
              <w:t>sans retard injustifié</w:t>
            </w:r>
            <w:r w:rsidRPr="00407D43">
              <w:t xml:space="preserve">, il convient d’en expliquer clairement les raisons et </w:t>
            </w:r>
            <w:r w:rsidRPr="00407D43">
              <w:rPr>
                <w:b/>
                <w:i/>
              </w:rPr>
              <w:t xml:space="preserve">de réduire autant </w:t>
            </w:r>
            <w:r w:rsidRPr="00407D43">
              <w:rPr>
                <w:b/>
                <w:i/>
              </w:rPr>
              <w:lastRenderedPageBreak/>
              <w:t>que possible le retard</w:t>
            </w:r>
            <w:r w:rsidRPr="00407D43">
              <w:t>.</w:t>
            </w:r>
          </w:p>
        </w:tc>
        <w:tc>
          <w:tcPr>
            <w:tcW w:w="4876" w:type="dxa"/>
            <w:hideMark/>
          </w:tcPr>
          <w:p w:rsidR="0086407D" w:rsidRPr="00407D43" w:rsidRDefault="00407D43" w:rsidP="00982395">
            <w:pPr>
              <w:pStyle w:val="Normal6"/>
              <w:rPr>
                <w:szCs w:val="24"/>
              </w:rPr>
            </w:pPr>
            <w:r w:rsidRPr="00407D43">
              <w:lastRenderedPageBreak/>
              <w:t>(12)</w:t>
            </w:r>
            <w:r w:rsidRPr="00407D43">
              <w:tab/>
              <w:t>L’État membre d’immatriculation</w:t>
            </w:r>
            <w:r w:rsidRPr="00407D43">
              <w:t xml:space="preserve"> ou l’État membre de résidence devrait fournir, dans un délai </w:t>
            </w:r>
            <w:r w:rsidRPr="00407D43">
              <w:rPr>
                <w:b/>
                <w:i/>
              </w:rPr>
              <w:t>ne dépassant pas 30 jours ouvrables</w:t>
            </w:r>
            <w:r w:rsidRPr="00407D43">
              <w:t xml:space="preserve">, les informations complémentaires demandées par l’État membre de l’infraction et qui sont nécessaires pour identifier la personne responsable. S’il n’est pas </w:t>
            </w:r>
            <w:r w:rsidRPr="00407D43">
              <w:t xml:space="preserve">possible de recueillir ou de fournir les informations, ou s’il n’est pas possible de le faire </w:t>
            </w:r>
            <w:r w:rsidRPr="00407D43">
              <w:rPr>
                <w:b/>
                <w:i/>
              </w:rPr>
              <w:t>dans le délai fixé</w:t>
            </w:r>
            <w:r w:rsidRPr="00407D43">
              <w:t xml:space="preserve">, il convient d’en expliquer </w:t>
            </w:r>
            <w:r w:rsidRPr="00407D43">
              <w:lastRenderedPageBreak/>
              <w:t xml:space="preserve">clairement les raisons et </w:t>
            </w:r>
            <w:r w:rsidRPr="00407D43">
              <w:rPr>
                <w:b/>
                <w:i/>
              </w:rPr>
              <w:t>le retard ne doit pas dépasser 20 jours ouvrables à compter de la notification desdites r</w:t>
            </w:r>
            <w:r w:rsidRPr="00407D43">
              <w:rPr>
                <w:b/>
                <w:i/>
              </w:rPr>
              <w:t>aisons</w:t>
            </w:r>
            <w:r w:rsidRPr="00407D43">
              <w:t>.</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8</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17</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(17)</w:t>
            </w:r>
            <w:r w:rsidRPr="00407D43">
              <w:tab/>
            </w:r>
            <w:r w:rsidRPr="00407D43">
              <w:t>Au minimum, la lettre de notification devrait contenir des informations détaillées sur la qualification juridique et les conséquences juridiques de l’infraction, en particulier parce que les sanctions applicables aux infractions relevant du champ d’applica</w:t>
            </w:r>
            <w:r w:rsidRPr="00407D43">
              <w:t>tion de la directive (UE) 2015/413 peuvent être de nature non pécuniaire, telles que les restrictions imposées au droit de conduire de l’auteur de l’infraction. Le droit de recours devrait également être étayé par la fourniture d’informations détaillées su</w:t>
            </w:r>
            <w:r w:rsidRPr="00407D43">
              <w:t>r le lieu où exercer les droits de la défense ou introduire un recours dans l’État membre de l’infraction, ainsi que sur les modalités y afférentes, dans une langue que la personne concernée comprend. Une description des procédures in absentia devrait égal</w:t>
            </w:r>
            <w:r w:rsidRPr="00407D43">
              <w:t xml:space="preserve">ement être fournie, le cas échéant, étant donné que la personne présumée responsable peut ne pas envisager de retourner dans l’État membre d’infraction pour participer à la procédure. Les options de paiement et les moyens d’alléger le volume des sanctions </w:t>
            </w:r>
            <w:r w:rsidRPr="00407D43">
              <w:t xml:space="preserve">devraient également être facilement compréhensibles afin d’encourager la coopération volontaire. Enfin, étant donné que la lettre de notification devrait être le premier document reçu par le propriétaire, le détenteur ou l’utilisateur final du véhicule ou </w:t>
            </w:r>
            <w:r w:rsidRPr="00407D43">
              <w:t xml:space="preserve">toute autre personne présumée responsable, celle-ci devrait contenir les informations visées à l’article 13 de la directive (UE) 2016/680 du Parlement </w:t>
            </w:r>
            <w:r w:rsidRPr="00407D43">
              <w:lastRenderedPageBreak/>
              <w:t>européen et du Conseil</w:t>
            </w:r>
            <w:r w:rsidRPr="00407D43">
              <w:rPr>
                <w:vertAlign w:val="superscript"/>
              </w:rPr>
              <w:t>63</w:t>
            </w:r>
            <w:r w:rsidRPr="00407D43">
              <w:t>, lesquelles, conformément à son article 13, paragraphe 2, point d), devraient in</w:t>
            </w:r>
            <w:r w:rsidRPr="00407D43">
              <w:t>clure des informations sur la source des données à caractère personnel, et aux articles 13 et 14 du règlement (UE) 2016/679 du Parlement européen et du Conseil</w:t>
            </w:r>
            <w:r w:rsidRPr="00407D43">
              <w:rPr>
                <w:vertAlign w:val="superscript"/>
              </w:rPr>
              <w:t>64</w:t>
            </w:r>
            <w:r w:rsidRPr="00407D43">
              <w:t>. Ces informations devraient être fournies dans la lettre de notification soit directement, soi</w:t>
            </w:r>
            <w:r w:rsidRPr="00407D43">
              <w:t>t par une référence au lieu où elles sont mises à disposition.</w:t>
            </w:r>
          </w:p>
        </w:tc>
        <w:tc>
          <w:tcPr>
            <w:tcW w:w="4876" w:type="dxa"/>
            <w:hideMark/>
          </w:tcPr>
          <w:p w:rsidR="0086407D" w:rsidRPr="00407D43" w:rsidRDefault="00407D43" w:rsidP="00982395">
            <w:pPr>
              <w:pStyle w:val="Normal6"/>
              <w:rPr>
                <w:szCs w:val="24"/>
              </w:rPr>
            </w:pPr>
            <w:r w:rsidRPr="00407D43">
              <w:lastRenderedPageBreak/>
              <w:t>(17)</w:t>
            </w:r>
            <w:r w:rsidRPr="00407D43">
              <w:tab/>
              <w:t xml:space="preserve">Au minimum, la lettre de notification devrait </w:t>
            </w:r>
            <w:r w:rsidRPr="00407D43">
              <w:rPr>
                <w:b/>
                <w:i/>
              </w:rPr>
              <w:t xml:space="preserve">être rédigée dans un langage accessible à quiconque n’est pas spécialiste du droit et </w:t>
            </w:r>
            <w:r w:rsidRPr="00407D43">
              <w:t>contenir des informations détaillées sur la qualificatio</w:t>
            </w:r>
            <w:r w:rsidRPr="00407D43">
              <w:t xml:space="preserve">n juridique et les conséquences juridiques de l’infraction, en particulier parce que les sanctions applicables aux infractions relevant du champ d’application de la directive (UE) 2015/413 peuvent être de nature non pécuniaire, telles que les restrictions </w:t>
            </w:r>
            <w:r w:rsidRPr="00407D43">
              <w:t>imposées au droit de conduire de l’auteur de l’infraction. Le droit de recours devrait également être étayé par la fourniture d’informations détaillées sur le lieu où exercer les droits de la défense ou introduire un recours dans l’État membre de l’infract</w:t>
            </w:r>
            <w:r w:rsidRPr="00407D43">
              <w:t>ion, ainsi que sur les modalités y afférentes, dans une langue que la personne concernée comprend. Une description des procédures in absentia devrait également être fournie, le cas échéant, étant donné que la personne présumée responsable peut ne pas envis</w:t>
            </w:r>
            <w:r w:rsidRPr="00407D43">
              <w:t>ager de retourner dans l’État membre d’infraction pour participer à la procédure. Les options de paiement et les moyens d’alléger le volume des sanctions devraient également être facilement compréhensibles afin d’encourager la coopération volontaire. Enfin</w:t>
            </w:r>
            <w:r w:rsidRPr="00407D43">
              <w:t xml:space="preserve">, étant donné que la lettre de notification devrait être le premier document reçu par le propriétaire, le détenteur ou l’utilisateur final du véhicule ou toute autre personne présumée responsable, celle-ci devrait contenir les </w:t>
            </w:r>
            <w:r w:rsidRPr="00407D43">
              <w:lastRenderedPageBreak/>
              <w:t>informations visées à l’artic</w:t>
            </w:r>
            <w:r w:rsidRPr="00407D43">
              <w:t>le 13 de la directive (UE) 2016/680 du Parlement européen et du Conseil</w:t>
            </w:r>
            <w:r w:rsidRPr="00407D43">
              <w:rPr>
                <w:vertAlign w:val="superscript"/>
              </w:rPr>
              <w:t>63</w:t>
            </w:r>
            <w:r w:rsidRPr="00407D43">
              <w:t>, lesquelles, conformément à son article 13, paragraphe 2, point d), devraient inclure des informations sur la source des données à caractère personnel, et aux articles 13 et 14 du rè</w:t>
            </w:r>
            <w:r w:rsidRPr="00407D43">
              <w:t>glement (UE) 2016/679 du Parlement européen et du Conseil</w:t>
            </w:r>
            <w:r w:rsidRPr="00407D43">
              <w:rPr>
                <w:vertAlign w:val="superscript"/>
              </w:rPr>
              <w:t>64</w:t>
            </w:r>
            <w:r w:rsidRPr="00407D43">
              <w:t>. Ces informations devraient être fournies dans la lettre de notification soit directement, soit par une référence au lieu où elles sont mises à disposition.</w:t>
            </w:r>
          </w:p>
        </w:tc>
      </w:tr>
      <w:tr w:rsidR="005C37AD" w:rsidRPr="00407D43" w:rsidTr="00982395">
        <w:trPr>
          <w:jc w:val="center"/>
        </w:trPr>
        <w:tc>
          <w:tcPr>
            <w:tcW w:w="4876" w:type="dxa"/>
            <w:hideMark/>
          </w:tcPr>
          <w:p w:rsidR="0086407D" w:rsidRPr="00407D43" w:rsidRDefault="00407D43" w:rsidP="00982395">
            <w:pPr>
              <w:pStyle w:val="Normal6"/>
            </w:pPr>
            <w:r w:rsidRPr="00407D43">
              <w:lastRenderedPageBreak/>
              <w:t>__________________</w:t>
            </w:r>
          </w:p>
        </w:tc>
        <w:tc>
          <w:tcPr>
            <w:tcW w:w="4876" w:type="dxa"/>
            <w:hideMark/>
          </w:tcPr>
          <w:p w:rsidR="0086407D" w:rsidRPr="00407D43" w:rsidRDefault="00407D43" w:rsidP="00982395">
            <w:pPr>
              <w:pStyle w:val="Normal6"/>
              <w:rPr>
                <w:szCs w:val="24"/>
              </w:rPr>
            </w:pPr>
            <w:r w:rsidRPr="00407D43">
              <w:t>__________________</w:t>
            </w:r>
          </w:p>
        </w:tc>
      </w:tr>
      <w:tr w:rsidR="005C37AD" w:rsidRPr="00407D43" w:rsidTr="00982395">
        <w:trPr>
          <w:jc w:val="center"/>
        </w:trPr>
        <w:tc>
          <w:tcPr>
            <w:tcW w:w="4876" w:type="dxa"/>
            <w:hideMark/>
          </w:tcPr>
          <w:p w:rsidR="0086407D" w:rsidRPr="00407D43" w:rsidRDefault="00407D43" w:rsidP="00982395">
            <w:pPr>
              <w:pStyle w:val="Normal6"/>
            </w:pPr>
            <w:r w:rsidRPr="00407D43">
              <w:rPr>
                <w:vertAlign w:val="superscript"/>
              </w:rPr>
              <w:t>63</w:t>
            </w:r>
            <w:r w:rsidRPr="00407D43">
              <w:t xml:space="preserve"> Directive (UE) 2016/680 du Parlement européen et du Conseil du 27 avril 2016 relative à la protection des personnes physiques à l’égard du traitement des données à caractère personnel par les autorités compétentes à des fins de prévention et de détecti</w:t>
            </w:r>
            <w:r w:rsidRPr="00407D43">
              <w:t>on des infractions pénales, d’enquêtes et de poursuites en la matière ou d’exécution de sanctions pénales, et à la libre circulation de ces données, et abrogeant la décision-cadre 2008/977/JAI du Conseil (JO L 119 du 4.5.2016, p. 89).</w:t>
            </w:r>
          </w:p>
        </w:tc>
        <w:tc>
          <w:tcPr>
            <w:tcW w:w="4876" w:type="dxa"/>
            <w:hideMark/>
          </w:tcPr>
          <w:p w:rsidR="0086407D" w:rsidRPr="00407D43" w:rsidRDefault="00407D43" w:rsidP="00982395">
            <w:pPr>
              <w:pStyle w:val="Normal6"/>
              <w:rPr>
                <w:szCs w:val="24"/>
              </w:rPr>
            </w:pPr>
            <w:r w:rsidRPr="00407D43">
              <w:rPr>
                <w:vertAlign w:val="superscript"/>
              </w:rPr>
              <w:t>63</w:t>
            </w:r>
            <w:r w:rsidRPr="00407D43">
              <w:t xml:space="preserve"> Directive (UE) 2016/680 du Parlement européen et du Conseil du 27 avril 2016 relative à la protection des personnes physiques à l’égard du traitement des données à caractère personnel par les autorités compétentes à des fins de prévention et de détection </w:t>
            </w:r>
            <w:r w:rsidRPr="00407D43">
              <w:t>des infractions pénales, d’enquêtes et de poursuites en la matière ou d’exécution de sanctions pénales, et à la libre circulation de ces données, et abrogeant la décision-cadre 2008/977/JAI du Conseil (JO L 119 du 4.5.2016, p. 89).</w:t>
            </w:r>
          </w:p>
        </w:tc>
      </w:tr>
      <w:tr w:rsidR="005C37AD" w:rsidRPr="00407D43" w:rsidTr="00982395">
        <w:trPr>
          <w:jc w:val="center"/>
        </w:trPr>
        <w:tc>
          <w:tcPr>
            <w:tcW w:w="4876" w:type="dxa"/>
            <w:hideMark/>
          </w:tcPr>
          <w:p w:rsidR="0086407D" w:rsidRPr="00407D43" w:rsidRDefault="00407D43" w:rsidP="00982395">
            <w:pPr>
              <w:pStyle w:val="Normal6"/>
            </w:pPr>
            <w:r w:rsidRPr="00407D43">
              <w:rPr>
                <w:vertAlign w:val="superscript"/>
              </w:rPr>
              <w:t>64</w:t>
            </w:r>
            <w:r w:rsidRPr="00407D43">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w:t>
            </w:r>
            <w:r w:rsidRPr="00407D43">
              <w:t>6/CE (règlement général sur la protection des données) (JO L 119 du 4.5.2016, p. 1).</w:t>
            </w:r>
          </w:p>
        </w:tc>
        <w:tc>
          <w:tcPr>
            <w:tcW w:w="4876" w:type="dxa"/>
            <w:hideMark/>
          </w:tcPr>
          <w:p w:rsidR="0086407D" w:rsidRPr="00407D43" w:rsidRDefault="00407D43" w:rsidP="00982395">
            <w:pPr>
              <w:pStyle w:val="Normal6"/>
              <w:rPr>
                <w:szCs w:val="24"/>
              </w:rPr>
            </w:pPr>
            <w:r w:rsidRPr="00407D43">
              <w:rPr>
                <w:vertAlign w:val="superscript"/>
              </w:rPr>
              <w:t>64</w:t>
            </w:r>
            <w:r w:rsidRPr="00407D43">
              <w:t xml:space="preserve"> Règlement (UE) 2016/679 du Parlement européen et du Conseil du 27 avril 2016 relatif à la protection des personnes physiques à l’égard du traitement des données à carac</w:t>
            </w:r>
            <w:r w:rsidRPr="00407D43">
              <w:t>tère personnel et à la libre circulation de ces données, et abrogeant la directive 95/46/CE (règlement général sur la protection des données) (JO L 119 du 4.5.2016, p. 1).</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9</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w:t>
      </w:r>
      <w:r w:rsidRPr="00407D43">
        <w:rPr>
          <w:rStyle w:val="HideTWBExt"/>
          <w:b w:val="0"/>
        </w:rPr>
        <w:t>ocAmend&gt;</w:t>
      </w:r>
    </w:p>
    <w:p w:rsidR="0086407D" w:rsidRPr="00407D43" w:rsidRDefault="00407D43" w:rsidP="0086407D">
      <w:pPr>
        <w:pStyle w:val="NormalBold"/>
      </w:pPr>
      <w:r w:rsidRPr="00407D43">
        <w:rPr>
          <w:rStyle w:val="HideTWBExt"/>
          <w:b w:val="0"/>
        </w:rPr>
        <w:t>&lt;Article&gt;</w:t>
      </w:r>
      <w:r w:rsidRPr="00407D43">
        <w:t>Considérant 18</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(18)</w:t>
            </w:r>
            <w:r w:rsidRPr="00407D43">
              <w:tab/>
            </w:r>
            <w:r w:rsidRPr="00407D43">
              <w:t>Lorsque des personnes non-</w:t>
            </w:r>
            <w:r w:rsidRPr="00407D43">
              <w:lastRenderedPageBreak/>
              <w:t>résidentes sont contrôlées sur place dans le cadre d’un contrôle routier et que cette action donne lieu à des poursuites relatives à la commission d’une infraction en matière de sécurité routière, la lettre de notification ne devr</w:t>
            </w:r>
            <w:r w:rsidRPr="00407D43">
              <w:t>ait contenir que certains éléments essentiels et être adressée directement à la personne concernée dans le cadre des procédures de contrôle routier.</w:t>
            </w:r>
          </w:p>
        </w:tc>
        <w:tc>
          <w:tcPr>
            <w:tcW w:w="4876" w:type="dxa"/>
            <w:hideMark/>
          </w:tcPr>
          <w:p w:rsidR="0086407D" w:rsidRPr="00407D43" w:rsidRDefault="00407D43" w:rsidP="00982395">
            <w:pPr>
              <w:pStyle w:val="Normal6"/>
              <w:rPr>
                <w:szCs w:val="24"/>
              </w:rPr>
            </w:pPr>
            <w:r w:rsidRPr="00407D43">
              <w:lastRenderedPageBreak/>
              <w:t>(18)</w:t>
            </w:r>
            <w:r w:rsidRPr="00407D43">
              <w:tab/>
              <w:t xml:space="preserve">Lorsque des personnes non </w:t>
            </w:r>
            <w:r w:rsidRPr="00407D43">
              <w:lastRenderedPageBreak/>
              <w:t xml:space="preserve">résidentes sont contrôlées sur place dans le cadre d’un contrôle routier et </w:t>
            </w:r>
            <w:r w:rsidRPr="00407D43">
              <w:t>que cette action donne lieu à des poursuites relatives à la commission d’une infraction en matière de sécurité routière, la lettre de notification ne devrait contenir que certains éléments essentiels</w:t>
            </w:r>
            <w:r w:rsidRPr="00407D43">
              <w:rPr>
                <w:b/>
                <w:i/>
              </w:rPr>
              <w:t>, notamment une description de la procédure de recours,</w:t>
            </w:r>
            <w:r w:rsidRPr="00407D43">
              <w:t xml:space="preserve"> e</w:t>
            </w:r>
            <w:r w:rsidRPr="00407D43">
              <w:t>t</w:t>
            </w:r>
            <w:r w:rsidRPr="00407D43">
              <w:rPr>
                <w:b/>
                <w:i/>
              </w:rPr>
              <w:t xml:space="preserve"> si possible</w:t>
            </w:r>
            <w:r w:rsidRPr="00407D43">
              <w:t xml:space="preserve"> être adressée directement à la personne concernée dans le cadre des procédures de contrôle routier</w:t>
            </w:r>
            <w:r w:rsidRPr="00407D43">
              <w:rPr>
                <w:b/>
                <w:i/>
              </w:rPr>
              <w:t xml:space="preserve"> ou envoyée dès que possible après leur achèvement.</w:t>
            </w:r>
            <w:r w:rsidRPr="00407D43">
              <w:t xml:space="preserve"> </w:t>
            </w:r>
            <w:r w:rsidRPr="00407D43">
              <w:rPr>
                <w:b/>
                <w:i/>
              </w:rPr>
              <w:t>Les conducteurs non résidents devraient également disposer d’un délai suffisant pour faire v</w:t>
            </w:r>
            <w:r w:rsidRPr="00407D43">
              <w:rPr>
                <w:b/>
                <w:i/>
              </w:rPr>
              <w:t>aloir leurs droits en matière de recours ou d’atténuation des sanctions</w:t>
            </w:r>
            <w:r w:rsidRPr="00407D43">
              <w:rPr>
                <w:b/>
                <w:i/>
              </w:rPr>
              <w:t>.</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10</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20</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(20)</w:t>
            </w:r>
            <w:r w:rsidRPr="00407D43">
              <w:tab/>
            </w:r>
            <w:r w:rsidRPr="00407D43">
              <w:t>S’il n’est pas possible de délivrer des documents par envoi recommandé ou par voie électronique de même valeur, l’État membre de l’infraction devrait être autorisé à confier à l’État membre d’enregistrement ou à l’État membre de résidence la notification à</w:t>
            </w:r>
            <w:r w:rsidRPr="00407D43">
              <w:t xml:space="preserve"> la personne concernée, en vertu de leur propre législation nationale en la matière, des documents et des communications.</w:t>
            </w:r>
          </w:p>
        </w:tc>
        <w:tc>
          <w:tcPr>
            <w:tcW w:w="4876" w:type="dxa"/>
            <w:hideMark/>
          </w:tcPr>
          <w:p w:rsidR="0086407D" w:rsidRPr="00407D43" w:rsidRDefault="00407D43" w:rsidP="00982395">
            <w:pPr>
              <w:pStyle w:val="Normal6"/>
              <w:rPr>
                <w:szCs w:val="24"/>
              </w:rPr>
            </w:pPr>
            <w:r w:rsidRPr="00407D43">
              <w:t>(20)</w:t>
            </w:r>
            <w:r w:rsidRPr="00407D43">
              <w:tab/>
              <w:t>S’il n’est pas possible de délivrer des documents par envoi recommandé</w:t>
            </w:r>
            <w:r w:rsidRPr="00407D43">
              <w:rPr>
                <w:b/>
                <w:i/>
              </w:rPr>
              <w:t>, par courrier recommandé</w:t>
            </w:r>
            <w:r w:rsidRPr="00407D43">
              <w:t xml:space="preserve"> ou par voie électronique de même </w:t>
            </w:r>
            <w:r w:rsidRPr="00407D43">
              <w:t>valeur, l’État membre de l’infraction devrait être autorisé à confier à l’État membre d’enregistrement ou à l’État membre de résidence la notification à la personne concernée, en vertu de leur propre législation nationale en la matière, des documents et de</w:t>
            </w:r>
            <w:r w:rsidRPr="00407D43">
              <w:t>s communications.</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11</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24 bis (nouveau)</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(24 bis)</w:t>
            </w:r>
            <w:r w:rsidRPr="00407D43">
              <w:rPr>
                <w:b/>
                <w:i/>
              </w:rPr>
              <w:tab/>
            </w:r>
            <w:r w:rsidRPr="00407D43">
              <w:rPr>
                <w:b/>
                <w:i/>
              </w:rPr>
              <w:t xml:space="preserve">Il n’existe actuellement pas de certificat européen ou de moyen d’identification électronique reconnu par </w:t>
            </w:r>
            <w:r w:rsidRPr="00407D43">
              <w:rPr>
                <w:b/>
                <w:i/>
              </w:rPr>
              <w:lastRenderedPageBreak/>
              <w:t>tous les États membres de l’Union qui permettrait à tout citoyen qui en dispose d’accéder au contenu des notifications déposées dans le registre élect</w:t>
            </w:r>
            <w:r w:rsidRPr="00407D43">
              <w:rPr>
                <w:b/>
                <w:i/>
              </w:rPr>
              <w:t>ronique de l’administration qui procède à la notification, ainsi que de présenter des explications écrites et des recours. La Commission, en collaboration avec les États membres, devrait donc passer en revue les modèles d’accès électronique aux registres d</w:t>
            </w:r>
            <w:r w:rsidRPr="00407D43">
              <w:rPr>
                <w:b/>
                <w:i/>
              </w:rPr>
              <w:t>es infractions routières gérés par les autorités nationales et, le cas échéant, mettre au point une solution numérique spécifique.</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12</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25 bis (nouveau)</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(25 bis)</w:t>
            </w:r>
            <w:r w:rsidRPr="00407D43">
              <w:rPr>
                <w:b/>
                <w:i/>
              </w:rPr>
              <w:tab/>
              <w:t>La Commission devrait étudier différents moyens de renforcer la coopération et le partage d’informations concernant les infractions en matière de sécurité routiè</w:t>
            </w:r>
            <w:r w:rsidRPr="00407D43">
              <w:rPr>
                <w:b/>
                <w:i/>
              </w:rPr>
              <w:t>re entre les États membres de l’Union et les pays tiers voisins, afin d’améliorer le respect des règles. Si la présente directive vise à réduire l’impunité des conducteurs non résidents au sein de l’Union, les infractions en matière de sécurité routière co</w:t>
            </w:r>
            <w:r w:rsidRPr="00407D43">
              <w:rPr>
                <w:b/>
                <w:i/>
              </w:rPr>
              <w:t>mmises par des conducteurs non résidents immatriculés en dehors de l’Union ne constituent pas un problème négligeable. La directive et l’utilisation du système Eucaris fournissent un modèle sur lequel l’Union et ses États membres peuvent s’appuyer pour met</w:t>
            </w:r>
            <w:r w:rsidRPr="00407D43">
              <w:rPr>
                <w:b/>
                <w:i/>
              </w:rPr>
              <w:t xml:space="preserve">tre en place des mécanismes similaires d’échange d’informations concernant les infractions couvertes avec les pays tiers voisins, à condition que des protections équivalentes soient accordées aux conducteurs concernés, notamment en ce qui concerne </w:t>
            </w:r>
            <w:r w:rsidRPr="00407D43">
              <w:rPr>
                <w:b/>
                <w:i/>
              </w:rPr>
              <w:lastRenderedPageBreak/>
              <w:t>la prote</w:t>
            </w:r>
            <w:r w:rsidRPr="00407D43">
              <w:rPr>
                <w:b/>
                <w:i/>
              </w:rPr>
              <w:t>ction des données.</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13</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25 ter (nouveau)</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(25 ter)</w:t>
            </w:r>
            <w:r w:rsidRPr="00407D43">
              <w:rPr>
                <w:b/>
                <w:i/>
              </w:rPr>
              <w:tab/>
            </w:r>
            <w:r w:rsidRPr="00407D43">
              <w:rPr>
                <w:b/>
                <w:i/>
              </w:rPr>
              <w:t>Pour atteindre les objectifs énoncés dans le cadre politique de l’UE en matière de sécurité routière pour la décennie d’action 2021-2030 – Recommandations pour les prochaines étapes de la campagne «Vision Zéro», la mise en œuvre effective de la directive (</w:t>
            </w:r>
            <w:r w:rsidRPr="00407D43">
              <w:rPr>
                <w:b/>
                <w:i/>
              </w:rPr>
              <w:t>UE) 2015/413 devrait être complétée par d’autres mesures visant à lutter contre les infractions en matière de sécurité routière commises par des ressortissants de pays tiers. Il devrait être possible pour les pays tiers de participer à l’échange de données</w:t>
            </w:r>
            <w:r w:rsidRPr="00407D43">
              <w:rPr>
                <w:b/>
                <w:i/>
              </w:rPr>
              <w:t xml:space="preserve"> relatives à l’immatriculation des véhicules pour autant qu’ils aient conclu un accord avec l’Union à cet effet. Un tel accord devrait inclure les dispositions nécessaires en matière de protection des données. Si la conclusion d’un tel accord tarde vraimen</w:t>
            </w:r>
            <w:r w:rsidRPr="00407D43">
              <w:rPr>
                <w:b/>
                <w:i/>
              </w:rPr>
              <w:t>t, les États membres, en coopération avec la Commission, pourraient élaborer une solution spécifique pour faire en sorte qu’une infraction routière soit signalée à la frontière extérieure de l’Union lorsque l’auteur de l’infraction routière a l’intention d</w:t>
            </w:r>
            <w:r w:rsidRPr="00407D43">
              <w:rPr>
                <w:b/>
                <w:i/>
              </w:rPr>
              <w:t>e la traverser, de sorte que la sanction pécuniaire puisse être infligée à l’auteur de l’infraction par l’État membre dans lequel l’infraction a eu lieu avant qu’il ne quitte le territoire de l’Union.</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14</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w:t>
      </w:r>
      <w:r w:rsidRPr="00407D43">
        <w:rPr>
          <w:rStyle w:val="HideTWBExt"/>
          <w:b w:val="0"/>
        </w:rPr>
        <w:t>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25 quater (nouveau)</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(25 quater)</w:t>
            </w:r>
            <w:r w:rsidRPr="00407D43">
              <w:rPr>
                <w:b/>
                <w:i/>
              </w:rPr>
              <w:tab/>
            </w:r>
            <w:r w:rsidRPr="00407D43">
              <w:rPr>
                <w:b/>
                <w:i/>
              </w:rPr>
              <w:t>Depuis le retrait du Royaume-Uni de l’Union, il n’existe plus de directive concernant le partage de données entre les forces de police des États membres et l’agence britannique de délivrance des permis de conduire des véhicules (DVLA). En revanche, il exis</w:t>
            </w:r>
            <w:r w:rsidRPr="00407D43">
              <w:rPr>
                <w:b/>
                <w:i/>
              </w:rPr>
              <w:t>te un système d’assistance mutuelle, qui, parce qu’il n’est plus automatique, n’est pas aussi efficace qu’il pourrait l’être. Étant donné que la conclusion de l’accord de commerce et de coopération entre l’Union et le Royaume-Uni ne fait pas référence à la</w:t>
            </w:r>
            <w:r w:rsidRPr="00407D43">
              <w:rPr>
                <w:b/>
                <w:i/>
              </w:rPr>
              <w:t xml:space="preserve"> directive (UE) 2015/413 ni à la décision 2005/214/JAI, la Commission devrait analyser, au moyen d’un avis juridique, la manière d’exécuter le plus efficacement possible les sanctions en cas d’infractions définies par la présente directive dans le cadre de</w:t>
            </w:r>
            <w:r w:rsidRPr="00407D43">
              <w:rPr>
                <w:b/>
                <w:i/>
              </w:rPr>
              <w:t xml:space="preserve"> la convention européenne relative à l’entraide judiciaire en matière pénale de 1959 et de ses protocoles afin de dégager des mesures concrètes et efficaces permettant d’améliorer la sécurité routière tout en assurant le respect des exigences en matière de</w:t>
            </w:r>
            <w:r w:rsidRPr="00407D43">
              <w:rPr>
                <w:b/>
                <w:i/>
              </w:rPr>
              <w:t xml:space="preserve"> protection des données, en particulier celles des détenteurs de véhicules et des conducteurs de l’Union.</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15</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31</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(31)</w:t>
            </w:r>
            <w:r w:rsidRPr="00407D43">
              <w:tab/>
              <w:t>Il convient de créer un portail en ligne (le «portail pour l’exécution transfrontière des sanctions») afin de fournir aux usagers de la route dans l’Union des informations complètes sur les règles de circula</w:t>
            </w:r>
            <w:r w:rsidRPr="00407D43">
              <w:t xml:space="preserve">tion liées à la sécurité </w:t>
            </w:r>
            <w:r w:rsidRPr="00407D43">
              <w:lastRenderedPageBreak/>
              <w:t>routière en vigueur dans les États membres et de permettre auxdits usagers de communiquer avec les autorités des États membres de manière efficace et sécurisée. Le portail devrait également faciliter la communication entre les auto</w:t>
            </w:r>
            <w:r w:rsidRPr="00407D43">
              <w:t>rités des États membres sur diverses questions liées aux enquêtes transfrontières sur les infractions en matière de sécurité routière, telles que la vérification de l’authenticité des lettres de notification et des documents de suivi afin d’éliminer le ris</w:t>
            </w:r>
            <w:r w:rsidRPr="00407D43">
              <w:t>que de fraude. Les données à caractère personnel échangées devraient être limitées à ce qui est nécessaire aux enquêtes transfrontières et à l’exécution des sanctions, en particulier le paiement de sanctions pécuniaires. Le portail pour l’exécution transfr</w:t>
            </w:r>
            <w:r w:rsidRPr="00407D43">
              <w:t xml:space="preserve">ontière des sanctions devrait être en mesure de se connecter à d’autres portails, réseaux, sites web ou plateformes pertinents afin de faciliter l’échange d’informations relatives à l’exécution des règles en matière de sécurité routière. La Commission </w:t>
            </w:r>
            <w:r w:rsidRPr="00407D43">
              <w:rPr>
                <w:b/>
                <w:i/>
              </w:rPr>
              <w:t>devr</w:t>
            </w:r>
            <w:r w:rsidRPr="00407D43">
              <w:rPr>
                <w:b/>
                <w:i/>
              </w:rPr>
              <w:t>ait</w:t>
            </w:r>
            <w:r w:rsidRPr="00407D43">
              <w:t xml:space="preserve"> être </w:t>
            </w:r>
            <w:r w:rsidRPr="00407D43">
              <w:rPr>
                <w:b/>
                <w:i/>
              </w:rPr>
              <w:t>le responsable</w:t>
            </w:r>
            <w:r w:rsidRPr="00407D43">
              <w:t xml:space="preserve"> du traitement du portail pour l’exécution transfrontière des sanctions, conformément au règlement</w:t>
            </w:r>
            <w:r w:rsidRPr="00407D43">
              <w:rPr>
                <w:b/>
                <w:i/>
              </w:rPr>
              <w:t> </w:t>
            </w:r>
            <w:r w:rsidRPr="00407D43">
              <w:t>(UE)</w:t>
            </w:r>
            <w:r w:rsidRPr="00407D43">
              <w:rPr>
                <w:b/>
                <w:i/>
              </w:rPr>
              <w:t> </w:t>
            </w:r>
            <w:r w:rsidRPr="00407D43">
              <w:t>2018/1725.</w:t>
            </w:r>
          </w:p>
        </w:tc>
        <w:tc>
          <w:tcPr>
            <w:tcW w:w="4876" w:type="dxa"/>
            <w:hideMark/>
          </w:tcPr>
          <w:p w:rsidR="0086407D" w:rsidRPr="00407D43" w:rsidRDefault="00407D43" w:rsidP="00982395">
            <w:pPr>
              <w:pStyle w:val="Normal6"/>
              <w:rPr>
                <w:szCs w:val="24"/>
              </w:rPr>
            </w:pPr>
            <w:r w:rsidRPr="00407D43">
              <w:lastRenderedPageBreak/>
              <w:t>(31)</w:t>
            </w:r>
            <w:r w:rsidRPr="00407D43">
              <w:tab/>
              <w:t>Il convient de créer un portail en ligne (le «portail pour l’exécution transfrontière des sanctions») afin de fou</w:t>
            </w:r>
            <w:r w:rsidRPr="00407D43">
              <w:t xml:space="preserve">rnir aux usagers de la route dans l’Union des informations complètes sur les règles de circulation liées à la sécurité </w:t>
            </w:r>
            <w:r w:rsidRPr="00407D43">
              <w:lastRenderedPageBreak/>
              <w:t>routière en vigueur dans les États membres et de permettre auxdits usagers de communiquer avec les autorités des États membres de manière</w:t>
            </w:r>
            <w:r w:rsidRPr="00407D43">
              <w:t xml:space="preserve"> efficace et sécurisée.</w:t>
            </w:r>
            <w:r w:rsidRPr="00407D43">
              <w:rPr>
                <w:b/>
                <w:i/>
              </w:rPr>
              <w:t xml:space="preserve"> Il convient que ces informations soient compréhensibles et accessibles à tous.</w:t>
            </w:r>
            <w:r w:rsidRPr="00407D43">
              <w:t xml:space="preserve"> Le portail devrait également faciliter la communication entre les autorités des États membres sur diverses questions liées aux enquêtes transfrontières s</w:t>
            </w:r>
            <w:r w:rsidRPr="00407D43">
              <w:t xml:space="preserve">ur les infractions en matière de sécurité routière, telles que la vérification de l’authenticité des lettres de notification et des documents de suivi afin d’éliminer le risque de fraude. Les données à caractère personnel échangées devraient être limitées </w:t>
            </w:r>
            <w:r w:rsidRPr="00407D43">
              <w:t>à ce qui est nécessaire aux enquêtes transfrontières et à l’exécution des sanctions, en particulier le paiement de sanctions pécuniaires. Le portail pour l’exécution transfrontière des sanctions devrait être en mesure de se connecter à d’autres portails, r</w:t>
            </w:r>
            <w:r w:rsidRPr="00407D43">
              <w:t xml:space="preserve">éseaux, sites web ou plateformes pertinents afin de faciliter l’échange d’informations relatives à l’exécution des règles en matière de sécurité routière. La Commission </w:t>
            </w:r>
            <w:r w:rsidRPr="00407D43">
              <w:rPr>
                <w:b/>
                <w:i/>
              </w:rPr>
              <w:t>et les États membres devraient</w:t>
            </w:r>
            <w:r w:rsidRPr="00407D43">
              <w:t xml:space="preserve"> être </w:t>
            </w:r>
            <w:r w:rsidRPr="00407D43">
              <w:rPr>
                <w:b/>
                <w:i/>
              </w:rPr>
              <w:t>les responsables conjoints</w:t>
            </w:r>
            <w:r w:rsidRPr="00407D43">
              <w:t xml:space="preserve"> du traitement du portail pour l’exécution transfrontière des sanctions, conformément au règlement</w:t>
            </w:r>
            <w:r w:rsidRPr="00407D43">
              <w:rPr>
                <w:b/>
                <w:i/>
              </w:rPr>
              <w:t xml:space="preserve"> </w:t>
            </w:r>
            <w:r w:rsidRPr="00407D43">
              <w:t>(UE)</w:t>
            </w:r>
            <w:r w:rsidRPr="00407D43">
              <w:rPr>
                <w:b/>
                <w:i/>
              </w:rPr>
              <w:t xml:space="preserve"> </w:t>
            </w:r>
            <w:r w:rsidRPr="00407D43">
              <w:t>2018/1725.</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16</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32</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(32)</w:t>
            </w:r>
            <w:r w:rsidRPr="00407D43">
              <w:tab/>
              <w:t>La Commission devrait apporter un soutien financier proportionné aux initiatives qui améliorent la coopération transfrontière en matière d’exécution des règles relatives à la sécurité routière dans l’Union.</w:t>
            </w:r>
          </w:p>
        </w:tc>
        <w:tc>
          <w:tcPr>
            <w:tcW w:w="4876" w:type="dxa"/>
            <w:hideMark/>
          </w:tcPr>
          <w:p w:rsidR="0086407D" w:rsidRPr="00407D43" w:rsidRDefault="00407D43" w:rsidP="00982395">
            <w:pPr>
              <w:pStyle w:val="Normal6"/>
              <w:rPr>
                <w:szCs w:val="24"/>
              </w:rPr>
            </w:pPr>
            <w:r w:rsidRPr="00407D43">
              <w:t>(32)</w:t>
            </w:r>
            <w:r w:rsidRPr="00407D43">
              <w:tab/>
              <w:t xml:space="preserve">La Commission devrait apporter un soutien financier proportionné aux initiatives </w:t>
            </w:r>
            <w:r w:rsidRPr="00407D43">
              <w:rPr>
                <w:b/>
                <w:i/>
              </w:rPr>
              <w:t xml:space="preserve">et projets des États membres </w:t>
            </w:r>
            <w:r w:rsidRPr="00407D43">
              <w:t>qui améliorent la coopération transfrontière en matière d’exécution des règles relatives à la sécurité routière dans l’Union</w:t>
            </w:r>
            <w:r w:rsidRPr="00407D43">
              <w:rPr>
                <w:b/>
                <w:i/>
              </w:rPr>
              <w:t>, y compris un so</w:t>
            </w:r>
            <w:r w:rsidRPr="00407D43">
              <w:rPr>
                <w:b/>
                <w:i/>
              </w:rPr>
              <w:t xml:space="preserve">utien à la numérisation des données visées à l’annexe III de la directive </w:t>
            </w:r>
            <w:r w:rsidRPr="00407D43">
              <w:rPr>
                <w:b/>
                <w:i/>
              </w:rPr>
              <w:lastRenderedPageBreak/>
              <w:t>2010/40/UE qui sont pertinentes pour les infractions couvertes par la présente directive.</w:t>
            </w:r>
            <w:r w:rsidRPr="00407D43">
              <w:t xml:space="preserve"> </w:t>
            </w:r>
            <w:r w:rsidRPr="00407D43">
              <w:rPr>
                <w:b/>
                <w:i/>
              </w:rPr>
              <w:t>Le soutien financier devrait également couvrir les campagnes d'information dans toute l'Unio</w:t>
            </w:r>
            <w:r w:rsidRPr="00407D43">
              <w:rPr>
                <w:b/>
                <w:i/>
              </w:rPr>
              <w:t>n portant sur les différences entre les législations nationales, en accordant une attention particulière aux pays voisins</w:t>
            </w:r>
            <w:r w:rsidRPr="00407D43">
              <w:rPr>
                <w:b/>
                <w:i/>
              </w:rPr>
              <w:t>.</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17</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32 bis (nouveau)</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(32 bis)</w:t>
            </w:r>
            <w:r w:rsidRPr="00407D43">
              <w:rPr>
                <w:b/>
                <w:i/>
              </w:rPr>
              <w:tab/>
              <w:t xml:space="preserve">Les États membres de l’Union devraient être encouragés à mettre en place un système transparent d’allocation des recettes générées par les amendes et à réinvestir les recettes provenant de </w:t>
            </w:r>
            <w:r w:rsidRPr="00407D43">
              <w:rPr>
                <w:b/>
                <w:i/>
              </w:rPr>
              <w:t>l’application de la législation dans des travaux de sécurité routière. Cela renforcerait également la confiance du public dans le système d’application de la législation routière et la contribution qu’il peut apporter à l’amélioration de la sécurité routiè</w:t>
            </w:r>
            <w:r w:rsidRPr="00407D43">
              <w:rPr>
                <w:b/>
                <w:i/>
              </w:rPr>
              <w:t>re.</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18</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32 ter (nouveau)</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(32 ter)</w:t>
            </w:r>
            <w:r w:rsidRPr="00407D43">
              <w:rPr>
                <w:b/>
                <w:i/>
              </w:rPr>
              <w:tab/>
            </w:r>
            <w:r w:rsidRPr="00407D43">
              <w:rPr>
                <w:b/>
                <w:i/>
              </w:rPr>
              <w:t>Compte tenu de l’augmentation importante de la circulation routière transfrontière et des divergences qui persistent entre les États membres en matière d’exécution des règles en matière de sécurité routière, il convient d’actualiser la recommandation 2004/</w:t>
            </w:r>
            <w:r w:rsidRPr="00407D43">
              <w:rPr>
                <w:b/>
                <w:i/>
              </w:rPr>
              <w:t xml:space="preserve">345/CE de la Commission relative à l’application de la réglementation dans le domaine de la sécurité routière, qui date </w:t>
            </w:r>
            <w:r w:rsidRPr="00407D43">
              <w:rPr>
                <w:b/>
                <w:i/>
              </w:rPr>
              <w:lastRenderedPageBreak/>
              <w:t>de 2004, afin de tenir compte des progrès accomplis depuis lors.</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19</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w:t>
      </w:r>
      <w:r w:rsidRPr="00407D43">
        <w:t>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35 bis (nouveau)</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(35 bis)</w:t>
            </w:r>
            <w:r w:rsidRPr="00407D43">
              <w:rPr>
                <w:b/>
                <w:i/>
              </w:rPr>
              <w:tab/>
            </w:r>
            <w:r w:rsidRPr="00407D43">
              <w:rPr>
                <w:b/>
                <w:i/>
              </w:rPr>
              <w:t>Il est nécessaire de mettre en évidence qu’il y a un problème non négligeable de non-répression des infractions au code de la route commises par des non-résidents et que le problème ne sera peut-être pas résolu simplement par la modification de l’article 1</w:t>
            </w:r>
            <w:r w:rsidRPr="00407D43">
              <w:rPr>
                <w:b/>
                <w:i/>
                <w:vertAlign w:val="superscript"/>
              </w:rPr>
              <w:t>er</w:t>
            </w:r>
            <w:r w:rsidRPr="00407D43">
              <w:rPr>
                <w:b/>
                <w:i/>
              </w:rPr>
              <w:t xml:space="preserve"> de la décision-cadre 2005/214/JAI du Conseil du 24 février 2005 concernant l’application du principe de reconnaissance mutuelle aux sanctions pécuniaires, modifiée par la décision-cadre 2009/299/JAI, qui donne la définition d’une décision. Par conséquen</w:t>
            </w:r>
            <w:r w:rsidRPr="00407D43">
              <w:rPr>
                <w:b/>
                <w:i/>
              </w:rPr>
              <w:t>t, la situation actuelle devrait être évaluée, notamment à la lumière d’un avis juridique spécifique, à la suite duquel la Commission devrait, le cas échéant, adopter une proposition législative en vue d’améliorer la coopération entre les États membres sur</w:t>
            </w:r>
            <w:r w:rsidRPr="00407D43">
              <w:rPr>
                <w:b/>
                <w:i/>
              </w:rPr>
              <w:t xml:space="preserve"> cette question.</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20</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Considérant 35 ter (nouveau)</w:t>
      </w:r>
      <w:r w:rsidRPr="00407D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(35 ter)</w:t>
            </w:r>
            <w:r w:rsidRPr="00407D43">
              <w:rPr>
                <w:b/>
                <w:i/>
              </w:rPr>
              <w:tab/>
            </w:r>
            <w:r w:rsidRPr="00407D43">
              <w:rPr>
                <w:b/>
                <w:i/>
              </w:rPr>
              <w:t>Les États membres devraient veiller à ce qu’il existe des mécanismes adéquats et efficaces pour la mise en application des sanctions pécuniaires et pour leur recouvrement.</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lastRenderedPageBreak/>
        <w:t>&lt;Amend&gt;</w:t>
      </w:r>
      <w:r w:rsidRPr="00407D43">
        <w:t>Amendement</w:t>
      </w:r>
      <w:r w:rsidRPr="00407D43">
        <w:tab/>
      </w:r>
      <w:r w:rsidRPr="00407D43">
        <w:tab/>
      </w:r>
      <w:r w:rsidRPr="00407D43">
        <w:rPr>
          <w:rStyle w:val="HideTWBExt"/>
          <w:b w:val="0"/>
        </w:rPr>
        <w:t>&lt;NumAm&gt;</w:t>
      </w:r>
      <w:r w:rsidRPr="00407D43">
        <w:t>21</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1 – sous-point a</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2 – paragraphe 1 – point i</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i)</w:t>
            </w:r>
            <w:r w:rsidRPr="00407D43">
              <w:tab/>
              <w:t xml:space="preserve">non-respect </w:t>
            </w:r>
            <w:r w:rsidRPr="00407D43">
              <w:rPr>
                <w:b/>
                <w:i/>
              </w:rPr>
              <w:t>d’une</w:t>
            </w:r>
            <w:r w:rsidRPr="00407D43">
              <w:t xml:space="preserve"> distance </w:t>
            </w:r>
            <w:r w:rsidRPr="00407D43">
              <w:rPr>
                <w:b/>
                <w:i/>
              </w:rPr>
              <w:t>suffisante</w:t>
            </w:r>
            <w:r w:rsidRPr="00407D43">
              <w:t xml:space="preserve"> par rapport au véhicule qui précède;</w:t>
            </w:r>
          </w:p>
        </w:tc>
        <w:tc>
          <w:tcPr>
            <w:tcW w:w="4876" w:type="dxa"/>
            <w:hideMark/>
          </w:tcPr>
          <w:p w:rsidR="0086407D" w:rsidRPr="00407D43" w:rsidRDefault="00407D43" w:rsidP="00982395">
            <w:pPr>
              <w:pStyle w:val="Normal6"/>
              <w:rPr>
                <w:szCs w:val="24"/>
              </w:rPr>
            </w:pPr>
            <w:r w:rsidRPr="00407D43">
              <w:t>i)</w:t>
            </w:r>
            <w:r w:rsidRPr="00407D43">
              <w:tab/>
              <w:t xml:space="preserve">non-respect </w:t>
            </w:r>
            <w:r w:rsidRPr="00407D43">
              <w:rPr>
                <w:b/>
                <w:i/>
              </w:rPr>
              <w:t>de la</w:t>
            </w:r>
            <w:r w:rsidRPr="00407D43">
              <w:t xml:space="preserve"> distance </w:t>
            </w:r>
            <w:r w:rsidRPr="00407D43">
              <w:rPr>
                <w:b/>
                <w:i/>
              </w:rPr>
              <w:t>exigée</w:t>
            </w:r>
            <w:r w:rsidRPr="00407D43">
              <w:t xml:space="preserve"> par rapport au véhicule qui précède;</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22</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 xml:space="preserve">Article 1 – alinéa 1 – point 1 </w:t>
      </w:r>
      <w:r w:rsidRPr="00407D43">
        <w:t>– sous-point a</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2 – paragraphe 1 – point j</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j)</w:t>
            </w:r>
            <w:r w:rsidRPr="00407D43">
              <w:tab/>
              <w:t>dépassement dangereux;</w:t>
            </w:r>
          </w:p>
        </w:tc>
        <w:tc>
          <w:tcPr>
            <w:tcW w:w="4876" w:type="dxa"/>
            <w:hideMark/>
          </w:tcPr>
          <w:p w:rsidR="0086407D" w:rsidRPr="00407D43" w:rsidRDefault="00407D43" w:rsidP="00982395">
            <w:pPr>
              <w:pStyle w:val="Normal6"/>
              <w:rPr>
                <w:szCs w:val="24"/>
              </w:rPr>
            </w:pPr>
            <w:r w:rsidRPr="00407D43">
              <w:t>j)</w:t>
            </w:r>
            <w:r w:rsidRPr="00407D43">
              <w:tab/>
              <w:t>dépassement dangereux</w:t>
            </w:r>
            <w:r w:rsidRPr="00407D43">
              <w:rPr>
                <w:b/>
                <w:i/>
              </w:rPr>
              <w:t xml:space="preserve"> non conforme au code de la route</w:t>
            </w:r>
            <w:r w:rsidRPr="00407D43">
              <w:t>;</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23</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1 – sous-point a</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w:t>
      </w:r>
      <w:r w:rsidRPr="00407D43">
        <w:t>le 2 – paragraphe 1 – point k</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k)</w:t>
            </w:r>
            <w:r w:rsidRPr="00407D43">
              <w:tab/>
              <w:t>stationnement dangereux;</w:t>
            </w:r>
          </w:p>
        </w:tc>
        <w:tc>
          <w:tcPr>
            <w:tcW w:w="4876" w:type="dxa"/>
            <w:hideMark/>
          </w:tcPr>
          <w:p w:rsidR="0086407D" w:rsidRPr="00407D43" w:rsidRDefault="00407D43" w:rsidP="00982395">
            <w:pPr>
              <w:pStyle w:val="Normal6"/>
              <w:rPr>
                <w:szCs w:val="24"/>
              </w:rPr>
            </w:pPr>
            <w:r w:rsidRPr="00407D43">
              <w:t>k)</w:t>
            </w:r>
            <w:r w:rsidRPr="00407D43">
              <w:tab/>
              <w:t xml:space="preserve">stationnement dangereux </w:t>
            </w:r>
            <w:r w:rsidRPr="00407D43">
              <w:rPr>
                <w:b/>
                <w:i/>
              </w:rPr>
              <w:t>à un endroit où cela n’est pas autorisé, créant un risque grave pour les autres usagers de la route</w:t>
            </w:r>
            <w:r w:rsidRPr="00407D43">
              <w:t>;</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24</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1 – sous-point a</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2 – paragraphe 1 – point l</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l)</w:t>
            </w:r>
            <w:r w:rsidRPr="00407D43">
              <w:tab/>
              <w:t xml:space="preserve">franchissement d’une ou de plusieurs lignes </w:t>
            </w:r>
            <w:r w:rsidRPr="00407D43">
              <w:rPr>
                <w:b/>
                <w:i/>
              </w:rPr>
              <w:t>blanches</w:t>
            </w:r>
            <w:r w:rsidRPr="00407D43">
              <w:t xml:space="preserve"> continues;</w:t>
            </w:r>
          </w:p>
        </w:tc>
        <w:tc>
          <w:tcPr>
            <w:tcW w:w="4876" w:type="dxa"/>
            <w:hideMark/>
          </w:tcPr>
          <w:p w:rsidR="0086407D" w:rsidRPr="00407D43" w:rsidRDefault="00407D43" w:rsidP="00982395">
            <w:pPr>
              <w:pStyle w:val="Normal6"/>
              <w:rPr>
                <w:szCs w:val="24"/>
              </w:rPr>
            </w:pPr>
            <w:r w:rsidRPr="00407D43">
              <w:t>l)</w:t>
            </w:r>
            <w:r w:rsidRPr="00407D43">
              <w:tab/>
              <w:t>franchissement d’une ou de plusieurs lignes continues;</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25</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1 – sous-point a</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2 – paragraphe 1 – point o</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o)</w:t>
            </w:r>
            <w:r w:rsidRPr="00407D43">
              <w:tab/>
            </w:r>
            <w:r w:rsidRPr="00407D43">
              <w:rPr>
                <w:b/>
                <w:i/>
              </w:rPr>
              <w:t>utilisation</w:t>
            </w:r>
            <w:r w:rsidRPr="00407D43">
              <w:t xml:space="preserve"> d’un véhicule e</w:t>
            </w:r>
            <w:r w:rsidRPr="00407D43">
              <w:t>n surcharge.»;</w:t>
            </w:r>
          </w:p>
        </w:tc>
        <w:tc>
          <w:tcPr>
            <w:tcW w:w="4876" w:type="dxa"/>
            <w:hideMark/>
          </w:tcPr>
          <w:p w:rsidR="0086407D" w:rsidRPr="00407D43" w:rsidRDefault="00407D43" w:rsidP="00982395">
            <w:pPr>
              <w:pStyle w:val="Normal6"/>
              <w:rPr>
                <w:szCs w:val="24"/>
              </w:rPr>
            </w:pPr>
            <w:r w:rsidRPr="00407D43">
              <w:t>o)</w:t>
            </w:r>
            <w:r w:rsidRPr="00407D43">
              <w:tab/>
            </w:r>
            <w:r w:rsidRPr="00407D43">
              <w:rPr>
                <w:b/>
                <w:i/>
              </w:rPr>
              <w:t>conduite</w:t>
            </w:r>
            <w:r w:rsidRPr="00407D43">
              <w:t xml:space="preserve"> d’un véhicule en surcharge.»;</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26</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1 – sous-point a</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2 – paragraphe 1 – point o bis (nouveau)</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o bis)</w:t>
            </w:r>
            <w:r w:rsidRPr="00407D43">
              <w:rPr>
                <w:b/>
                <w:i/>
              </w:rPr>
              <w:tab/>
              <w:t>délit de fuite;</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27</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2 – sous-point -a (nouveau)</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3 – alinéa 1 – point a</w:t>
      </w:r>
      <w:r w:rsidRPr="00407D4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en vigueur</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tcPr>
          <w:p w:rsidR="0086407D" w:rsidRPr="00407D43" w:rsidRDefault="00407D43" w:rsidP="00982395">
            <w:pPr>
              <w:pStyle w:val="Normal6"/>
              <w:rPr>
                <w:b/>
                <w:i/>
              </w:rPr>
            </w:pPr>
            <w:r w:rsidRPr="00407D43">
              <w:rPr>
                <w:b/>
                <w:i/>
              </w:rPr>
              <w:t>-a)</w:t>
            </w:r>
            <w:r w:rsidRPr="00407D43">
              <w:rPr>
                <w:b/>
                <w:i/>
              </w:rPr>
              <w:tab/>
            </w:r>
            <w:r w:rsidRPr="00407D43">
              <w:rPr>
                <w:b/>
                <w:i/>
              </w:rPr>
              <w:t>le point a) est remplacé par le texte suivant:</w:t>
            </w:r>
          </w:p>
        </w:tc>
      </w:tr>
      <w:tr w:rsidR="005C37AD" w:rsidRPr="00407D43" w:rsidTr="00982395">
        <w:trPr>
          <w:jc w:val="center"/>
        </w:trPr>
        <w:tc>
          <w:tcPr>
            <w:tcW w:w="4876" w:type="dxa"/>
            <w:hideMark/>
          </w:tcPr>
          <w:p w:rsidR="0086407D" w:rsidRPr="00407D43" w:rsidRDefault="00407D43" w:rsidP="00982395">
            <w:pPr>
              <w:pStyle w:val="Normal6"/>
            </w:pPr>
            <w:r w:rsidRPr="00407D43">
              <w:t>a)</w:t>
            </w:r>
            <w:r w:rsidRPr="00407D43">
              <w:tab/>
            </w:r>
            <w:r w:rsidRPr="00407D43">
              <w:t>«véhicule», tout véhicule motorisé</w:t>
            </w:r>
            <w:r w:rsidRPr="00407D43">
              <w:rPr>
                <w:b/>
                <w:i/>
              </w:rPr>
              <w:t>, y compris les motocycles</w:t>
            </w:r>
            <w:r w:rsidRPr="00407D43">
              <w:t>, normalement utilisé pour le transport routier de personnes ou de marchandises;</w:t>
            </w:r>
          </w:p>
        </w:tc>
        <w:tc>
          <w:tcPr>
            <w:tcW w:w="4876" w:type="dxa"/>
            <w:hideMark/>
          </w:tcPr>
          <w:p w:rsidR="0086407D" w:rsidRPr="00407D43" w:rsidRDefault="00407D43" w:rsidP="00982395">
            <w:pPr>
              <w:pStyle w:val="Normal6"/>
              <w:jc w:val="both"/>
            </w:pPr>
            <w:r w:rsidRPr="00407D43">
              <w:t>a)</w:t>
            </w:r>
            <w:r w:rsidRPr="00407D43">
              <w:tab/>
              <w:t>«véhicule», tout véhicule motorisé</w:t>
            </w:r>
            <w:r w:rsidRPr="00407D43">
              <w:rPr>
                <w:b/>
                <w:i/>
              </w:rPr>
              <w:t xml:space="preserve"> actionné exclusivement par une force mécanique</w:t>
            </w:r>
            <w:r w:rsidRPr="00407D43">
              <w:t>,</w:t>
            </w:r>
            <w:r w:rsidRPr="00407D43">
              <w:rPr>
                <w:b/>
                <w:i/>
              </w:rPr>
              <w:t xml:space="preserve"> et qui est</w:t>
            </w:r>
            <w:r w:rsidRPr="00407D43">
              <w:t xml:space="preserve"> normalement utilis</w:t>
            </w:r>
            <w:r w:rsidRPr="00407D43">
              <w:t xml:space="preserve">é pour le transport routier de personnes ou de </w:t>
            </w:r>
            <w:r w:rsidRPr="00407D43">
              <w:lastRenderedPageBreak/>
              <w:t>marchandises;</w:t>
            </w:r>
          </w:p>
        </w:tc>
      </w:tr>
    </w:tbl>
    <w:p w:rsidR="0086407D" w:rsidRPr="00407D43" w:rsidRDefault="00407D43" w:rsidP="0086407D">
      <w:pPr>
        <w:pStyle w:val="CrossRef"/>
      </w:pPr>
      <w:r w:rsidRPr="00407D43">
        <w:lastRenderedPageBreak/>
        <w:t>(32015L0413)</w:t>
      </w:r>
    </w:p>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28</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2 – sous-point a</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3 – alinéa 1 – point j</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j)</w:t>
            </w:r>
            <w:r w:rsidRPr="00407D43">
              <w:tab/>
              <w:t>«circulation sur une voie interdite», le fait de circuler illicitement sur une partie d’une chaussée permanente qui exi</w:t>
            </w:r>
            <w:r w:rsidRPr="00407D43">
              <w:t>ste déjà, ou temporaire, par exemple une voie réservée aux transports publics ou une voie temporairement fermée en raison d’encombrements ou de travaux, au sens du droit de l’État membre de l’infraction;</w:t>
            </w:r>
          </w:p>
        </w:tc>
        <w:tc>
          <w:tcPr>
            <w:tcW w:w="4876" w:type="dxa"/>
            <w:hideMark/>
          </w:tcPr>
          <w:p w:rsidR="0086407D" w:rsidRPr="00407D43" w:rsidRDefault="00407D43" w:rsidP="00982395">
            <w:pPr>
              <w:pStyle w:val="Normal6"/>
              <w:rPr>
                <w:szCs w:val="24"/>
              </w:rPr>
            </w:pPr>
            <w:r w:rsidRPr="00407D43">
              <w:t>j)</w:t>
            </w:r>
            <w:r w:rsidRPr="00407D43">
              <w:tab/>
              <w:t xml:space="preserve">«circulation sur une voie interdite», le fait de </w:t>
            </w:r>
            <w:r w:rsidRPr="00407D43">
              <w:t>circuler illicitement sur une partie d’une chaussée permanente qui existe déjà, ou temporaire, par exemple une voie réservée aux transports publics</w:t>
            </w:r>
            <w:r w:rsidRPr="00407D43">
              <w:rPr>
                <w:b/>
                <w:i/>
              </w:rPr>
              <w:t>, un chemin piétonnier, une bande cyclable</w:t>
            </w:r>
            <w:r w:rsidRPr="00407D43">
              <w:t xml:space="preserve"> ou une voie temporairement fermée en raison d’encombrements ou de </w:t>
            </w:r>
            <w:r w:rsidRPr="00407D43">
              <w:t>travaux, au sens du droit de l’État membre de l’infraction;</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29</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2 – sous-point b</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3 – alinéa 1 – point l</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l)</w:t>
            </w:r>
            <w:r w:rsidRPr="00407D43">
              <w:tab/>
            </w:r>
            <w:r w:rsidRPr="00407D43">
              <w:rPr>
                <w:b/>
                <w:i/>
              </w:rPr>
              <w:t>«point</w:t>
            </w:r>
            <w:r w:rsidRPr="00407D43">
              <w:t xml:space="preserve"> de contact </w:t>
            </w:r>
            <w:r w:rsidRPr="00407D43">
              <w:rPr>
                <w:b/>
                <w:i/>
              </w:rPr>
              <w:t>national»</w:t>
            </w:r>
            <w:r w:rsidRPr="00407D43">
              <w:t xml:space="preserve">, </w:t>
            </w:r>
            <w:r w:rsidRPr="00407D43">
              <w:rPr>
                <w:b/>
                <w:i/>
              </w:rPr>
              <w:t>une autorité compétente désignée aux fins de la présente directive</w:t>
            </w:r>
            <w:r w:rsidRPr="00407D43">
              <w:t>;</w:t>
            </w:r>
          </w:p>
        </w:tc>
        <w:tc>
          <w:tcPr>
            <w:tcW w:w="4876" w:type="dxa"/>
            <w:hideMark/>
          </w:tcPr>
          <w:p w:rsidR="0086407D" w:rsidRPr="00407D43" w:rsidRDefault="00407D43" w:rsidP="00982395">
            <w:pPr>
              <w:pStyle w:val="Normal6"/>
              <w:rPr>
                <w:szCs w:val="24"/>
              </w:rPr>
            </w:pPr>
            <w:r w:rsidRPr="00407D43">
              <w:t>l)</w:t>
            </w:r>
            <w:r w:rsidRPr="00407D43">
              <w:tab/>
            </w:r>
            <w:r w:rsidRPr="00407D43">
              <w:rPr>
                <w:b/>
                <w:i/>
              </w:rPr>
              <w:t>«points</w:t>
            </w:r>
            <w:r w:rsidRPr="00407D43">
              <w:t xml:space="preserve"> de contact </w:t>
            </w:r>
            <w:r w:rsidRPr="00407D43">
              <w:rPr>
                <w:b/>
                <w:i/>
              </w:rPr>
              <w:t>nationaux»</w:t>
            </w:r>
            <w:r w:rsidRPr="00407D43">
              <w:t xml:space="preserve">, </w:t>
            </w:r>
            <w:r w:rsidRPr="00407D43">
              <w:rPr>
                <w:b/>
                <w:i/>
              </w:rPr>
              <w:t>des autorités par l’intermédiaire desquelles des informations sont échangées entre l’État membre dans lequel l’infraction a été commise et l’État membre d’immatriculation</w:t>
            </w:r>
            <w:r w:rsidRPr="00407D43">
              <w:t>;</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30</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2 – sous-point c</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3 – alinéa 1 – point o</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o)</w:t>
            </w:r>
            <w:r w:rsidRPr="00407D43">
              <w:tab/>
              <w:t xml:space="preserve">“non-respect </w:t>
            </w:r>
            <w:r w:rsidRPr="00407D43">
              <w:rPr>
                <w:b/>
                <w:i/>
              </w:rPr>
              <w:t>d’une</w:t>
            </w:r>
            <w:r w:rsidRPr="00407D43">
              <w:t xml:space="preserve"> distance </w:t>
            </w:r>
            <w:r w:rsidRPr="00407D43">
              <w:rPr>
                <w:b/>
                <w:i/>
              </w:rPr>
              <w:t>suffisante</w:t>
            </w:r>
            <w:r w:rsidRPr="00407D43">
              <w:t xml:space="preserve"> par rapport au véhicule qui précède”, le fait de ne pas maintenir la distance nécessaire pour éviter une collision avec le véhicule qui précède celui conduit par le conducteur dans l’hypothèse d’un ralentissement ou d’un arrêt soudain du véhicul</w:t>
            </w:r>
            <w:r w:rsidRPr="00407D43">
              <w:t>e qui précède, au sens du droit de l’État membre de l’infraction;</w:t>
            </w:r>
          </w:p>
        </w:tc>
        <w:tc>
          <w:tcPr>
            <w:tcW w:w="4876" w:type="dxa"/>
            <w:hideMark/>
          </w:tcPr>
          <w:p w:rsidR="0086407D" w:rsidRPr="00407D43" w:rsidRDefault="00407D43" w:rsidP="00982395">
            <w:pPr>
              <w:pStyle w:val="Normal6"/>
              <w:rPr>
                <w:szCs w:val="24"/>
              </w:rPr>
            </w:pPr>
            <w:r w:rsidRPr="00407D43">
              <w:t>o)</w:t>
            </w:r>
            <w:r w:rsidRPr="00407D43">
              <w:tab/>
              <w:t xml:space="preserve">“non-respect </w:t>
            </w:r>
            <w:r w:rsidRPr="00407D43">
              <w:rPr>
                <w:b/>
                <w:i/>
              </w:rPr>
              <w:t>de la</w:t>
            </w:r>
            <w:r w:rsidRPr="00407D43">
              <w:t xml:space="preserve"> distance </w:t>
            </w:r>
            <w:r w:rsidRPr="00407D43">
              <w:rPr>
                <w:b/>
                <w:i/>
              </w:rPr>
              <w:t>exigée</w:t>
            </w:r>
            <w:r w:rsidRPr="00407D43">
              <w:t xml:space="preserve"> par rapport au véhicule qui précède”, le fait de ne pas maintenir la distance</w:t>
            </w:r>
            <w:r w:rsidRPr="00407D43">
              <w:rPr>
                <w:b/>
                <w:i/>
              </w:rPr>
              <w:t xml:space="preserve"> de sécurité</w:t>
            </w:r>
            <w:r w:rsidRPr="00407D43">
              <w:t xml:space="preserve"> nécessaire pour éviter une collision avec le véhicule qui préc</w:t>
            </w:r>
            <w:r w:rsidRPr="00407D43">
              <w:t>ède celui conduit par le conducteur dans l’hypothèse d’un ralentissement ou d’un arrêt soudain du véhicule qui précède, au sens du droit de l’État membre de l’infraction;</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31</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w:t>
      </w:r>
      <w:r w:rsidRPr="00407D43">
        <w:rPr>
          <w:rStyle w:val="HideTWBExt"/>
          <w:b w:val="0"/>
        </w:rPr>
        <w:t>ocAmend&gt;</w:t>
      </w:r>
    </w:p>
    <w:p w:rsidR="0086407D" w:rsidRPr="00407D43" w:rsidRDefault="00407D43" w:rsidP="0086407D">
      <w:pPr>
        <w:pStyle w:val="NormalBold"/>
      </w:pPr>
      <w:r w:rsidRPr="00407D43">
        <w:rPr>
          <w:rStyle w:val="HideTWBExt"/>
          <w:b w:val="0"/>
        </w:rPr>
        <w:t>&lt;Article&gt;</w:t>
      </w:r>
      <w:r w:rsidRPr="00407D43">
        <w:t>Article 1 – alinéa 1 – point 2 – sous-point c</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3 – alinéa 1 – point p</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p)</w:t>
            </w:r>
            <w:r w:rsidRPr="00407D43">
              <w:tab/>
              <w:t xml:space="preserve">“dépassement </w:t>
            </w:r>
            <w:r w:rsidRPr="00407D43">
              <w:rPr>
                <w:b/>
                <w:i/>
              </w:rPr>
              <w:t>dangereux”</w:t>
            </w:r>
            <w:r w:rsidRPr="00407D43">
              <w:t>, le dépassement d’un autre véhicule ou d’un autre usager de la route d’une manière qui enfreint les règles applicables en matière de dépassement dangereux dans l’État membre de l’infraction;</w:t>
            </w:r>
          </w:p>
        </w:tc>
        <w:tc>
          <w:tcPr>
            <w:tcW w:w="4876" w:type="dxa"/>
            <w:hideMark/>
          </w:tcPr>
          <w:p w:rsidR="0086407D" w:rsidRPr="00407D43" w:rsidRDefault="00407D43" w:rsidP="00982395">
            <w:pPr>
              <w:pStyle w:val="Normal6"/>
              <w:rPr>
                <w:szCs w:val="24"/>
              </w:rPr>
            </w:pPr>
            <w:r w:rsidRPr="00407D43">
              <w:t>p)</w:t>
            </w:r>
            <w:r w:rsidRPr="00407D43">
              <w:tab/>
              <w:t xml:space="preserve">“dépassement </w:t>
            </w:r>
            <w:r w:rsidRPr="00407D43">
              <w:rPr>
                <w:b/>
                <w:i/>
              </w:rPr>
              <w:t>dangereux non conforme au code de la route”</w:t>
            </w:r>
            <w:r w:rsidRPr="00407D43">
              <w:t xml:space="preserve">, le </w:t>
            </w:r>
            <w:r w:rsidRPr="00407D43">
              <w:t>dépassement d’un autre véhicule ou d’un autre usager de la route d’une manière qui enfreint les règles applicables en matière de dépassement dangereux dans l’État membre de l’infraction;</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32</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w:t>
      </w:r>
      <w:r w:rsidRPr="00407D43">
        <w:t xml:space="preserve">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2 – sous-point c</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3 – alinéa 1 – point q</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q)</w:t>
            </w:r>
            <w:r w:rsidRPr="00407D43">
              <w:tab/>
              <w:t xml:space="preserve">“stationnement </w:t>
            </w:r>
            <w:r w:rsidRPr="00407D43">
              <w:rPr>
                <w:b/>
                <w:i/>
              </w:rPr>
              <w:t>dangereux”</w:t>
            </w:r>
            <w:r w:rsidRPr="00407D43">
              <w:t>, le stationnement d’un véhicule d’une manière qui enfreint les règles applicables en matière de stationnement dangereux dans l’État membre de l’infraction</w:t>
            </w:r>
            <w:r w:rsidRPr="00407D43">
              <w:rPr>
                <w:b/>
                <w:i/>
              </w:rPr>
              <w:t>.</w:t>
            </w:r>
            <w:r w:rsidRPr="00407D43">
              <w:t xml:space="preserve"> </w:t>
            </w:r>
            <w:r w:rsidRPr="00407D43">
              <w:rPr>
                <w:b/>
                <w:i/>
              </w:rPr>
              <w:t>Le</w:t>
            </w:r>
            <w:r w:rsidRPr="00407D43">
              <w:t xml:space="preserve"> non-paiement des frais de stationnement et </w:t>
            </w:r>
            <w:r w:rsidRPr="00407D43">
              <w:rPr>
                <w:b/>
                <w:i/>
              </w:rPr>
              <w:t>les</w:t>
            </w:r>
            <w:r w:rsidRPr="00407D43">
              <w:t xml:space="preserve"> autres infractions similaires</w:t>
            </w:r>
            <w:r w:rsidRPr="00407D43">
              <w:rPr>
                <w:b/>
                <w:i/>
              </w:rPr>
              <w:t xml:space="preserve"> ne consti</w:t>
            </w:r>
            <w:r w:rsidRPr="00407D43">
              <w:rPr>
                <w:b/>
                <w:i/>
              </w:rPr>
              <w:t xml:space="preserve">tuent </w:t>
            </w:r>
            <w:r w:rsidRPr="00407D43">
              <w:rPr>
                <w:b/>
                <w:i/>
              </w:rPr>
              <w:lastRenderedPageBreak/>
              <w:t>pas des stationnements dangereux</w:t>
            </w:r>
            <w:r w:rsidRPr="00407D43">
              <w:t>;</w:t>
            </w:r>
          </w:p>
        </w:tc>
        <w:tc>
          <w:tcPr>
            <w:tcW w:w="4876" w:type="dxa"/>
            <w:hideMark/>
          </w:tcPr>
          <w:p w:rsidR="0086407D" w:rsidRPr="00407D43" w:rsidRDefault="00407D43" w:rsidP="00982395">
            <w:pPr>
              <w:pStyle w:val="Normal6"/>
              <w:rPr>
                <w:szCs w:val="24"/>
              </w:rPr>
            </w:pPr>
            <w:r w:rsidRPr="00407D43">
              <w:lastRenderedPageBreak/>
              <w:t>q)</w:t>
            </w:r>
            <w:r w:rsidRPr="00407D43">
              <w:tab/>
              <w:t xml:space="preserve">“stationnement </w:t>
            </w:r>
            <w:r w:rsidRPr="00407D43">
              <w:rPr>
                <w:b/>
                <w:i/>
              </w:rPr>
              <w:t>dangereux à un endroit où cela n’est pas autorisé, créant un risque grave pour les autres usagers de la route”</w:t>
            </w:r>
            <w:r w:rsidRPr="00407D43">
              <w:t>, le stationnement d’un véhicule d’une manière qui enfreint les règles applicables en ma</w:t>
            </w:r>
            <w:r w:rsidRPr="00407D43">
              <w:t xml:space="preserve">tière de stationnement dangereux dans l’État membre de </w:t>
            </w:r>
            <w:r w:rsidRPr="00407D43">
              <w:lastRenderedPageBreak/>
              <w:t>l’infraction</w:t>
            </w:r>
            <w:r w:rsidRPr="00407D43">
              <w:rPr>
                <w:b/>
                <w:i/>
              </w:rPr>
              <w:t xml:space="preserve"> et compromet la sécurité routière, à l’exception du</w:t>
            </w:r>
            <w:r w:rsidRPr="00407D43">
              <w:t xml:space="preserve"> non-paiement des frais de stationnement et </w:t>
            </w:r>
            <w:r w:rsidRPr="00407D43">
              <w:rPr>
                <w:b/>
                <w:i/>
              </w:rPr>
              <w:t>des</w:t>
            </w:r>
            <w:r w:rsidRPr="00407D43">
              <w:t xml:space="preserve"> autres infractions similaires;</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33</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2 – sous-point c</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3 – alinéa 1 – point r</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r)</w:t>
            </w:r>
            <w:r w:rsidRPr="00407D43">
              <w:tab/>
            </w:r>
            <w:r w:rsidRPr="00407D43">
              <w:t xml:space="preserve">«franchissement d’une ou de plusieurs lignes </w:t>
            </w:r>
            <w:r w:rsidRPr="00407D43">
              <w:rPr>
                <w:b/>
                <w:i/>
              </w:rPr>
              <w:t>blanches</w:t>
            </w:r>
            <w:r w:rsidRPr="00407D43">
              <w:t xml:space="preserve"> continues», un changement de voie au cours duquel un véhicule franchit illégalement au moins une ligne </w:t>
            </w:r>
            <w:r w:rsidRPr="00407D43">
              <w:rPr>
                <w:b/>
                <w:i/>
              </w:rPr>
              <w:t>blanche</w:t>
            </w:r>
            <w:r w:rsidRPr="00407D43">
              <w:t xml:space="preserve"> continue, au sens du droit de l’État membre de l’infraction;</w:t>
            </w:r>
          </w:p>
        </w:tc>
        <w:tc>
          <w:tcPr>
            <w:tcW w:w="4876" w:type="dxa"/>
            <w:hideMark/>
          </w:tcPr>
          <w:p w:rsidR="0086407D" w:rsidRPr="00407D43" w:rsidRDefault="00407D43" w:rsidP="00982395">
            <w:pPr>
              <w:pStyle w:val="Normal6"/>
              <w:rPr>
                <w:szCs w:val="24"/>
              </w:rPr>
            </w:pPr>
            <w:r w:rsidRPr="00407D43">
              <w:t>r)</w:t>
            </w:r>
            <w:r w:rsidRPr="00407D43">
              <w:tab/>
              <w:t>«franchissement d’une ou de</w:t>
            </w:r>
            <w:r w:rsidRPr="00407D43">
              <w:t xml:space="preserve"> plusieurs lignes continues», un changement de voie au cours duquel un véhicule franchit illégalement au moins une ligne continue, au sens du droit de l’État membre de l’infraction;</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34</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2 – sous-point c</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3 – alinéa 1 – point t bis (nouveau)</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w:t>
            </w:r>
            <w:r w:rsidRPr="00407D43">
              <w:t>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t bis)</w:t>
            </w:r>
            <w:r w:rsidRPr="00407D43">
              <w:rPr>
                <w:b/>
                <w:i/>
              </w:rPr>
              <w:tab/>
              <w:t>«délit de fuite», une situation dans laquelle l’auteur d’une infraction quitte les lieux après avoir provoqué un accident ou une collision, afin d’éviter les conséquences pénales de l’infraction liée à des blessures graves ou à des décès;</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35</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2 – sous-point c</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3 – alinéa 1 – point z bis (nouveau)</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z bis)</w:t>
            </w:r>
            <w:r w:rsidRPr="00407D43">
              <w:rPr>
                <w:b/>
                <w:i/>
              </w:rPr>
              <w:tab/>
            </w:r>
            <w:r w:rsidRPr="00407D43">
              <w:rPr>
                <w:b/>
                <w:i/>
              </w:rPr>
              <w:t>«prestataire de services de recouvrement de créances», une entité privée dotée d’une personnalité juridique distincte pour administrer les poursuites, ou une partie de celles-ci, engagées en vertu de l’article 5, paragraphe 1, y compris l’exécution des san</w:t>
            </w:r>
            <w:r w:rsidRPr="00407D43">
              <w:rPr>
                <w:b/>
                <w:i/>
              </w:rPr>
              <w:t>ctions pécuniaires, accréditée auprès d’un point de contact national pour demander des données d’immatriculation de véhicules, et soumise au règlement (UE) 2016/679 et à la directive (UE) 2016/680;</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36</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2 – sous-point c</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3 – alinéa 1 – point z ter (nouveau)</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z ter)</w:t>
            </w:r>
            <w:r w:rsidRPr="00407D43">
              <w:rPr>
                <w:b/>
                <w:i/>
              </w:rPr>
              <w:tab/>
              <w:t>«autorité compétente», une autorité désignée aux fins de la présente directive;</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37</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3</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3 bis – paragraphe 1</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1.</w:t>
            </w:r>
            <w:r w:rsidRPr="00407D43">
              <w:tab/>
              <w:t xml:space="preserve">Aux fins de l’échange des informations </w:t>
            </w:r>
            <w:r w:rsidRPr="00407D43">
              <w:rPr>
                <w:b/>
                <w:i/>
              </w:rPr>
              <w:t>visées</w:t>
            </w:r>
            <w:r w:rsidRPr="00407D43">
              <w:t xml:space="preserve"> dans la présente directive, chaque État membre désigne un point de contact national. Les attributions des points de contact nationaux sont régies par le droit applicable de l’État membre concerné.</w:t>
            </w:r>
          </w:p>
        </w:tc>
        <w:tc>
          <w:tcPr>
            <w:tcW w:w="4876" w:type="dxa"/>
            <w:hideMark/>
          </w:tcPr>
          <w:p w:rsidR="0086407D" w:rsidRPr="00407D43" w:rsidRDefault="00407D43" w:rsidP="00982395">
            <w:pPr>
              <w:pStyle w:val="Normal6"/>
              <w:rPr>
                <w:szCs w:val="24"/>
              </w:rPr>
            </w:pPr>
            <w:r w:rsidRPr="00407D43">
              <w:t>1.</w:t>
            </w:r>
            <w:r w:rsidRPr="00407D43">
              <w:tab/>
              <w:t xml:space="preserve">Aux fins de l’échange des informations </w:t>
            </w:r>
            <w:r w:rsidRPr="00407D43">
              <w:rPr>
                <w:b/>
                <w:i/>
              </w:rPr>
              <w:t>et de la fournit</w:t>
            </w:r>
            <w:r w:rsidRPr="00407D43">
              <w:rPr>
                <w:b/>
                <w:i/>
              </w:rPr>
              <w:t>ure d’assistance mutuelle visés</w:t>
            </w:r>
            <w:r w:rsidRPr="00407D43">
              <w:t xml:space="preserve"> dans la présente directive, chaque État membre désigne un point de contact national. Les attributions des points de contact nationaux sont régies par le droit applicable de l’État </w:t>
            </w:r>
            <w:r w:rsidRPr="00407D43">
              <w:lastRenderedPageBreak/>
              <w:t>membre concerné.</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38</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4</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4 – paragraphe 1 – alinéa 1 – point b</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b)</w:t>
            </w:r>
            <w:r w:rsidRPr="00407D43">
              <w:tab/>
              <w:t>les données relatives aux propriétaires, aux détenteurs ou</w:t>
            </w:r>
            <w:r w:rsidRPr="00407D43">
              <w:rPr>
                <w:b/>
                <w:i/>
              </w:rPr>
              <w:t xml:space="preserve"> aux utilisateurs finaux des véhicules si elles sont disponibles</w:t>
            </w:r>
            <w:r w:rsidRPr="00407D43">
              <w:t>.</w:t>
            </w:r>
          </w:p>
        </w:tc>
        <w:tc>
          <w:tcPr>
            <w:tcW w:w="4876" w:type="dxa"/>
            <w:hideMark/>
          </w:tcPr>
          <w:p w:rsidR="0086407D" w:rsidRPr="00407D43" w:rsidRDefault="00407D43" w:rsidP="00982395">
            <w:pPr>
              <w:pStyle w:val="Normal6"/>
              <w:rPr>
                <w:szCs w:val="24"/>
              </w:rPr>
            </w:pPr>
            <w:r w:rsidRPr="00407D43">
              <w:t>b)</w:t>
            </w:r>
            <w:r w:rsidRPr="00407D43">
              <w:tab/>
              <w:t>les données relatives aux propriétaires, aux détenteurs ou</w:t>
            </w:r>
            <w:r w:rsidRPr="00407D43">
              <w:rPr>
                <w:b/>
                <w:i/>
              </w:rPr>
              <w:t>, le cas échéant et selo</w:t>
            </w:r>
            <w:r w:rsidRPr="00407D43">
              <w:rPr>
                <w:b/>
                <w:i/>
              </w:rPr>
              <w:t>n leur disponibilité, les données permettant l’identification des utilisateurs finaux des véhicules</w:t>
            </w:r>
            <w:r w:rsidRPr="00407D43">
              <w:t>.</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39</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4</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4 – paragraphe 1 – alinéa 3 bis (nouveau)</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Une autorité compétente peut d’abord demander l’accès aux données relatives aux véhicules, comme indiqué à la section 2, partie I, de l’annexe afin de déterminer si une infraction a été commise. Lorsqu’une infraction est établie sur la base de ces données,</w:t>
            </w:r>
            <w:r w:rsidRPr="00407D43">
              <w:rPr>
                <w:b/>
                <w:i/>
              </w:rPr>
              <w:t xml:space="preserve"> l’autorité compétente demande l’accès aux données relatives aux propriétaires, aux détenteurs ou aux utilisateurs finaux des véhicules, conformément à la section 2, parties II, III, IV ou V, de l’annexe.</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40</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4</w:t>
      </w:r>
      <w:r w:rsidRPr="00407D43">
        <w:rPr>
          <w:rStyle w:val="HideTWBExt"/>
          <w:b w:val="0"/>
        </w:rPr>
        <w:t>&lt;/Article&gt;</w:t>
      </w:r>
    </w:p>
    <w:p w:rsidR="0086407D" w:rsidRPr="00407D43" w:rsidRDefault="00407D43" w:rsidP="0086407D">
      <w:pPr>
        <w:keepNext/>
      </w:pPr>
      <w:r w:rsidRPr="00407D43">
        <w:rPr>
          <w:rStyle w:val="HideTWBExt"/>
        </w:rPr>
        <w:lastRenderedPageBreak/>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4 – paragraphe 3</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3.</w:t>
            </w:r>
            <w:r w:rsidRPr="00407D43">
              <w:tab/>
              <w:t xml:space="preserve">Les États membres </w:t>
            </w:r>
            <w:r w:rsidRPr="00407D43">
              <w:t>conservent dans les registres nationaux des véhicules les éléments des données visés dans la section 2, partie IV, de l’annexe et, s’ils sont disponibles, dans la section 2, partie V, de celle-ci, pendant au moins 6 mois après toute modification de la prop</w:t>
            </w:r>
            <w:r w:rsidRPr="00407D43">
              <w:t>riété ou de l’utilisation du véhicule concerné.</w:t>
            </w:r>
          </w:p>
        </w:tc>
        <w:tc>
          <w:tcPr>
            <w:tcW w:w="4876" w:type="dxa"/>
            <w:hideMark/>
          </w:tcPr>
          <w:p w:rsidR="0086407D" w:rsidRPr="00407D43" w:rsidRDefault="00407D43" w:rsidP="00982395">
            <w:pPr>
              <w:pStyle w:val="Normal6"/>
              <w:rPr>
                <w:szCs w:val="24"/>
              </w:rPr>
            </w:pPr>
            <w:r w:rsidRPr="00407D43">
              <w:t>3.</w:t>
            </w:r>
            <w:r w:rsidRPr="00407D43">
              <w:tab/>
              <w:t xml:space="preserve">Les États membres conservent dans les registres nationaux des véhicules les éléments des données visés dans la section 2, partie IV, de l’annexe et, s’ils sont disponibles, dans la section 2, partie V, de </w:t>
            </w:r>
            <w:r w:rsidRPr="00407D43">
              <w:t>celle-ci, pendant au moins 6 mois après toute modification de la propriété ou de l’utilisation du véhicule concerné</w:t>
            </w:r>
            <w:r w:rsidRPr="00407D43">
              <w:rPr>
                <w:b/>
                <w:i/>
              </w:rPr>
              <w:t>, et pendant quatre ans au maximum</w:t>
            </w:r>
            <w:r w:rsidRPr="00407D43">
              <w:t>.</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41</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4</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4 – paragraphe 4 – alinéa 1 – point b</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b)</w:t>
            </w:r>
            <w:r w:rsidRPr="00407D43">
              <w:tab/>
            </w:r>
            <w:r w:rsidRPr="00407D43">
              <w:t>le numéro d’immatriculation complet du véhicule n’est pas renseigné dans la recherche effectuée sous la forme d’une demande sortante conformément au paragraphe 1;</w:t>
            </w:r>
          </w:p>
        </w:tc>
        <w:tc>
          <w:tcPr>
            <w:tcW w:w="4876" w:type="dxa"/>
            <w:hideMark/>
          </w:tcPr>
          <w:p w:rsidR="0086407D" w:rsidRPr="00407D43" w:rsidRDefault="00407D43" w:rsidP="00982395">
            <w:pPr>
              <w:pStyle w:val="Normal6"/>
              <w:rPr>
                <w:szCs w:val="24"/>
              </w:rPr>
            </w:pPr>
            <w:r w:rsidRPr="00407D43">
              <w:t>b)</w:t>
            </w:r>
            <w:r w:rsidRPr="00407D43">
              <w:tab/>
              <w:t>le numéro d’immatriculation complet du véhicule n’est pas renseigné dans la recherche effe</w:t>
            </w:r>
            <w:r w:rsidRPr="00407D43">
              <w:t xml:space="preserve">ctuée sous la forme d’une demande sortante conformément au paragraphe 1 </w:t>
            </w:r>
            <w:r w:rsidRPr="00407D43">
              <w:rPr>
                <w:b/>
                <w:i/>
              </w:rPr>
              <w:t>ou le numéro renseigné est invalide</w:t>
            </w:r>
            <w:r w:rsidRPr="00407D43">
              <w:t>;</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42</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5</w:t>
      </w:r>
      <w:r w:rsidRPr="00407D43">
        <w:rPr>
          <w:rStyle w:val="HideTWBExt"/>
          <w:b w:val="0"/>
        </w:rPr>
        <w:t>&lt;/Article&gt;</w:t>
      </w:r>
    </w:p>
    <w:p w:rsidR="0086407D" w:rsidRPr="00407D43" w:rsidRDefault="00407D43" w:rsidP="0086407D">
      <w:pPr>
        <w:keepNext/>
      </w:pPr>
      <w:r w:rsidRPr="00407D43">
        <w:rPr>
          <w:rStyle w:val="HideTWBExt"/>
        </w:rPr>
        <w:t>&lt;Do</w:t>
      </w:r>
      <w:r w:rsidRPr="00407D43">
        <w:rPr>
          <w:rStyle w:val="HideTWBExt"/>
        </w:rPr>
        <w:t>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4 bis – paragraphe 3 – alinéa 2 – point b</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b)</w:t>
            </w:r>
            <w:r w:rsidRPr="00407D43">
              <w:tab/>
            </w:r>
            <w:r w:rsidRPr="00407D43">
              <w:t xml:space="preserve">de demander au propriétaire, au détenteur ou à l’utilisateur final du véhicule, ou à toute personne présumée responsable de l’une des infractions en matière de sécurité routière énumérées à </w:t>
            </w:r>
            <w:r w:rsidRPr="00407D43">
              <w:lastRenderedPageBreak/>
              <w:t>l’article 2, paragraphe 1, de fournir des informations sur l’ident</w:t>
            </w:r>
            <w:r w:rsidRPr="00407D43">
              <w:t>ité de la personne responsable, conformément à son droit national.</w:t>
            </w:r>
          </w:p>
        </w:tc>
        <w:tc>
          <w:tcPr>
            <w:tcW w:w="4876" w:type="dxa"/>
            <w:hideMark/>
          </w:tcPr>
          <w:p w:rsidR="0086407D" w:rsidRPr="00407D43" w:rsidRDefault="00407D43" w:rsidP="00982395">
            <w:pPr>
              <w:pStyle w:val="Normal6"/>
              <w:rPr>
                <w:szCs w:val="24"/>
              </w:rPr>
            </w:pPr>
            <w:r w:rsidRPr="00407D43">
              <w:lastRenderedPageBreak/>
              <w:t>b)</w:t>
            </w:r>
            <w:r w:rsidRPr="00407D43">
              <w:tab/>
              <w:t>de demander au propriétaire, au détenteur ou à l’utilisateur final du véhicule, ou à toute personne présumée responsable de l’une des infractions en matière de sécurité routière énumérée</w:t>
            </w:r>
            <w:r w:rsidRPr="00407D43">
              <w:t xml:space="preserve">s à </w:t>
            </w:r>
            <w:r w:rsidRPr="00407D43">
              <w:lastRenderedPageBreak/>
              <w:t xml:space="preserve">l’article 2, paragraphe 1, de fournir des informations sur l’identité </w:t>
            </w:r>
            <w:r w:rsidRPr="00407D43">
              <w:rPr>
                <w:b/>
                <w:i/>
              </w:rPr>
              <w:t xml:space="preserve">et les coordonnées </w:t>
            </w:r>
            <w:r w:rsidRPr="00407D43">
              <w:t>de la personne responsable, conformément à son droit national.</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43</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w:t>
      </w:r>
      <w:r w:rsidRPr="00407D43">
        <w:rPr>
          <w:rStyle w:val="HideTWBExt"/>
          <w:b w:val="0"/>
        </w:rPr>
        <w:t>le&gt;</w:t>
      </w:r>
      <w:r w:rsidRPr="00407D43">
        <w:t>Article 1 – alinéa 1 – point 5</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4 bis – paragraphe 4 – alinéa 1</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Lorsque l’État membre d’immatriculation ou l’État membre de résidence reçoit une demande conformément au paragraphe 3, il recueille les informations demandées, à moins qu’il ne décide d’invoquer l’un des motifs de refus énumérés au paragraphe 7, ou qu’il n</w:t>
            </w:r>
            <w:r w:rsidRPr="00407D43">
              <w:t xml:space="preserve">e soit pas possible de recueillir les informations demandées. L’État membre d’immatriculation ou l’État membre de résidence, par l’intermédiaire de son point de contact national, transmet au point de contact national de l’État membre de l’infraction, dans </w:t>
            </w:r>
            <w:r w:rsidRPr="00407D43">
              <w:rPr>
                <w:b/>
                <w:i/>
              </w:rPr>
              <w:t>les meilleurs délais</w:t>
            </w:r>
            <w:r w:rsidRPr="00407D43">
              <w:t xml:space="preserve"> et sous une forme électronique, les informations demandées.</w:t>
            </w:r>
          </w:p>
        </w:tc>
        <w:tc>
          <w:tcPr>
            <w:tcW w:w="4876" w:type="dxa"/>
            <w:hideMark/>
          </w:tcPr>
          <w:p w:rsidR="0086407D" w:rsidRPr="00407D43" w:rsidRDefault="00407D43" w:rsidP="00982395">
            <w:pPr>
              <w:pStyle w:val="Normal6"/>
              <w:rPr>
                <w:szCs w:val="24"/>
              </w:rPr>
            </w:pPr>
            <w:r w:rsidRPr="00407D43">
              <w:t>Lorsque l’État membre d’immatriculation ou l’État membre de résidence reçoit une demande conformément au paragraphe 3, il recueille les informations demandées, à moins qu’il n</w:t>
            </w:r>
            <w:r w:rsidRPr="00407D43">
              <w:t>e décide d’invoquer l’un des motifs de refus énumérés au paragraphe 7, ou qu’il ne soit pas possible de recueillir les informations demandées. L’État membre d’immatriculation ou l’État membre de résidence, par l’intermédiaire de son point de contact nation</w:t>
            </w:r>
            <w:r w:rsidRPr="00407D43">
              <w:t xml:space="preserve">al, transmet au point de contact national de l’État membre de l’infraction, dans </w:t>
            </w:r>
            <w:r w:rsidRPr="00407D43">
              <w:rPr>
                <w:b/>
                <w:i/>
              </w:rPr>
              <w:t>un délai ne dépassant pas 30 jours ouvrables</w:t>
            </w:r>
            <w:r w:rsidRPr="00407D43">
              <w:t xml:space="preserve"> et sous une forme électronique, les informations demandées.</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44</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 xml:space="preserve">Proposition </w:t>
      </w:r>
      <w:r w:rsidRPr="00407D43">
        <w:t>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5</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4 bis – paragraphe 5 – alinéas 1 et 2</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Les États membres veillent à fournir les informations demandées dans les meilleurs délais à compter de la réception de la demande.</w:t>
            </w:r>
          </w:p>
        </w:tc>
        <w:tc>
          <w:tcPr>
            <w:tcW w:w="4876" w:type="dxa"/>
            <w:hideMark/>
          </w:tcPr>
          <w:p w:rsidR="0086407D" w:rsidRPr="00407D43" w:rsidRDefault="00407D43" w:rsidP="00982395">
            <w:pPr>
              <w:pStyle w:val="Normal6"/>
              <w:rPr>
                <w:b/>
                <w:i/>
              </w:rPr>
            </w:pPr>
            <w:r w:rsidRPr="00407D43">
              <w:t>Les États membres veillent à fournir les informations demandées dans les meilleurs délais à compter de la réception de la dem</w:t>
            </w:r>
            <w:r w:rsidRPr="00407D43">
              <w:t>ande</w:t>
            </w:r>
            <w:r w:rsidRPr="00407D43">
              <w:rPr>
                <w:b/>
                <w:i/>
              </w:rPr>
              <w:t xml:space="preserve">, et dans un délai ne dépassant pas 30 jours ouvrables. </w:t>
            </w:r>
            <w:r w:rsidRPr="00407D43">
              <w:t xml:space="preserve">Lorsqu’il ne leur est pas possible de recueillir les </w:t>
            </w:r>
            <w:r w:rsidRPr="00407D43">
              <w:lastRenderedPageBreak/>
              <w:t xml:space="preserve">informations </w:t>
            </w:r>
            <w:r w:rsidRPr="00407D43">
              <w:rPr>
                <w:b/>
                <w:i/>
              </w:rPr>
              <w:t>dans un délai ne dépassant pas 30 jours ouvrables</w:t>
            </w:r>
            <w:r w:rsidRPr="00407D43">
              <w:t xml:space="preserve"> à compter de la réception de la demande, le point de contact national de l’État </w:t>
            </w:r>
            <w:r w:rsidRPr="00407D43">
              <w:t xml:space="preserve">membre d’immatriculation ou de l’État membre de résidence transmet ces informations à l’État membre de l’infraction dès que possible, </w:t>
            </w:r>
            <w:r w:rsidRPr="00407D43">
              <w:rPr>
                <w:b/>
                <w:i/>
              </w:rPr>
              <w:t>dans un délai qui ne doit pas dépasser 20 jours ouvrables à compter de la notification desdites raisons</w:t>
            </w:r>
            <w:r w:rsidRPr="00407D43">
              <w:t xml:space="preserve"> en expliquant dûme</w:t>
            </w:r>
            <w:r w:rsidRPr="00407D43">
              <w:t>nt les raisons de ce retard.</w:t>
            </w:r>
          </w:p>
        </w:tc>
      </w:tr>
      <w:tr w:rsidR="005C37AD" w:rsidRPr="00407D43" w:rsidTr="00982395">
        <w:trPr>
          <w:jc w:val="center"/>
        </w:trPr>
        <w:tc>
          <w:tcPr>
            <w:tcW w:w="4876" w:type="dxa"/>
          </w:tcPr>
          <w:p w:rsidR="0086407D" w:rsidRPr="00407D43" w:rsidRDefault="00407D43" w:rsidP="00982395">
            <w:pPr>
              <w:pStyle w:val="Normal6"/>
            </w:pPr>
            <w:r w:rsidRPr="00407D43">
              <w:lastRenderedPageBreak/>
              <w:t xml:space="preserve">Lorsqu’il ne leur est pas possible de recueillir les informations </w:t>
            </w:r>
            <w:r w:rsidRPr="00407D43">
              <w:rPr>
                <w:b/>
                <w:i/>
              </w:rPr>
              <w:t>dans les meilleurs délais</w:t>
            </w:r>
            <w:r w:rsidRPr="00407D43">
              <w:t xml:space="preserve"> à compter de la réception de la demande, le point de contact national de l’État membre d’immatriculation ou de l’État membre de réside</w:t>
            </w:r>
            <w:r w:rsidRPr="00407D43">
              <w:t>nce transmet ces informations à l’État membre de l’infraction dès que possible, en expliquant dûment les raisons de ce retard.</w:t>
            </w:r>
          </w:p>
        </w:tc>
        <w:tc>
          <w:tcPr>
            <w:tcW w:w="4876" w:type="dxa"/>
          </w:tcPr>
          <w:p w:rsidR="0086407D" w:rsidRPr="00407D43" w:rsidRDefault="0086407D" w:rsidP="00982395">
            <w:pPr>
              <w:pStyle w:val="Normal6"/>
            </w:pP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45</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5</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4 bis – paragraphe 7 – alinéa 2</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Les États membres décident dès que possible, en tout état de cause au plus tard dans les 15 jours suivant la réception de la demande, de l’opportunité d’invoquer un motif de refus. Les États membres qui décident d’appliquer un motif de refus en informent l</w:t>
            </w:r>
            <w:r w:rsidRPr="00407D43">
              <w:t xml:space="preserve">’État membre de l’infraction par l’intermédiaire de leur point de contact national </w:t>
            </w:r>
            <w:r w:rsidRPr="00407D43">
              <w:rPr>
                <w:b/>
                <w:i/>
              </w:rPr>
              <w:t>dans les meilleurs délais</w:t>
            </w:r>
            <w:r w:rsidRPr="00407D43">
              <w:t>.</w:t>
            </w:r>
          </w:p>
        </w:tc>
        <w:tc>
          <w:tcPr>
            <w:tcW w:w="4876" w:type="dxa"/>
            <w:hideMark/>
          </w:tcPr>
          <w:p w:rsidR="0086407D" w:rsidRPr="00407D43" w:rsidRDefault="00407D43" w:rsidP="00982395">
            <w:pPr>
              <w:pStyle w:val="Normal6"/>
              <w:rPr>
                <w:szCs w:val="24"/>
              </w:rPr>
            </w:pPr>
            <w:r w:rsidRPr="00407D43">
              <w:t>Les États membres décident dès que possible, en tout état de cause au plus tard dans les 15 jours suivant la réception de la demande, de l’opportu</w:t>
            </w:r>
            <w:r w:rsidRPr="00407D43">
              <w:t xml:space="preserve">nité d’invoquer un motif de refus. Les États membres qui décident d’appliquer un motif de refus en informent l’État membre de l’infraction par l’intermédiaire de leur point de contact national, </w:t>
            </w:r>
            <w:r w:rsidRPr="00407D43">
              <w:rPr>
                <w:b/>
                <w:i/>
              </w:rPr>
              <w:t>au plus tard quinze jours ouvrables après la décision de rejet</w:t>
            </w:r>
            <w:r w:rsidRPr="00407D43">
              <w:rPr>
                <w:b/>
                <w:i/>
              </w:rPr>
              <w:t xml:space="preserve"> de la demande</w:t>
            </w:r>
            <w:r w:rsidRPr="00407D43">
              <w:t xml:space="preserve">. </w:t>
            </w:r>
            <w:r w:rsidRPr="00407D43">
              <w:rPr>
                <w:b/>
                <w:i/>
              </w:rPr>
              <w:t>Les États membres ayant reçu une demande indiquent au moins le motif de refus spécifique qu’ils décident d’appliquer.</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lastRenderedPageBreak/>
        <w:t>&lt;Amend&gt;</w:t>
      </w:r>
      <w:r w:rsidRPr="00407D43">
        <w:t>Amendement</w:t>
      </w:r>
      <w:r w:rsidRPr="00407D43">
        <w:tab/>
      </w:r>
      <w:r w:rsidRPr="00407D43">
        <w:tab/>
      </w:r>
      <w:r w:rsidRPr="00407D43">
        <w:rPr>
          <w:rStyle w:val="HideTWBExt"/>
          <w:b w:val="0"/>
        </w:rPr>
        <w:t>&lt;NumAm&gt;</w:t>
      </w:r>
      <w:r w:rsidRPr="00407D43">
        <w:t>46</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w:t>
      </w:r>
      <w:r w:rsidRPr="00407D43">
        <w:t>1 – point 5</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4 bis – paragraphe 10 – alinéa 2</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Les informations fournies en réponse à la demande sont communiquées dans la ou les langues de l’État membre de l’infraction notifiées à la Commission conformément à l’article 5 bis, paragraphe 8.</w:t>
            </w:r>
          </w:p>
        </w:tc>
        <w:tc>
          <w:tcPr>
            <w:tcW w:w="4876" w:type="dxa"/>
            <w:hideMark/>
          </w:tcPr>
          <w:p w:rsidR="0086407D" w:rsidRPr="00407D43" w:rsidRDefault="00407D43" w:rsidP="00982395">
            <w:pPr>
              <w:pStyle w:val="Normal6"/>
              <w:rPr>
                <w:szCs w:val="24"/>
              </w:rPr>
            </w:pPr>
            <w:r w:rsidRPr="00407D43">
              <w:t>Les informations fournies en réponse à la demande sont commu</w:t>
            </w:r>
            <w:r w:rsidRPr="00407D43">
              <w:t xml:space="preserve">niquées dans la ou les langues de l’État membre de l’infraction notifiées à la Commission conformément à l’article 5 bis, paragraphe 8. </w:t>
            </w:r>
            <w:r w:rsidRPr="00407D43">
              <w:rPr>
                <w:b/>
                <w:i/>
              </w:rPr>
              <w:t>En outre, et en vue de réduire la charge administrative et de simplifier la procédure, la Commission peut introduire des</w:t>
            </w:r>
            <w:r w:rsidRPr="00407D43">
              <w:rPr>
                <w:b/>
                <w:i/>
              </w:rPr>
              <w:t xml:space="preserve"> modèles uniformes, qui peuvent également inclure des codes lorsqu’ils sont jugés suffisamment développés, à condition que le contenu et le format de la demande et de la réponse restent suffisamment clairs pour permettre aux destinataires et aux autorités </w:t>
            </w:r>
            <w:r w:rsidRPr="00407D43">
              <w:rPr>
                <w:b/>
                <w:i/>
              </w:rPr>
              <w:t>de les comprendre clairement et facilement. Si la Commission fait ce choix, elle est habilitée à adopter des actes délégués conformément à l’article 10 afin d’introduire ces modèles et codes.</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47</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w:t>
      </w:r>
      <w:r w:rsidRPr="00407D43">
        <w:t>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5</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4 bis – paragraphe 11 – point a bis (nouveau)</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a bis)</w:t>
            </w:r>
            <w:r w:rsidRPr="00407D43">
              <w:rPr>
                <w:b/>
                <w:i/>
              </w:rPr>
              <w:tab/>
            </w:r>
            <w:r w:rsidRPr="00407D43">
              <w:rPr>
                <w:b/>
                <w:i/>
              </w:rPr>
              <w:t xml:space="preserve"> le nom de l’autorité compétente qui présente la demande et le motif de cette demande;</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48</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lastRenderedPageBreak/>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5</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4 bis – paragraphe 11 – point a ter (nouveau)</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a ter)</w:t>
            </w:r>
            <w:r w:rsidRPr="00407D43">
              <w:rPr>
                <w:b/>
                <w:i/>
              </w:rPr>
              <w:tab/>
              <w:t xml:space="preserve"> l’infraction ou les infractions énumérées à l’article 2, premier alinéa, sur lesquelles po</w:t>
            </w:r>
            <w:r w:rsidRPr="00407D43">
              <w:rPr>
                <w:b/>
                <w:i/>
              </w:rPr>
              <w:t>rte la demande;</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&lt;AmendB&gt;</w:t>
      </w:r>
      <w:r w:rsidRPr="00407D43">
        <w:t>Amendement</w:t>
      </w:r>
      <w:r w:rsidRPr="00407D43">
        <w:tab/>
      </w:r>
      <w:r w:rsidRPr="00407D43">
        <w:tab/>
      </w:r>
      <w:r w:rsidRPr="00407D43">
        <w:rPr>
          <w:rStyle w:val="HideTWBExt"/>
          <w:b w:val="0"/>
        </w:rPr>
        <w:t>&lt;NumAmB&gt;</w:t>
      </w:r>
      <w:r w:rsidRPr="00407D43">
        <w:t>49</w:t>
      </w:r>
      <w:r w:rsidRPr="00407D43">
        <w:rPr>
          <w:rStyle w:val="HideTWBExt"/>
          <w:b w:val="0"/>
        </w:rPr>
        <w:t>&lt;/NumAmB&gt;</w:t>
      </w:r>
    </w:p>
    <w:p w:rsidR="0086407D" w:rsidRPr="00407D43" w:rsidRDefault="00407D43" w:rsidP="0086407D">
      <w:pPr>
        <w:pStyle w:val="NormalBold12b"/>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5</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4 quater – alinéa 1</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Les États membres peuvent, dans le seul but d'identifier la personne responsable, échanger des données ou accéder à des données à l’aide d’autres bases de données telles que les registres des permis de conduire ou les registres de population. Ils n’ont cet</w:t>
            </w:r>
            <w:r w:rsidRPr="00407D43">
              <w:t xml:space="preserve">te faculté que dans la mesure où cet échange ou cet accès </w:t>
            </w:r>
            <w:r w:rsidRPr="00407D43">
              <w:rPr>
                <w:b/>
                <w:i/>
              </w:rPr>
              <w:t>sont explicitement fondés sur</w:t>
            </w:r>
            <w:r w:rsidRPr="00407D43">
              <w:t xml:space="preserve"> la législation de l’Union.»;</w:t>
            </w:r>
          </w:p>
        </w:tc>
        <w:tc>
          <w:tcPr>
            <w:tcW w:w="4876" w:type="dxa"/>
            <w:hideMark/>
          </w:tcPr>
          <w:p w:rsidR="0086407D" w:rsidRPr="00407D43" w:rsidRDefault="00407D43" w:rsidP="00982395">
            <w:pPr>
              <w:pStyle w:val="Normal6"/>
              <w:rPr>
                <w:szCs w:val="24"/>
              </w:rPr>
            </w:pPr>
            <w:r w:rsidRPr="00407D43">
              <w:t>Les États membres peuvent, dans le seul but d'identifier la personne responsable, échanger des données ou accéder à des données à l’aide d’</w:t>
            </w:r>
            <w:r w:rsidRPr="00407D43">
              <w:t xml:space="preserve">autres bases de données telles que les registres des permis de conduire ou les registres de population. Ils n’ont cette faculté que dans la mesure où cet échange ou cet accès </w:t>
            </w:r>
            <w:r w:rsidRPr="00407D43">
              <w:rPr>
                <w:b/>
                <w:i/>
              </w:rPr>
              <w:t>est autorisé par</w:t>
            </w:r>
            <w:r w:rsidRPr="00407D43">
              <w:t xml:space="preserve"> la législation de l’Union</w:t>
            </w:r>
            <w:r w:rsidRPr="00407D43">
              <w:rPr>
                <w:b/>
                <w:i/>
              </w:rPr>
              <w:t>.</w:t>
            </w:r>
            <w:r w:rsidRPr="00407D43">
              <w:t xml:space="preserve"> </w:t>
            </w:r>
            <w:r w:rsidRPr="00407D43">
              <w:rPr>
                <w:b/>
                <w:i/>
              </w:rPr>
              <w:t>L’échange de données ou l’accès à cel</w:t>
            </w:r>
            <w:r w:rsidRPr="00407D43">
              <w:rPr>
                <w:b/>
                <w:i/>
              </w:rPr>
              <w:t>les-ci est rendu possible par des moyens automatisés et électroniques</w:t>
            </w:r>
            <w:r w:rsidRPr="00407D43">
              <w:t>.»;</w:t>
            </w:r>
          </w:p>
        </w:tc>
      </w:tr>
    </w:tbl>
    <w:p w:rsidR="0086407D" w:rsidRPr="00407D43" w:rsidRDefault="00407D43" w:rsidP="0086407D">
      <w:pPr>
        <w:pStyle w:val="JustificationTitle"/>
        <w:rPr>
          <w:noProof w:val="0"/>
        </w:rPr>
      </w:pPr>
      <w:r w:rsidRPr="00407D43">
        <w:rPr>
          <w:rStyle w:val="HideTWBExt"/>
          <w:i w:val="0"/>
        </w:rPr>
        <w:t>&lt;TitreJust&gt;</w:t>
      </w:r>
      <w:r w:rsidRPr="00407D43">
        <w:t>Justification</w:t>
      </w:r>
      <w:r w:rsidRPr="00407D43">
        <w:rPr>
          <w:rStyle w:val="HideTWBExt"/>
          <w:i w:val="0"/>
        </w:rPr>
        <w:t>&lt;/TitreJust&gt;</w:t>
      </w:r>
    </w:p>
    <w:p w:rsidR="0086407D" w:rsidRPr="00407D43" w:rsidRDefault="00407D43" w:rsidP="0086407D">
      <w:pPr>
        <w:pStyle w:val="Normal12Italic"/>
        <w:rPr>
          <w:noProof w:val="0"/>
        </w:rPr>
      </w:pPr>
      <w:r w:rsidRPr="00407D43">
        <w:t>L’échange de données et l’accès à celles-ci devraient se faire par des moyens automatisés et électroniques afin de ne pas créer de charge adminis</w:t>
      </w:r>
      <w:r w:rsidRPr="00407D43">
        <w:t>trative supplémentaire pour les autorités et de rendre l’échange aussi simple que possible.</w:t>
      </w:r>
    </w:p>
    <w:p w:rsidR="0086407D" w:rsidRPr="00407D43" w:rsidRDefault="00407D43" w:rsidP="0086407D">
      <w:r w:rsidRPr="00407D43">
        <w:rPr>
          <w:rStyle w:val="HideTWBExt"/>
        </w:rPr>
        <w:t>&lt;/AmendB&gt;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50</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6</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w:t>
      </w:r>
      <w:r w:rsidRPr="00407D43">
        <w:t> (UE) 2015/413</w:t>
      </w:r>
      <w:r w:rsidRPr="00407D43">
        <w:rPr>
          <w:rStyle w:val="HideTWBExt"/>
        </w:rPr>
        <w:t>&lt;/DocAmend2&gt;</w:t>
      </w:r>
    </w:p>
    <w:p w:rsidR="0086407D" w:rsidRPr="00407D43" w:rsidRDefault="00407D43" w:rsidP="0086407D">
      <w:r w:rsidRPr="00407D43">
        <w:rPr>
          <w:rStyle w:val="HideTWBExt"/>
        </w:rPr>
        <w:t>&lt;Article2&gt;</w:t>
      </w:r>
      <w:r w:rsidRPr="00407D43">
        <w:t>Article 5 – paragraphe 1 – alinéa 2</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Lorsque l’État membre de l’infraction décide d’engager de telles poursuites, il adresse dans les plus brefs délais à la personne présumée responsable une lettre de notification pour l’informer de l’infraction en matière de sécurité routière et de la décisi</w:t>
            </w:r>
            <w:r w:rsidRPr="00407D43">
              <w:t>on d’engager des poursuites.</w:t>
            </w:r>
          </w:p>
        </w:tc>
        <w:tc>
          <w:tcPr>
            <w:tcW w:w="4876" w:type="dxa"/>
            <w:hideMark/>
          </w:tcPr>
          <w:p w:rsidR="0086407D" w:rsidRPr="00407D43" w:rsidRDefault="00407D43" w:rsidP="00982395">
            <w:pPr>
              <w:pStyle w:val="Normal6"/>
              <w:rPr>
                <w:szCs w:val="24"/>
              </w:rPr>
            </w:pPr>
            <w:r w:rsidRPr="00407D43">
              <w:t>Lorsque l’État membre de l’infraction décide d’engager de telles poursuites, il adresse dans les plus brefs délais à la personne présumée responsable une lettre de notification pour l’informer de l’infraction en matière de sécu</w:t>
            </w:r>
            <w:r w:rsidRPr="00407D43">
              <w:t>rité routière et de la décision d’engager des poursuites</w:t>
            </w:r>
            <w:r w:rsidRPr="00407D43">
              <w:rPr>
                <w:b/>
                <w:i/>
              </w:rPr>
              <w:t>, tout en respectant le délai prévu à l’article 5 bis, paragraphe 2</w:t>
            </w:r>
            <w:r w:rsidRPr="00407D43">
              <w:t>.</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51</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6</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5 – paragraphe 2 – point g</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g)</w:t>
            </w:r>
            <w:r w:rsidRPr="00407D43">
              <w:tab/>
            </w:r>
            <w:r w:rsidRPr="00407D43">
              <w:t>le cas échéant, des informations détaillées sur le nom, l’adresse et le numéro de compte bancaire international (IBAN) de l’autorité auprès de laquelle peut être acquittée la sanction pécuniaire qui a été infligée, sur le délai de paiement et sur les autre</w:t>
            </w:r>
            <w:r w:rsidRPr="00407D43">
              <w:t>s modes de paiement, notamment les applications logicielles spécifiques, pour autant que ces méthodes soient accessibles tant aux résidents qu’aux non-résidents;</w:t>
            </w:r>
          </w:p>
        </w:tc>
        <w:tc>
          <w:tcPr>
            <w:tcW w:w="4876" w:type="dxa"/>
            <w:hideMark/>
          </w:tcPr>
          <w:p w:rsidR="0086407D" w:rsidRPr="00407D43" w:rsidRDefault="00407D43" w:rsidP="00982395">
            <w:pPr>
              <w:pStyle w:val="Normal6"/>
              <w:rPr>
                <w:szCs w:val="24"/>
              </w:rPr>
            </w:pPr>
            <w:r w:rsidRPr="00407D43">
              <w:t>g)</w:t>
            </w:r>
            <w:r w:rsidRPr="00407D43">
              <w:tab/>
              <w:t>le cas échéant, des informations détaillées sur le nom, l’adresse et le numéro de compte ba</w:t>
            </w:r>
            <w:r w:rsidRPr="00407D43">
              <w:t>ncaire international (IBAN) de l’autorité auprès de laquelle peut être acquittée la sanction pécuniaire qui a été infligée, sur le délai de paiement et sur les autres modes de paiement</w:t>
            </w:r>
            <w:r w:rsidRPr="00407D43">
              <w:rPr>
                <w:b/>
                <w:i/>
              </w:rPr>
              <w:t xml:space="preserve"> viables et accessibles</w:t>
            </w:r>
            <w:r w:rsidRPr="00407D43">
              <w:t>, notamment les applications logicielles spécifiq</w:t>
            </w:r>
            <w:r w:rsidRPr="00407D43">
              <w:t>ues, pour autant que ces méthodes soient accessibles tant aux résidents qu’aux non-résidents;</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52</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6</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5 – paragraphe 2 – point h</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h)</w:t>
            </w:r>
            <w:r w:rsidRPr="00407D43">
              <w:tab/>
              <w:t xml:space="preserve">des informations sur les règles applicables en matière de protection des données, sur les droits des personnes </w:t>
            </w:r>
            <w:r w:rsidRPr="00407D43">
              <w:lastRenderedPageBreak/>
              <w:t>conc</w:t>
            </w:r>
            <w:r w:rsidRPr="00407D43">
              <w:t xml:space="preserve">ernées et sur la disponibilité d’informations complémentaires </w:t>
            </w:r>
            <w:r w:rsidRPr="00407D43">
              <w:rPr>
                <w:b/>
                <w:i/>
              </w:rPr>
              <w:t>ou</w:t>
            </w:r>
            <w:r w:rsidRPr="00407D43">
              <w:t xml:space="preserve"> une référence à l’endroit où ces informations peuvent être facilement obtenues, conformément à l’article 13 de la directive</w:t>
            </w:r>
            <w:r w:rsidRPr="00407D43">
              <w:rPr>
                <w:b/>
                <w:i/>
              </w:rPr>
              <w:t> </w:t>
            </w:r>
            <w:r w:rsidRPr="00407D43">
              <w:t>(UE)</w:t>
            </w:r>
            <w:r w:rsidRPr="00407D43">
              <w:rPr>
                <w:b/>
                <w:i/>
              </w:rPr>
              <w:t> </w:t>
            </w:r>
            <w:r w:rsidRPr="00407D43">
              <w:t>2016/680 du Parlement européen et du Conseil, y compris les in</w:t>
            </w:r>
            <w:r w:rsidRPr="00407D43">
              <w:t>formations relatives à la source des données à caractère personnel, ou conformément aux articles 13 et 14 du règlement</w:t>
            </w:r>
            <w:r w:rsidRPr="00407D43">
              <w:rPr>
                <w:b/>
                <w:i/>
              </w:rPr>
              <w:t> </w:t>
            </w:r>
            <w:r w:rsidRPr="00407D43">
              <w:t>(UE)</w:t>
            </w:r>
            <w:r w:rsidRPr="00407D43">
              <w:rPr>
                <w:b/>
                <w:i/>
              </w:rPr>
              <w:t> </w:t>
            </w:r>
            <w:r w:rsidRPr="00407D43">
              <w:t>2016/679 du Parlement européen et du Conseil;</w:t>
            </w:r>
          </w:p>
        </w:tc>
        <w:tc>
          <w:tcPr>
            <w:tcW w:w="4876" w:type="dxa"/>
            <w:hideMark/>
          </w:tcPr>
          <w:p w:rsidR="0086407D" w:rsidRPr="00407D43" w:rsidRDefault="00407D43" w:rsidP="00982395">
            <w:pPr>
              <w:pStyle w:val="Normal6"/>
              <w:rPr>
                <w:szCs w:val="24"/>
              </w:rPr>
            </w:pPr>
            <w:r w:rsidRPr="00407D43">
              <w:lastRenderedPageBreak/>
              <w:t>h)</w:t>
            </w:r>
            <w:r w:rsidRPr="00407D43">
              <w:tab/>
              <w:t xml:space="preserve">des informations </w:t>
            </w:r>
            <w:r w:rsidRPr="00407D43">
              <w:rPr>
                <w:b/>
                <w:i/>
              </w:rPr>
              <w:t xml:space="preserve">claires et complètes </w:t>
            </w:r>
            <w:r w:rsidRPr="00407D43">
              <w:t xml:space="preserve">sur les règles applicables en matière de protection des données, sur les </w:t>
            </w:r>
            <w:r w:rsidRPr="00407D43">
              <w:lastRenderedPageBreak/>
              <w:t xml:space="preserve">droits des personnes concernées et sur la disponibilité d’informations complémentaires </w:t>
            </w:r>
            <w:r w:rsidRPr="00407D43">
              <w:rPr>
                <w:b/>
                <w:i/>
              </w:rPr>
              <w:t>et</w:t>
            </w:r>
            <w:r w:rsidRPr="00407D43">
              <w:t xml:space="preserve"> une référence à l’endroit où ces informations peuvent être facilement obtenues, conformément </w:t>
            </w:r>
            <w:r w:rsidRPr="00407D43">
              <w:t>à l’article 13 de la directive</w:t>
            </w:r>
            <w:r w:rsidRPr="00407D43">
              <w:rPr>
                <w:b/>
                <w:i/>
              </w:rPr>
              <w:t xml:space="preserve"> </w:t>
            </w:r>
            <w:r w:rsidRPr="00407D43">
              <w:t>(UE)</w:t>
            </w:r>
            <w:r w:rsidRPr="00407D43">
              <w:rPr>
                <w:b/>
                <w:i/>
              </w:rPr>
              <w:t xml:space="preserve"> </w:t>
            </w:r>
            <w:r w:rsidRPr="00407D43">
              <w:t>2016/680 du Parlement européen et du Conseil, y compris les informations relatives à la source des données à caractère personnel, ou conformément aux articles 13 et 14 du règlement</w:t>
            </w:r>
            <w:r w:rsidRPr="00407D43">
              <w:rPr>
                <w:b/>
                <w:i/>
              </w:rPr>
              <w:t xml:space="preserve"> </w:t>
            </w:r>
            <w:r w:rsidRPr="00407D43">
              <w:t>(UE)</w:t>
            </w:r>
            <w:r w:rsidRPr="00407D43">
              <w:rPr>
                <w:b/>
                <w:i/>
              </w:rPr>
              <w:t xml:space="preserve"> </w:t>
            </w:r>
            <w:r w:rsidRPr="00407D43">
              <w:t xml:space="preserve">2016/679 du Parlement européen et </w:t>
            </w:r>
            <w:r w:rsidRPr="00407D43">
              <w:t>du Conseil;</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53</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6</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5 – paragraphe 2 – point j bis (nouveau)</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j bis)</w:t>
            </w:r>
            <w:r w:rsidRPr="00407D43">
              <w:rPr>
                <w:b/>
                <w:i/>
              </w:rPr>
              <w:tab/>
              <w:t>un lien et, si possible, un code QR vers le portail visé à l’article 8.</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54</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6</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5 – paragraphe 3</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3.</w:t>
            </w:r>
            <w:r w:rsidRPr="00407D43">
              <w:tab/>
            </w:r>
            <w:r w:rsidRPr="00407D43">
              <w:t>Par dérogation au paragraphe 2, les États membres veillent à ce que, lorsque la personne responsable est un conducteur non-résident qui a été contrôlé sur place dans le cadre d’un contrôle routier, la lettre de notification contienne au moins les données é</w:t>
            </w:r>
            <w:r w:rsidRPr="00407D43">
              <w:t>numérées au paragraphe 2, points c), d), e) et </w:t>
            </w:r>
            <w:r w:rsidRPr="00407D43">
              <w:rPr>
                <w:b/>
                <w:i/>
              </w:rPr>
              <w:t>g</w:t>
            </w:r>
            <w:r w:rsidRPr="00407D43">
              <w:t>).</w:t>
            </w:r>
          </w:p>
        </w:tc>
        <w:tc>
          <w:tcPr>
            <w:tcW w:w="4876" w:type="dxa"/>
            <w:hideMark/>
          </w:tcPr>
          <w:p w:rsidR="0086407D" w:rsidRPr="00407D43" w:rsidRDefault="00407D43" w:rsidP="00982395">
            <w:pPr>
              <w:pStyle w:val="Normal6"/>
              <w:rPr>
                <w:szCs w:val="24"/>
              </w:rPr>
            </w:pPr>
            <w:r w:rsidRPr="00407D43">
              <w:t>3.</w:t>
            </w:r>
            <w:r w:rsidRPr="00407D43">
              <w:tab/>
              <w:t>Par dérogation au paragraphe 2, les États membres veillent à ce que, lorsque la personne responsable est un conducteur non-résident qui a été contrôlé sur place dans le cadre d’un contrôle routier, la l</w:t>
            </w:r>
            <w:r w:rsidRPr="00407D43">
              <w:t>ettre de notification contienne au moins les données énumérées au paragraphe 2, points c), d), e)</w:t>
            </w:r>
            <w:r w:rsidRPr="00407D43">
              <w:rPr>
                <w:b/>
                <w:i/>
              </w:rPr>
              <w:t>, g)</w:t>
            </w:r>
            <w:r w:rsidRPr="00407D43">
              <w:t xml:space="preserve"> et </w:t>
            </w:r>
            <w:r w:rsidRPr="00407D43">
              <w:rPr>
                <w:b/>
                <w:i/>
              </w:rPr>
              <w:t>i</w:t>
            </w:r>
            <w:r w:rsidRPr="00407D43">
              <w:t>).</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55</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lastRenderedPageBreak/>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6</w:t>
      </w:r>
      <w:r w:rsidRPr="00407D43">
        <w:rPr>
          <w:rStyle w:val="HideTWBExt"/>
          <w:b w:val="0"/>
        </w:rPr>
        <w:t>&lt;/Article&gt;</w:t>
      </w:r>
    </w:p>
    <w:p w:rsidR="0086407D" w:rsidRPr="00407D43" w:rsidRDefault="00407D43" w:rsidP="0086407D">
      <w:pPr>
        <w:keepNext/>
      </w:pPr>
      <w:r w:rsidRPr="00407D43">
        <w:rPr>
          <w:rStyle w:val="HideTWBExt"/>
        </w:rPr>
        <w:t>&lt;Do</w:t>
      </w:r>
      <w:r w:rsidRPr="00407D43">
        <w:rPr>
          <w:rStyle w:val="HideTWBExt"/>
        </w:rPr>
        <w:t>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5 – paragraphe 3 bis (nouveau)</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3 bis.</w:t>
            </w:r>
            <w:r w:rsidRPr="00407D43">
              <w:rPr>
                <w:b/>
                <w:i/>
              </w:rPr>
              <w:tab/>
            </w:r>
            <w:r w:rsidRPr="00407D43">
              <w:rPr>
                <w:b/>
                <w:i/>
              </w:rPr>
              <w:t>Les États membres veillent à ce que, lorsque la personne responsable est un conducteur non résident qui a été contrôlé sur place dans le cadre d’un contrôle routier et lorsque la répression de l’infraction commise a été menée à son terme par l’autorité com</w:t>
            </w:r>
            <w:r w:rsidRPr="00407D43">
              <w:rPr>
                <w:b/>
                <w:i/>
              </w:rPr>
              <w:t>pétente, par l’application d’une sanction pécuniaire payée sur place par la personne responsable, cette personne reçoive au moins les informations suivantes:</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 xml:space="preserve">a) </w:t>
            </w:r>
            <w:r w:rsidRPr="00407D43">
              <w:rPr>
                <w:b/>
                <w:i/>
              </w:rPr>
              <w:tab/>
              <w:t>un reçu de la transaction financière;</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 xml:space="preserve">b) </w:t>
            </w:r>
            <w:r w:rsidRPr="00407D43">
              <w:rPr>
                <w:b/>
                <w:i/>
              </w:rPr>
              <w:tab/>
              <w:t>les coordonnées de l’autorité compétente;</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 xml:space="preserve">c) </w:t>
            </w:r>
            <w:r w:rsidRPr="00407D43">
              <w:rPr>
                <w:b/>
                <w:i/>
              </w:rPr>
              <w:tab/>
            </w:r>
            <w:r w:rsidRPr="00407D43">
              <w:rPr>
                <w:b/>
                <w:i/>
              </w:rPr>
              <w:t>des informations sur les infractions commises et, le cas échéant, sur la manière d’en assurer le respect à l’avenir;</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 xml:space="preserve">d) </w:t>
            </w:r>
            <w:r w:rsidRPr="00407D43">
              <w:rPr>
                <w:b/>
                <w:i/>
              </w:rPr>
              <w:tab/>
              <w:t>un lien et, si possible, un code QR vers le portail visé à l’article 8.</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56</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w:t>
      </w:r>
      <w:r w:rsidRPr="00407D43">
        <w:t>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6</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5 – paragraphe 5</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5.</w:t>
            </w:r>
            <w:r w:rsidRPr="00407D43">
              <w:tab/>
            </w:r>
            <w:r w:rsidRPr="00407D43">
              <w:t>Les États membres veillent à ce que les délais impartis aux non-résidents pour exercer leur droit de former un recours ou leur droit de demander un allègement des sanctions, conformément au paragraphe 2, points e) et</w:t>
            </w:r>
            <w:r w:rsidRPr="00407D43">
              <w:rPr>
                <w:b/>
                <w:i/>
              </w:rPr>
              <w:t> </w:t>
            </w:r>
            <w:r w:rsidRPr="00407D43">
              <w:t>i), commencent à courir à la date de ré</w:t>
            </w:r>
            <w:r w:rsidRPr="00407D43">
              <w:t xml:space="preserve">ception de la lettre de </w:t>
            </w:r>
            <w:r w:rsidRPr="00407D43">
              <w:lastRenderedPageBreak/>
              <w:t>notification.</w:t>
            </w:r>
          </w:p>
        </w:tc>
        <w:tc>
          <w:tcPr>
            <w:tcW w:w="4876" w:type="dxa"/>
            <w:hideMark/>
          </w:tcPr>
          <w:p w:rsidR="0086407D" w:rsidRPr="00407D43" w:rsidRDefault="00407D43" w:rsidP="00982395">
            <w:pPr>
              <w:pStyle w:val="Normal6"/>
              <w:rPr>
                <w:szCs w:val="24"/>
              </w:rPr>
            </w:pPr>
            <w:r w:rsidRPr="00407D43">
              <w:lastRenderedPageBreak/>
              <w:t>5.</w:t>
            </w:r>
            <w:r w:rsidRPr="00407D43">
              <w:tab/>
              <w:t>Les États membres veillent à ce que les délais impartis aux non-résidents pour exercer leur droit de former un recours ou leur droit de demander un allègement des sanctions, conformément au paragraphe 2, points e) e</w:t>
            </w:r>
            <w:r w:rsidRPr="00407D43">
              <w:t>t</w:t>
            </w:r>
            <w:r w:rsidRPr="00407D43">
              <w:rPr>
                <w:b/>
                <w:i/>
              </w:rPr>
              <w:t xml:space="preserve"> </w:t>
            </w:r>
            <w:r w:rsidRPr="00407D43">
              <w:t>i),</w:t>
            </w:r>
            <w:r w:rsidRPr="00407D43">
              <w:rPr>
                <w:b/>
                <w:i/>
              </w:rPr>
              <w:t xml:space="preserve"> soient proportionnés pour garantir l’exercice effectif de ces droits et</w:t>
            </w:r>
            <w:r w:rsidRPr="00407D43">
              <w:t xml:space="preserve"> </w:t>
            </w:r>
            <w:r w:rsidRPr="00407D43">
              <w:lastRenderedPageBreak/>
              <w:t>commencent à courir à la date de réception de la lettre de notification.</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57</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w:t>
      </w:r>
      <w:r w:rsidRPr="00407D43">
        <w:t>ticle 1 – alinéa 1 – point 7</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5 bis – paragraphe 1</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1.</w:t>
            </w:r>
            <w:r w:rsidRPr="00407D43">
              <w:tab/>
            </w:r>
            <w:r w:rsidRPr="00407D43">
              <w:t>Les États membres envoient la lettre de notification et les documents de suivi aux personnes présumées responsables par courrier recommandé ou par voie électronique de même valeur, conformément au chapitre</w:t>
            </w:r>
            <w:r w:rsidRPr="00407D43">
              <w:rPr>
                <w:b/>
                <w:i/>
              </w:rPr>
              <w:t> </w:t>
            </w:r>
            <w:r w:rsidRPr="00407D43">
              <w:t>III, section</w:t>
            </w:r>
            <w:r w:rsidRPr="00407D43">
              <w:rPr>
                <w:b/>
                <w:i/>
              </w:rPr>
              <w:t> </w:t>
            </w:r>
            <w:r w:rsidRPr="00407D43">
              <w:t>7, du règlement</w:t>
            </w:r>
            <w:r w:rsidRPr="00407D43">
              <w:rPr>
                <w:b/>
                <w:i/>
              </w:rPr>
              <w:t> </w:t>
            </w:r>
            <w:r w:rsidRPr="00407D43">
              <w:t>(UE)</w:t>
            </w:r>
            <w:r w:rsidRPr="00407D43">
              <w:rPr>
                <w:b/>
                <w:i/>
              </w:rPr>
              <w:t> </w:t>
            </w:r>
            <w:r w:rsidRPr="00407D43">
              <w:t>nº 910/2014 du P</w:t>
            </w:r>
            <w:r w:rsidRPr="00407D43">
              <w:t>arlement européen et du Conseil*, ou, dans le cas visé à l’article 5, paragraphe 3, dudit règlement, ils transmettent la lettre de notification directement à la personne présumée responsable.</w:t>
            </w:r>
          </w:p>
        </w:tc>
        <w:tc>
          <w:tcPr>
            <w:tcW w:w="4876" w:type="dxa"/>
            <w:hideMark/>
          </w:tcPr>
          <w:p w:rsidR="0086407D" w:rsidRPr="00407D43" w:rsidRDefault="00407D43" w:rsidP="00982395">
            <w:pPr>
              <w:pStyle w:val="Normal6"/>
              <w:rPr>
                <w:szCs w:val="24"/>
              </w:rPr>
            </w:pPr>
            <w:r w:rsidRPr="00407D43">
              <w:t>1.</w:t>
            </w:r>
            <w:r w:rsidRPr="00407D43">
              <w:tab/>
              <w:t>Les États membres envoient la lettre de notification et les d</w:t>
            </w:r>
            <w:r w:rsidRPr="00407D43">
              <w:t xml:space="preserve">ocuments de suivi aux personnes présumées responsables par </w:t>
            </w:r>
            <w:r w:rsidRPr="00407D43">
              <w:rPr>
                <w:b/>
                <w:i/>
              </w:rPr>
              <w:t xml:space="preserve">envoi recommandé, par </w:t>
            </w:r>
            <w:r w:rsidRPr="00407D43">
              <w:t>courrier recommandé ou par voie électronique de même valeur, conformément au chapitre</w:t>
            </w:r>
            <w:r w:rsidRPr="00407D43">
              <w:rPr>
                <w:b/>
                <w:i/>
              </w:rPr>
              <w:t xml:space="preserve"> </w:t>
            </w:r>
            <w:r w:rsidRPr="00407D43">
              <w:t>III, section</w:t>
            </w:r>
            <w:r w:rsidRPr="00407D43">
              <w:rPr>
                <w:b/>
                <w:i/>
              </w:rPr>
              <w:t xml:space="preserve"> </w:t>
            </w:r>
            <w:r w:rsidRPr="00407D43">
              <w:t>7, du règlement</w:t>
            </w:r>
            <w:r w:rsidRPr="00407D43">
              <w:rPr>
                <w:b/>
                <w:i/>
              </w:rPr>
              <w:t xml:space="preserve"> </w:t>
            </w:r>
            <w:r w:rsidRPr="00407D43">
              <w:t>(UE)</w:t>
            </w:r>
            <w:r w:rsidRPr="00407D43">
              <w:rPr>
                <w:b/>
                <w:i/>
              </w:rPr>
              <w:t xml:space="preserve"> </w:t>
            </w:r>
            <w:r w:rsidRPr="00407D43">
              <w:t>nº 910/2014 du Parlement européen et du Conseil*, ou, dans le cas visé à l’article 5, paragraphe 3, dudit règlement, ils transmettent la lettre de notification directement à la personne présumée responsable.</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58</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7</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 xml:space="preserve">Article 5 bis – paragraphe 2 </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2.</w:t>
            </w:r>
            <w:r w:rsidRPr="00407D43">
              <w:tab/>
              <w:t>Les États mem</w:t>
            </w:r>
            <w:r w:rsidRPr="00407D43">
              <w:t>bres veillent à ce que la lettre de notification soit envoyée au plus tard un mois après l’enregistrement d’une infraction en matière de sécurité routière énumérée à l’article 2, paragraphe 1, ou, lorsque de nouvelles lettres de notification doivent être e</w:t>
            </w:r>
            <w:r w:rsidRPr="00407D43">
              <w:t xml:space="preserve">nvoyées au cours de l’enquête, dans un délai de 15 jours à compter de l’événement ayant rendu nécessaire l’envoi des lettres de </w:t>
            </w:r>
            <w:r w:rsidRPr="00407D43">
              <w:lastRenderedPageBreak/>
              <w:t>notification ultérieures.</w:t>
            </w:r>
          </w:p>
        </w:tc>
        <w:tc>
          <w:tcPr>
            <w:tcW w:w="4876" w:type="dxa"/>
            <w:hideMark/>
          </w:tcPr>
          <w:p w:rsidR="0086407D" w:rsidRPr="00407D43" w:rsidRDefault="00407D43" w:rsidP="00982395">
            <w:pPr>
              <w:pStyle w:val="Normal6"/>
              <w:rPr>
                <w:szCs w:val="24"/>
              </w:rPr>
            </w:pPr>
            <w:r w:rsidRPr="00407D43">
              <w:lastRenderedPageBreak/>
              <w:t>2.</w:t>
            </w:r>
            <w:r w:rsidRPr="00407D43">
              <w:tab/>
              <w:t>Les États membres veillent à ce que la lettre de notification soit envoyée au plus tard un mois apr</w:t>
            </w:r>
            <w:r w:rsidRPr="00407D43">
              <w:t xml:space="preserve">ès l’enregistrement d’une infraction en matière de sécurité routière énumérée à l’article 2, premier alinéa, </w:t>
            </w:r>
            <w:r w:rsidRPr="00407D43">
              <w:rPr>
                <w:b/>
                <w:i/>
              </w:rPr>
              <w:t>à compter du jour de l’incident,</w:t>
            </w:r>
            <w:r w:rsidRPr="00407D43">
              <w:t xml:space="preserve"> ou, lorsque de nouvelles lettres de notification doivent être envoyées au cours de l’enquête, dans un délai de 15 </w:t>
            </w:r>
            <w:r w:rsidRPr="00407D43">
              <w:t xml:space="preserve">jours à compter de l’événement ayant rendu nécessaire l’envoi </w:t>
            </w:r>
            <w:r w:rsidRPr="00407D43">
              <w:lastRenderedPageBreak/>
              <w:t>des lettres de notification ultérieures.</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59</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7</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5 bis – paragraphe 3 – point b</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b)</w:t>
            </w:r>
            <w:r w:rsidRPr="00407D43">
              <w:tab/>
            </w:r>
            <w:r w:rsidRPr="00407D43">
              <w:t>les règles de procédure prévues par le droit national de l’État membre de l’infraction exigent une preuve de la signification du document autre que la preuve qui peut être obtenue grâce à un courrier recommandé ou à des moyens électroniques équivalents;</w:t>
            </w:r>
          </w:p>
        </w:tc>
        <w:tc>
          <w:tcPr>
            <w:tcW w:w="4876" w:type="dxa"/>
            <w:hideMark/>
          </w:tcPr>
          <w:p w:rsidR="0086407D" w:rsidRPr="00407D43" w:rsidRDefault="00407D43" w:rsidP="00982395">
            <w:pPr>
              <w:pStyle w:val="Normal6"/>
              <w:rPr>
                <w:szCs w:val="24"/>
              </w:rPr>
            </w:pPr>
            <w:r w:rsidRPr="00407D43">
              <w:t>b)</w:t>
            </w:r>
            <w:r w:rsidRPr="00407D43">
              <w:tab/>
              <w:t>les règles de procédure prévues par le droit national de l’État membre de l’infraction exigent une preuve de la signification du document autre que la preuve qui peut être obtenue grâce à un envoi recommandé</w:t>
            </w:r>
            <w:r w:rsidRPr="00407D43">
              <w:rPr>
                <w:b/>
                <w:i/>
              </w:rPr>
              <w:t>, à un courrier recommandé</w:t>
            </w:r>
            <w:r w:rsidRPr="00407D43">
              <w:t xml:space="preserve"> ou à des moyens élect</w:t>
            </w:r>
            <w:r w:rsidRPr="00407D43">
              <w:t>roniques équivalents;</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60</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7</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5 bis – paragraphe 3 – po</w:t>
      </w:r>
      <w:r w:rsidRPr="00407D43">
        <w:t>int c</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c)</w:t>
            </w:r>
            <w:r w:rsidRPr="00407D43">
              <w:tab/>
              <w:t>il n’a pas été possible de signifier le document par courrier recommandé ou par des moyens électroniques équivalents;</w:t>
            </w:r>
          </w:p>
        </w:tc>
        <w:tc>
          <w:tcPr>
            <w:tcW w:w="4876" w:type="dxa"/>
            <w:hideMark/>
          </w:tcPr>
          <w:p w:rsidR="0086407D" w:rsidRPr="00407D43" w:rsidRDefault="00407D43" w:rsidP="00982395">
            <w:pPr>
              <w:pStyle w:val="Normal6"/>
              <w:rPr>
                <w:szCs w:val="24"/>
              </w:rPr>
            </w:pPr>
            <w:r w:rsidRPr="00407D43">
              <w:t>c)</w:t>
            </w:r>
            <w:r w:rsidRPr="00407D43">
              <w:tab/>
              <w:t>il n’a pas été possible de signifier le document par envoi recommandé</w:t>
            </w:r>
            <w:r w:rsidRPr="00407D43">
              <w:rPr>
                <w:b/>
                <w:i/>
              </w:rPr>
              <w:t>, par courrier recommandé</w:t>
            </w:r>
            <w:r w:rsidRPr="00407D43">
              <w:t xml:space="preserve"> ou par des moyens électroniques équivalents;</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61</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7</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w:t>
      </w:r>
      <w:r w:rsidRPr="00407D43">
        <w:rPr>
          <w:rStyle w:val="HideTWBExt"/>
        </w:rPr>
        <w:t>end2&gt;</w:t>
      </w:r>
    </w:p>
    <w:p w:rsidR="0086407D" w:rsidRPr="00407D43" w:rsidRDefault="00407D43" w:rsidP="0086407D">
      <w:r w:rsidRPr="00407D43">
        <w:rPr>
          <w:rStyle w:val="HideTWBExt"/>
        </w:rPr>
        <w:t>&lt;Article2&gt;</w:t>
      </w:r>
      <w:r w:rsidRPr="00407D43">
        <w:t>Article 5 bis – paragraphe 3 – point d</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d)</w:t>
            </w:r>
            <w:r w:rsidRPr="00407D43">
              <w:tab/>
            </w:r>
            <w:r w:rsidRPr="00407D43">
              <w:t xml:space="preserve">l’État membre de l’infraction a des raisons justifiées de considérer que la </w:t>
            </w:r>
            <w:r w:rsidRPr="00407D43">
              <w:lastRenderedPageBreak/>
              <w:t>signification du document par courrier recommandé ou par des moyens électroniques équivalents dans ce cas particulier sera inefficace ou inappropriée.</w:t>
            </w:r>
          </w:p>
        </w:tc>
        <w:tc>
          <w:tcPr>
            <w:tcW w:w="4876" w:type="dxa"/>
            <w:hideMark/>
          </w:tcPr>
          <w:p w:rsidR="0086407D" w:rsidRPr="00407D43" w:rsidRDefault="00407D43" w:rsidP="00982395">
            <w:pPr>
              <w:pStyle w:val="Normal6"/>
              <w:rPr>
                <w:szCs w:val="24"/>
              </w:rPr>
            </w:pPr>
            <w:r w:rsidRPr="00407D43">
              <w:lastRenderedPageBreak/>
              <w:t>d)</w:t>
            </w:r>
            <w:r w:rsidRPr="00407D43">
              <w:tab/>
              <w:t>l’État membre de l’infract</w:t>
            </w:r>
            <w:r w:rsidRPr="00407D43">
              <w:t xml:space="preserve">ion a des raisons justifiées de considérer que la </w:t>
            </w:r>
            <w:r w:rsidRPr="00407D43">
              <w:lastRenderedPageBreak/>
              <w:t>signification du document par envoi recommandé</w:t>
            </w:r>
            <w:r w:rsidRPr="00407D43">
              <w:rPr>
                <w:b/>
                <w:i/>
              </w:rPr>
              <w:t>, par courrier recommandé</w:t>
            </w:r>
            <w:r w:rsidRPr="00407D43">
              <w:t xml:space="preserve"> ou par des moyens électroniques équivalents dans ce cas particulier sera inefficace ou inappropriée.</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62</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7</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5 bis – paragraphe 7</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7.</w:t>
            </w:r>
            <w:r w:rsidRPr="00407D43">
              <w:tab/>
              <w:t>La demande visée au paragraphe 4 est communiquée dans la langue ou dans l’une des langues de l’État membre d’immatriculation ou de l’État membre de résidence notifiée à la Commission conformément au paragraphe 8. Le certificat visé au paragraphe 6 est</w:t>
            </w:r>
            <w:r w:rsidRPr="00407D43">
              <w:t xml:space="preserve"> communiqué dans la langue de l’État membre de l’infraction notifiée à la Commission conformément au paragraphe 8.</w:t>
            </w:r>
          </w:p>
        </w:tc>
        <w:tc>
          <w:tcPr>
            <w:tcW w:w="4876" w:type="dxa"/>
            <w:hideMark/>
          </w:tcPr>
          <w:p w:rsidR="0086407D" w:rsidRPr="00407D43" w:rsidRDefault="00407D43" w:rsidP="00982395">
            <w:pPr>
              <w:pStyle w:val="Normal6"/>
            </w:pPr>
            <w:r w:rsidRPr="00407D43">
              <w:t>7.</w:t>
            </w:r>
            <w:r w:rsidRPr="00407D43">
              <w:tab/>
              <w:t xml:space="preserve">La demande visée au paragraphe 4 est communiquée dans la langue ou dans l’une des langues de l’État membre d’immatriculation ou de l’État </w:t>
            </w:r>
            <w:r w:rsidRPr="00407D43">
              <w:t xml:space="preserve">membre de résidence notifiée à la Commission conformément au paragraphe 8. Le certificat visé au paragraphe 6 est communiqué dans la langue de l’État membre de l’infraction notifiée à la Commission conformément au paragraphe 8. </w:t>
            </w:r>
            <w:r w:rsidRPr="00407D43">
              <w:rPr>
                <w:b/>
                <w:i/>
              </w:rPr>
              <w:t xml:space="preserve">En vue de réduire la charge </w:t>
            </w:r>
            <w:r w:rsidRPr="00407D43">
              <w:rPr>
                <w:b/>
                <w:i/>
              </w:rPr>
              <w:t>administrative et de simplifier la procédure, la Commission peut, pour les deux documents visés au présent paragraphe, introduire des modèles uniformes, qui peuvent également impliquer l’utilisation de codes lorsqu’ils sont jugés suffisamment développés, à</w:t>
            </w:r>
            <w:r w:rsidRPr="00407D43">
              <w:rPr>
                <w:b/>
                <w:i/>
              </w:rPr>
              <w:t xml:space="preserve"> condition que le contenu et le format de la demande et du certificat restent suffisamment clairs pour que les destinataires et les autorités les comprennent clairement et facilement. Si la Commission fait ce choix, elle est habilitée à adopter des actes d</w:t>
            </w:r>
            <w:r w:rsidRPr="00407D43">
              <w:rPr>
                <w:b/>
                <w:i/>
              </w:rPr>
              <w:t>élégués conformément à l’article 10 afin d’introduire ces modèles et codes.</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&lt;AmendB&gt;</w:t>
      </w:r>
      <w:r w:rsidRPr="00407D43">
        <w:t>Amendement</w:t>
      </w:r>
      <w:r w:rsidRPr="00407D43">
        <w:tab/>
      </w:r>
      <w:r w:rsidRPr="00407D43">
        <w:tab/>
      </w:r>
      <w:r w:rsidRPr="00407D43">
        <w:rPr>
          <w:rStyle w:val="HideTWBExt"/>
          <w:b w:val="0"/>
        </w:rPr>
        <w:t>&lt;NumAmB&gt;</w:t>
      </w:r>
      <w:r w:rsidRPr="00407D43">
        <w:t>63</w:t>
      </w:r>
      <w:r w:rsidRPr="00407D43">
        <w:rPr>
          <w:rStyle w:val="HideTWBExt"/>
          <w:b w:val="0"/>
        </w:rPr>
        <w:t>&lt;/NumAmB&gt;</w:t>
      </w:r>
    </w:p>
    <w:p w:rsidR="0086407D" w:rsidRPr="00407D43" w:rsidRDefault="00407D43" w:rsidP="0086407D">
      <w:pPr>
        <w:pStyle w:val="NormalBold12b"/>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lastRenderedPageBreak/>
        <w:t>&lt;Article&gt;</w:t>
      </w:r>
      <w:r w:rsidRPr="00407D43">
        <w:t>Article 1 – alinéa 1 – point 7</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5 bis – paragraphe 9</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9.</w:t>
            </w:r>
            <w:r w:rsidRPr="00407D43">
              <w:tab/>
              <w:t xml:space="preserve">Les États membres veillent à ce que les personnes présumées responsables soient autorisées à communiquer avec les autorités de l’État membre de </w:t>
            </w:r>
            <w:r w:rsidRPr="00407D43">
              <w:t>l’infraction, jusqu’au stade du recours devant une juridiction, dans l’une des langues communiquées à la Commission soit par l’État membre d’immatriculation, soit par l’État membre de résidence, soit par l’État membre de l’infraction conformément au paragr</w:t>
            </w:r>
            <w:r w:rsidRPr="00407D43">
              <w:t>aphe 8, ou, si la personne concernée a une connaissance insuffisante de ces langues, dans une langue de l’Union qu’elle parle ou comprend.</w:t>
            </w:r>
          </w:p>
        </w:tc>
        <w:tc>
          <w:tcPr>
            <w:tcW w:w="4876" w:type="dxa"/>
            <w:hideMark/>
          </w:tcPr>
          <w:p w:rsidR="0086407D" w:rsidRPr="00407D43" w:rsidRDefault="00407D43" w:rsidP="00982395">
            <w:pPr>
              <w:pStyle w:val="Normal6"/>
              <w:rPr>
                <w:szCs w:val="24"/>
              </w:rPr>
            </w:pPr>
            <w:r w:rsidRPr="00407D43">
              <w:t>9.</w:t>
            </w:r>
            <w:r w:rsidRPr="00407D43">
              <w:tab/>
              <w:t xml:space="preserve">Les États membres veillent à ce que les personnes présumées responsables soient autorisées à communiquer avec les </w:t>
            </w:r>
            <w:r w:rsidRPr="00407D43">
              <w:t>autorités de l’État membre de l’infraction, jusqu’au stade du recours devant une juridiction, dans l’une des langues communiquées à la Commission soit par l’État membre d’immatriculation, soit par l’État membre de résidence, soit par l’État membre de l’inf</w:t>
            </w:r>
            <w:r w:rsidRPr="00407D43">
              <w:t xml:space="preserve">raction conformément au paragraphe 8, ou, si la personne concernée a une connaissance insuffisante de ces langues, dans une langue de l’Union qu’elle parle ou comprend. </w:t>
            </w:r>
            <w:r w:rsidRPr="00407D43">
              <w:rPr>
                <w:b/>
                <w:i/>
              </w:rPr>
              <w:t>Les États membres sont encouragés à permettre aux personnes présumées responsables de p</w:t>
            </w:r>
            <w:r w:rsidRPr="00407D43">
              <w:rPr>
                <w:b/>
                <w:i/>
              </w:rPr>
              <w:t>articiper à distance aux procédures judiciaires par liaison vidéo.</w:t>
            </w:r>
          </w:p>
        </w:tc>
      </w:tr>
    </w:tbl>
    <w:p w:rsidR="0086407D" w:rsidRPr="00407D43" w:rsidRDefault="00407D43" w:rsidP="0086407D">
      <w:r w:rsidRPr="00407D43">
        <w:rPr>
          <w:rStyle w:val="HideTWBExt"/>
        </w:rPr>
        <w:t>&lt;/AmendB&gt;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64</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7</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5 ter – alinéa 1 bis (nouveau)</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Les États membres veillent à ce qu’une telle entité privée habilitée à exécuter des sanctions pécuniaires agisse conformément aux exigences applicables en matière de protection des données, au titre du règlement (UE) 2016/679 et de la directive (UE) 2016/6</w:t>
            </w:r>
            <w:r w:rsidRPr="00407D43">
              <w:rPr>
                <w:b/>
                <w:i/>
              </w:rPr>
              <w:t>80.</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65</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8</w:t>
      </w:r>
      <w:r w:rsidRPr="00407D43">
        <w:rPr>
          <w:rStyle w:val="HideTWBExt"/>
          <w:b w:val="0"/>
        </w:rPr>
        <w:t>&lt;/Article&gt;</w:t>
      </w:r>
    </w:p>
    <w:p w:rsidR="0086407D" w:rsidRPr="00407D43" w:rsidRDefault="00407D43" w:rsidP="0086407D">
      <w:pPr>
        <w:keepNext/>
      </w:pPr>
      <w:r w:rsidRPr="00407D43">
        <w:rPr>
          <w:rStyle w:val="HideTWBExt"/>
        </w:rPr>
        <w:lastRenderedPageBreak/>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6 – paragraphe 1 – alinéa 1</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1</w:t>
            </w:r>
            <w:r w:rsidRPr="00407D43">
              <w:tab/>
              <w:t xml:space="preserve">Au plus tard </w:t>
            </w:r>
            <w:r w:rsidRPr="00407D43">
              <w:rPr>
                <w:b/>
                <w:i/>
              </w:rPr>
              <w:t>aux dates suivantes:</w:t>
            </w:r>
            <w:r w:rsidRPr="00407D43">
              <w:t xml:space="preserve"> le 6 mai 2024, </w:t>
            </w:r>
            <w:r w:rsidRPr="00407D43">
              <w:rPr>
                <w:b/>
                <w:i/>
              </w:rPr>
              <w:t>le 6 mai 2026 (...)</w:t>
            </w:r>
            <w:r w:rsidRPr="00407D43">
              <w:t>, chaque État membre transmet un rapport complet à la Commission conformément aux deuxième et troisième alinéas du présent paragraphe.</w:t>
            </w:r>
          </w:p>
        </w:tc>
        <w:tc>
          <w:tcPr>
            <w:tcW w:w="4876" w:type="dxa"/>
            <w:hideMark/>
          </w:tcPr>
          <w:p w:rsidR="0086407D" w:rsidRPr="00407D43" w:rsidRDefault="00407D43" w:rsidP="00982395">
            <w:pPr>
              <w:pStyle w:val="Normal6"/>
              <w:rPr>
                <w:szCs w:val="24"/>
              </w:rPr>
            </w:pPr>
            <w:r w:rsidRPr="00407D43">
              <w:t>1</w:t>
            </w:r>
            <w:r w:rsidRPr="00407D43">
              <w:tab/>
              <w:t>Au pl</w:t>
            </w:r>
            <w:r w:rsidRPr="00407D43">
              <w:t xml:space="preserve">us tard le 6 mai 2024, </w:t>
            </w:r>
            <w:r w:rsidRPr="00407D43">
              <w:rPr>
                <w:b/>
                <w:i/>
              </w:rPr>
              <w:t>puis tous les deux ans</w:t>
            </w:r>
            <w:r w:rsidRPr="00407D43">
              <w:t xml:space="preserve">, chaque État membre transmet un rapport complet à la Commission conformément aux deuxième et troisième alinéas du présent paragraphe. </w:t>
            </w:r>
            <w:r w:rsidRPr="00407D43">
              <w:rPr>
                <w:b/>
                <w:i/>
              </w:rPr>
              <w:t>(...)</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66</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8</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6 – paragraphe 3 – alinéa 2 – partie introductive</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Le rapport inclut également une description de la situation au niveau national concernant la suite donnée aux infractions en matière de sécurité routière. La description contient au moins:</w:t>
            </w:r>
          </w:p>
        </w:tc>
        <w:tc>
          <w:tcPr>
            <w:tcW w:w="4876" w:type="dxa"/>
            <w:hideMark/>
          </w:tcPr>
          <w:p w:rsidR="0086407D" w:rsidRPr="00407D43" w:rsidRDefault="00407D43" w:rsidP="00982395">
            <w:pPr>
              <w:pStyle w:val="Normal6"/>
              <w:rPr>
                <w:szCs w:val="24"/>
              </w:rPr>
            </w:pPr>
            <w:r w:rsidRPr="00407D43">
              <w:t>Le rapport inclut également une description de la situation au ni</w:t>
            </w:r>
            <w:r w:rsidRPr="00407D43">
              <w:t xml:space="preserve">veau national concernant la suite donnée aux infractions en matière de sécurité routière </w:t>
            </w:r>
            <w:r w:rsidRPr="00407D43">
              <w:rPr>
                <w:b/>
                <w:i/>
              </w:rPr>
              <w:t>et à tout problème connexe rencontré par les États membres</w:t>
            </w:r>
            <w:r w:rsidRPr="00407D43">
              <w:t xml:space="preserve">. La description contient au moins: </w:t>
            </w:r>
            <w:r w:rsidRPr="00407D43">
              <w:rPr>
                <w:b/>
                <w:i/>
              </w:rPr>
              <w:t>(...)</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67</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w:t>
      </w:r>
      <w:r w:rsidRPr="00407D43">
        <w:t>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8</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6 – paragraphe 4</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4.</w:t>
            </w:r>
            <w:r w:rsidRPr="00407D43">
              <w:tab/>
            </w:r>
            <w:r w:rsidRPr="00407D43">
              <w:t>La Commission évalue les rapports transmis par les États membres et informe le comité visé à l’article 10 bis de leur contenu au plus tard six mois après réception des rapports de tous les États membres.</w:t>
            </w:r>
          </w:p>
        </w:tc>
        <w:tc>
          <w:tcPr>
            <w:tcW w:w="4876" w:type="dxa"/>
            <w:hideMark/>
          </w:tcPr>
          <w:p w:rsidR="0086407D" w:rsidRPr="00407D43" w:rsidRDefault="00407D43" w:rsidP="00982395">
            <w:pPr>
              <w:pStyle w:val="Normal6"/>
              <w:rPr>
                <w:szCs w:val="24"/>
              </w:rPr>
            </w:pPr>
            <w:r w:rsidRPr="00407D43">
              <w:t>4.</w:t>
            </w:r>
            <w:r w:rsidRPr="00407D43">
              <w:tab/>
              <w:t>La Commission évalue les rapports transmis par le</w:t>
            </w:r>
            <w:r w:rsidRPr="00407D43">
              <w:t xml:space="preserve">s États membres et informe le comité visé à l’article 10 bis de leur contenu au plus tard six mois après réception des rapports de tous les États membres. </w:t>
            </w:r>
            <w:r w:rsidRPr="00407D43">
              <w:rPr>
                <w:b/>
                <w:i/>
              </w:rPr>
              <w:t xml:space="preserve">Ces rapports sont également publiés sur le site internet du portail visé à </w:t>
            </w:r>
            <w:r w:rsidRPr="00407D43">
              <w:rPr>
                <w:b/>
                <w:i/>
              </w:rPr>
              <w:lastRenderedPageBreak/>
              <w:t>l’article 8.</w:t>
            </w:r>
          </w:p>
        </w:tc>
      </w:tr>
    </w:tbl>
    <w:p w:rsidR="0086407D" w:rsidRPr="00407D43" w:rsidRDefault="00407D43" w:rsidP="0086407D">
      <w:r w:rsidRPr="00407D43">
        <w:rPr>
          <w:rStyle w:val="HideTWBExt"/>
        </w:rPr>
        <w:lastRenderedPageBreak/>
        <w:t>&lt;/Amend&gt;</w:t>
      </w:r>
    </w:p>
    <w:p w:rsidR="0086407D" w:rsidRPr="00407D43" w:rsidRDefault="00407D43" w:rsidP="0086407D">
      <w:pPr>
        <w:pStyle w:val="AmNumberTabs"/>
      </w:pPr>
      <w:r w:rsidRPr="00407D43">
        <w:rPr>
          <w:rStyle w:val="HideTWBExt"/>
          <w:b w:val="0"/>
        </w:rPr>
        <w:t>&lt;Am</w:t>
      </w:r>
      <w:r w:rsidRPr="00407D43">
        <w:rPr>
          <w:rStyle w:val="HideTWBExt"/>
          <w:b w:val="0"/>
        </w:rPr>
        <w:t>end&gt;</w:t>
      </w:r>
      <w:r w:rsidRPr="00407D43">
        <w:t>Amendement</w:t>
      </w:r>
      <w:r w:rsidRPr="00407D43">
        <w:tab/>
      </w:r>
      <w:r w:rsidRPr="00407D43">
        <w:tab/>
      </w:r>
      <w:r w:rsidRPr="00407D43">
        <w:rPr>
          <w:rStyle w:val="HideTWBExt"/>
          <w:b w:val="0"/>
        </w:rPr>
        <w:t>&lt;NumAm&gt;</w:t>
      </w:r>
      <w:r w:rsidRPr="00407D43">
        <w:t>68</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8</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8 – paragraphe 1 – point a</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a)</w:t>
            </w:r>
            <w:r w:rsidRPr="00407D43">
              <w:tab/>
              <w:t>au partage d’informations avec les usagers de la route sur les règles en vigueur dans les États membres dans le domaine couvert par la présente directive, en particulier les règles de circulation liées à la sé</w:t>
            </w:r>
            <w:r w:rsidRPr="00407D43">
              <w:t>curité routière, les procédures de recours, les sanctions appliquées, ainsi que les systèmes et les moyens disponibles pour le paiement des sanctions pécuniaires;</w:t>
            </w:r>
          </w:p>
        </w:tc>
        <w:tc>
          <w:tcPr>
            <w:tcW w:w="4876" w:type="dxa"/>
            <w:hideMark/>
          </w:tcPr>
          <w:p w:rsidR="0086407D" w:rsidRPr="00407D43" w:rsidRDefault="00407D43" w:rsidP="00982395">
            <w:pPr>
              <w:pStyle w:val="Normal6"/>
              <w:rPr>
                <w:szCs w:val="24"/>
              </w:rPr>
            </w:pPr>
            <w:r w:rsidRPr="00407D43">
              <w:t>a)</w:t>
            </w:r>
            <w:r w:rsidRPr="00407D43">
              <w:tab/>
              <w:t xml:space="preserve">au partage d’informations avec les usagers de la route sur les règles en vigueur dans les </w:t>
            </w:r>
            <w:r w:rsidRPr="00407D43">
              <w:t xml:space="preserve">États membres dans le domaine couvert par la présente directive, en particulier les règles de circulation liées à la sécurité routière </w:t>
            </w:r>
            <w:r w:rsidRPr="00407D43">
              <w:rPr>
                <w:b/>
                <w:i/>
              </w:rPr>
              <w:t>et la manière dont les conducteurs peuvent s’y conformer</w:t>
            </w:r>
            <w:r w:rsidRPr="00407D43">
              <w:t xml:space="preserve">, les procédures de recours, les sanctions appliquées, ainsi que </w:t>
            </w:r>
            <w:r w:rsidRPr="00407D43">
              <w:t>les systèmes et les moyens disponibles pour le paiement des sanctions pécuniaires;</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69</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8</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8 – paragraphe 3</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3.</w:t>
            </w:r>
            <w:r w:rsidRPr="00407D43">
              <w:tab/>
            </w:r>
            <w:r w:rsidRPr="00407D43">
              <w:t>Les États membres aident les usagers de la route à vérifier l’authenticité des lettres de notification et des documents de suivi. À cette fin, les États membres partagent entre eux et avec la Commission, par l’intermédiaire du portail pour l’exécution tran</w:t>
            </w:r>
            <w:r w:rsidRPr="00407D43">
              <w:t>sfrontière des sanctions, les modèles de lettres de notification et de documents de suivi émis par leurs autorités, qui sont utilisés dans des affaires transfrontières. Les États membres s’informent également mutuellement quant aux autorités et entités jur</w:t>
            </w:r>
            <w:r w:rsidRPr="00407D43">
              <w:t xml:space="preserve">idiques habilitées qui ont le droit d’émettre ces lettres et </w:t>
            </w:r>
            <w:r w:rsidRPr="00407D43">
              <w:lastRenderedPageBreak/>
              <w:t xml:space="preserve">documents. La Commission est la </w:t>
            </w:r>
            <w:r w:rsidRPr="00407D43">
              <w:rPr>
                <w:b/>
                <w:i/>
              </w:rPr>
              <w:t>responsable</w:t>
            </w:r>
            <w:r w:rsidRPr="00407D43">
              <w:t xml:space="preserve"> du traitement pour le portail pour l’exécution transfrontière des sanctions, conformément au règlement (CE) 2018/1725**.</w:t>
            </w:r>
          </w:p>
        </w:tc>
        <w:tc>
          <w:tcPr>
            <w:tcW w:w="4876" w:type="dxa"/>
            <w:hideMark/>
          </w:tcPr>
          <w:p w:rsidR="0086407D" w:rsidRPr="00407D43" w:rsidRDefault="00407D43" w:rsidP="00982395">
            <w:pPr>
              <w:pStyle w:val="Normal6"/>
              <w:rPr>
                <w:szCs w:val="24"/>
              </w:rPr>
            </w:pPr>
            <w:r w:rsidRPr="00407D43">
              <w:lastRenderedPageBreak/>
              <w:t>3.</w:t>
            </w:r>
            <w:r w:rsidRPr="00407D43">
              <w:tab/>
              <w:t>Les États membres aident le</w:t>
            </w:r>
            <w:r w:rsidRPr="00407D43">
              <w:t>s usagers de la route à vérifier l’authenticité des lettres de notification et des documents de suivi. À cette fin, les États membres partagent entre eux et avec la Commission, par l’intermédiaire du portail pour l’exécution transfrontière des sanctions, l</w:t>
            </w:r>
            <w:r w:rsidRPr="00407D43">
              <w:t xml:space="preserve">es modèles de lettres de notification et de documents de suivi émis par leurs autorités, qui sont utilisés dans des affaires transfrontières. Les États membres s’informent également mutuellement quant aux autorités et entités juridiques habilitées qui ont </w:t>
            </w:r>
            <w:r w:rsidRPr="00407D43">
              <w:t xml:space="preserve">le droit d’émettre ces lettres et </w:t>
            </w:r>
            <w:r w:rsidRPr="00407D43">
              <w:lastRenderedPageBreak/>
              <w:t xml:space="preserve">documents. La Commission </w:t>
            </w:r>
            <w:r w:rsidRPr="00407D43">
              <w:rPr>
                <w:b/>
                <w:i/>
              </w:rPr>
              <w:t>et les États membres</w:t>
            </w:r>
            <w:r w:rsidRPr="00407D43">
              <w:t xml:space="preserve"> sont les </w:t>
            </w:r>
            <w:r w:rsidRPr="00407D43">
              <w:rPr>
                <w:b/>
                <w:i/>
              </w:rPr>
              <w:t>responsables conjoints</w:t>
            </w:r>
            <w:r w:rsidRPr="00407D43">
              <w:t xml:space="preserve"> du traitement pour le portail pour l’exécution transfrontière des sanctions, conformément au règlement (CE) 2018/1725**.</w:t>
            </w:r>
          </w:p>
        </w:tc>
      </w:tr>
      <w:tr w:rsidR="005C37AD" w:rsidRPr="00407D43" w:rsidTr="00982395">
        <w:trPr>
          <w:jc w:val="center"/>
        </w:trPr>
        <w:tc>
          <w:tcPr>
            <w:tcW w:w="4876" w:type="dxa"/>
          </w:tcPr>
          <w:p w:rsidR="0086407D" w:rsidRPr="00407D43" w:rsidRDefault="00407D43" w:rsidP="00982395">
            <w:pPr>
              <w:pStyle w:val="Normal6"/>
            </w:pPr>
            <w:r w:rsidRPr="00407D43">
              <w:lastRenderedPageBreak/>
              <w:t>___________</w:t>
            </w:r>
          </w:p>
        </w:tc>
        <w:tc>
          <w:tcPr>
            <w:tcW w:w="4876" w:type="dxa"/>
          </w:tcPr>
          <w:p w:rsidR="0086407D" w:rsidRPr="00407D43" w:rsidRDefault="00407D43" w:rsidP="00982395">
            <w:pPr>
              <w:pStyle w:val="Normal6"/>
            </w:pPr>
            <w:r w:rsidRPr="00407D43">
              <w:t>________________</w:t>
            </w:r>
          </w:p>
        </w:tc>
      </w:tr>
      <w:tr w:rsidR="005C37AD" w:rsidRPr="00407D43" w:rsidTr="00982395">
        <w:trPr>
          <w:jc w:val="center"/>
        </w:trPr>
        <w:tc>
          <w:tcPr>
            <w:tcW w:w="4876" w:type="dxa"/>
          </w:tcPr>
          <w:p w:rsidR="0086407D" w:rsidRPr="00407D43" w:rsidRDefault="00407D43" w:rsidP="00982395">
            <w:pPr>
              <w:pStyle w:val="Normal6"/>
            </w:pPr>
            <w:r w:rsidRPr="00407D43">
              <w:t>** Règlement (UE) 2018/1725 du Parlement européen et du Conseil du 23 octobre 2018 relatif à la protection des personnes physiques à l’égard du traitement des données à caractère personnel par les institutions, organes et organismes de l’</w:t>
            </w:r>
            <w:r w:rsidRPr="00407D43">
              <w:t>Union et à la libre circulation de ces données, et abrogeant le règlement (CE) nº 45/2001 et la décision nº 1247/2002/CE (JO L 295 du 21.11.2018, p. 39).</w:t>
            </w:r>
          </w:p>
        </w:tc>
        <w:tc>
          <w:tcPr>
            <w:tcW w:w="4876" w:type="dxa"/>
          </w:tcPr>
          <w:p w:rsidR="0086407D" w:rsidRPr="00407D43" w:rsidRDefault="00407D43" w:rsidP="00982395">
            <w:pPr>
              <w:pStyle w:val="Normal6"/>
            </w:pPr>
            <w:r w:rsidRPr="00407D43">
              <w:t>** Règlement (UE) 2018/1725 du Parlement européen et du Conseil du 23 octobre 2018 relatif à la protec</w:t>
            </w:r>
            <w:r w:rsidRPr="00407D43">
              <w:t>tion des personnes physiques à l’égard du traitement des données à caractère personnel par les institutions, organes et organismes de l’Union et à la libre circulation de ces données, et abrogeant le règlement (CE) nº 45/2001 et la décision nº 1247/2002/CE</w:t>
            </w:r>
            <w:r w:rsidRPr="00407D43">
              <w:t xml:space="preserve"> (JO L 295 du 21.11.2018, p. 39).</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70</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8</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8 – paragraphe 5</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hideMark/>
          </w:tcPr>
          <w:p w:rsidR="0086407D" w:rsidRPr="00407D43" w:rsidRDefault="00407D43" w:rsidP="00982395">
            <w:pPr>
              <w:pStyle w:val="Normal6"/>
            </w:pPr>
            <w:r w:rsidRPr="00407D43">
              <w:t>5.</w:t>
            </w:r>
            <w:r w:rsidRPr="00407D43">
              <w:tab/>
              <w:t xml:space="preserve">Aux fins du présent article, les États membres se transmettent mutuellement, et transmettent à la Commission, des informations actualisées, et interagissent régulièrement </w:t>
            </w:r>
            <w:r w:rsidRPr="00407D43">
              <w:t>avec les usagers de la route par l’intermédiaire du portail pour l’exécution transfrontière des sanctions.</w:t>
            </w:r>
          </w:p>
        </w:tc>
        <w:tc>
          <w:tcPr>
            <w:tcW w:w="4876" w:type="dxa"/>
            <w:hideMark/>
          </w:tcPr>
          <w:p w:rsidR="0086407D" w:rsidRPr="00407D43" w:rsidRDefault="00407D43" w:rsidP="00982395">
            <w:pPr>
              <w:pStyle w:val="Normal6"/>
              <w:rPr>
                <w:szCs w:val="24"/>
              </w:rPr>
            </w:pPr>
            <w:r w:rsidRPr="00407D43">
              <w:t>5.</w:t>
            </w:r>
            <w:r w:rsidRPr="00407D43">
              <w:tab/>
              <w:t>Aux fins du présent article, les États membres se transmettent mutuellement, et transmettent à la Commission, des informations actualisées, et int</w:t>
            </w:r>
            <w:r w:rsidRPr="00407D43">
              <w:t xml:space="preserve">eragissent régulièrement avec les usagers de la route par l’intermédiaire du portail pour l’exécution transfrontière des sanctions. </w:t>
            </w:r>
            <w:r w:rsidRPr="00407D43">
              <w:rPr>
                <w:b/>
                <w:i/>
              </w:rPr>
              <w:t>Les États membres veillent à ce qu’un lien vers le portail en ligne soit fourni sur les sites web de leurs points de contact</w:t>
            </w:r>
            <w:r w:rsidRPr="00407D43">
              <w:rPr>
                <w:b/>
                <w:i/>
              </w:rPr>
              <w:t xml:space="preserve"> nationaux. Toute donnée à caractère personnel traitée au titre du présent article est conservée pendant quatre ans au maximum.</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71</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lastRenderedPageBreak/>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9</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8 bis</w:t>
      </w:r>
      <w:r w:rsidRPr="00407D4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407D43" w:rsidP="00982395">
            <w:pPr>
              <w:pStyle w:val="Normal6"/>
            </w:pPr>
            <w:r w:rsidRPr="00407D43">
              <w:t>Article 8 bis</w:t>
            </w:r>
          </w:p>
        </w:tc>
        <w:tc>
          <w:tcPr>
            <w:tcW w:w="4876" w:type="dxa"/>
          </w:tcPr>
          <w:p w:rsidR="0086407D" w:rsidRPr="00407D43" w:rsidRDefault="00407D43" w:rsidP="00982395">
            <w:pPr>
              <w:pStyle w:val="Normal6"/>
            </w:pPr>
            <w:r w:rsidRPr="00407D43">
              <w:t>Article 8 bis</w:t>
            </w:r>
          </w:p>
        </w:tc>
      </w:tr>
      <w:tr w:rsidR="005C37AD" w:rsidRPr="00407D43" w:rsidTr="00982395">
        <w:trPr>
          <w:jc w:val="center"/>
        </w:trPr>
        <w:tc>
          <w:tcPr>
            <w:tcW w:w="4876" w:type="dxa"/>
          </w:tcPr>
          <w:p w:rsidR="0086407D" w:rsidRPr="00407D43" w:rsidRDefault="00407D43" w:rsidP="00982395">
            <w:pPr>
              <w:pStyle w:val="Normal6"/>
            </w:pPr>
            <w:r w:rsidRPr="00407D43">
              <w:t>Soutien financier à la coopération transfrontière en matière de contrôle de l’exécution</w:t>
            </w:r>
          </w:p>
        </w:tc>
        <w:tc>
          <w:tcPr>
            <w:tcW w:w="4876" w:type="dxa"/>
          </w:tcPr>
          <w:p w:rsidR="0086407D" w:rsidRPr="00407D43" w:rsidRDefault="00407D43" w:rsidP="00982395">
            <w:pPr>
              <w:pStyle w:val="Normal6"/>
            </w:pPr>
            <w:r w:rsidRPr="00407D43">
              <w:t>Soutien financier à la coopération transfrontière en matière de contrôle de l’exécution</w:t>
            </w:r>
          </w:p>
        </w:tc>
      </w:tr>
      <w:tr w:rsidR="005C37AD" w:rsidRPr="00407D43" w:rsidTr="00982395">
        <w:trPr>
          <w:jc w:val="center"/>
        </w:trPr>
        <w:tc>
          <w:tcPr>
            <w:tcW w:w="4876" w:type="dxa"/>
            <w:hideMark/>
          </w:tcPr>
          <w:p w:rsidR="0086407D" w:rsidRPr="00407D43" w:rsidRDefault="00407D43" w:rsidP="00982395">
            <w:pPr>
              <w:pStyle w:val="Normal6"/>
            </w:pPr>
            <w:r w:rsidRPr="00407D43">
              <w:t>La Commission apporte un soutien financier aux initiatives qui contribuent à la</w:t>
            </w:r>
            <w:r w:rsidRPr="00407D43">
              <w:t xml:space="preserve"> coopération transfrontière en matière de contrôle de l’exécution des règles de circulation liées à la sécurité routière dans l’Union, en particulier l’échange de bonnes pratiques, l’utilisation de méthodes et de techniques intelligentes de contrôle de l’e</w:t>
            </w:r>
            <w:r w:rsidRPr="00407D43">
              <w:t>xécution dans les États membres</w:t>
            </w:r>
            <w:r w:rsidRPr="00407D43">
              <w:rPr>
                <w:b/>
                <w:i/>
              </w:rPr>
              <w:t>,</w:t>
            </w:r>
            <w:r w:rsidRPr="00407D43">
              <w:t xml:space="preserve"> le renforcement des capacités des autorités répressives et les campagnes de sensibilisation concernant les actions transfrontières de contrôle de l’exécution.</w:t>
            </w:r>
          </w:p>
        </w:tc>
        <w:tc>
          <w:tcPr>
            <w:tcW w:w="4876" w:type="dxa"/>
            <w:hideMark/>
          </w:tcPr>
          <w:p w:rsidR="0086407D" w:rsidRPr="00407D43" w:rsidRDefault="00407D43" w:rsidP="00982395">
            <w:pPr>
              <w:pStyle w:val="Normal6"/>
              <w:rPr>
                <w:szCs w:val="24"/>
              </w:rPr>
            </w:pPr>
            <w:r w:rsidRPr="00407D43">
              <w:t>La Commission apporte un soutien financier aux initiatives qui c</w:t>
            </w:r>
            <w:r w:rsidRPr="00407D43">
              <w:t xml:space="preserve">ontribuent à la coopération transfrontière en matière de contrôle de l’exécution des règles de circulation liées à la sécurité routière dans l’Union, en particulier l’échange de bonnes pratiques, l’utilisation de méthodes et de techniques intelligentes de </w:t>
            </w:r>
            <w:r w:rsidRPr="00407D43">
              <w:t xml:space="preserve">contrôle de l’exécution dans les États membres, le renforcement des capacités des autorités répressives et les campagnes de sensibilisation concernant les actions transfrontières de contrôle de l’exécution. </w:t>
            </w:r>
            <w:r w:rsidRPr="00407D43">
              <w:rPr>
                <w:b/>
                <w:i/>
              </w:rPr>
              <w:t xml:space="preserve">L’échange de bonnes pratiques devrait être fondé </w:t>
            </w:r>
            <w:r w:rsidRPr="00407D43">
              <w:rPr>
                <w:b/>
                <w:i/>
              </w:rPr>
              <w:t>sur la publication de la nouvelle version révisée de la recommandation 2004/345 de la Commission relative à l’application de la réglementation dans le domaine de la sécurité routière. Ces nouvelles recommandations révisées devraient encourager les États me</w:t>
            </w:r>
            <w:r w:rsidRPr="00407D43">
              <w:rPr>
                <w:b/>
                <w:i/>
              </w:rPr>
              <w:t>mbres à atteindre des normes élevées en matière d’exécution.</w:t>
            </w:r>
          </w:p>
        </w:tc>
      </w:tr>
      <w:tr w:rsidR="005C37AD" w:rsidRPr="00407D43" w:rsidTr="00982395">
        <w:trPr>
          <w:jc w:val="center"/>
        </w:trPr>
        <w:tc>
          <w:tcPr>
            <w:tcW w:w="4876" w:type="dxa"/>
          </w:tcPr>
          <w:p w:rsidR="0086407D" w:rsidRPr="00407D43" w:rsidRDefault="0086407D" w:rsidP="00982395">
            <w:pPr>
              <w:widowControl/>
            </w:pPr>
          </w:p>
        </w:tc>
        <w:tc>
          <w:tcPr>
            <w:tcW w:w="4876" w:type="dxa"/>
            <w:hideMark/>
          </w:tcPr>
          <w:p w:rsidR="0086407D" w:rsidRPr="00407D43" w:rsidRDefault="00407D43" w:rsidP="00982395">
            <w:pPr>
              <w:pStyle w:val="Normal6"/>
              <w:rPr>
                <w:szCs w:val="24"/>
              </w:rPr>
            </w:pPr>
            <w:r w:rsidRPr="00407D43">
              <w:rPr>
                <w:b/>
                <w:i/>
              </w:rPr>
              <w:t>La Commission et les États membres aident également les États membres à numériser les données visées à l’annexe III de la directive 2010/40/UE qui sont pertinentes pour les infractions visées à</w:t>
            </w:r>
            <w:r w:rsidRPr="00407D43">
              <w:rPr>
                <w:b/>
                <w:i/>
              </w:rPr>
              <w:t xml:space="preserve"> l’article 2, premier alinéa.</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72</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lastRenderedPageBreak/>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9 bis (nouveau)</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8 bis bis (nouveau)</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9 bis)</w:t>
            </w:r>
            <w:r w:rsidRPr="00407D43">
              <w:rPr>
                <w:b/>
                <w:i/>
              </w:rPr>
              <w:tab/>
              <w:t>l’article suivant est inséré:</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«Article 8 bis bis</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Exécution</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Les recettes générées par les sanctions pécuniaires perçues pour les infractions en matière de sécurité routière, ou l’équivalent en valeur financière de ces recettes, sont utilisées pour améliorer la sécurité routière.</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Lorsque ces recettes sont affectée</w:t>
            </w:r>
            <w:r w:rsidRPr="00407D43">
              <w:rPr>
                <w:b/>
                <w:i/>
              </w:rPr>
              <w:t>s au budget général d’un État membre, l’État membre est réputé s’être conformé au premier alinéa du présent paragraphe s’il met en œuvre des mesures de soutien financier visant à améliorer la sécurité routière ayant une valeur équivalente aux recettes géné</w:t>
            </w:r>
            <w:r w:rsidRPr="00407D43">
              <w:rPr>
                <w:b/>
                <w:i/>
              </w:rPr>
              <w:t>rées par les sanctions pécuniaires perçues pour les infractions en matière de sécurité routière définies à l’article 3 de la présente directive.</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Au plus tard le [6 mai 2026], et tous les [trois] ans par la suite, les États membres publient, sous forme ag</w:t>
            </w:r>
            <w:r w:rsidRPr="00407D43">
              <w:rPr>
                <w:b/>
                <w:i/>
              </w:rPr>
              <w:t>régée, un rapport sur l’utilisation des recettes générées par les sanctions pécuniaires.</w:t>
            </w:r>
          </w:p>
        </w:tc>
      </w:tr>
    </w:tbl>
    <w:p w:rsidR="0086407D" w:rsidRPr="00407D43" w:rsidRDefault="00407D43" w:rsidP="0086407D">
      <w:r w:rsidRPr="00407D43">
        <w:rPr>
          <w:rStyle w:val="HideTWBExt"/>
        </w:rPr>
        <w:t>&lt;/Amend&gt;</w:t>
      </w:r>
    </w:p>
    <w:p w:rsidR="0086407D" w:rsidRPr="00407D43" w:rsidRDefault="00407D43" w:rsidP="0086407D">
      <w:pPr>
        <w:pStyle w:val="AmNumberTabs"/>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73</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Article 1 – alinéa 1 – point 9 ter (nouveau)</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Article 8 bis ter (nouveau)</w:t>
      </w:r>
      <w:r w:rsidRPr="00407D4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7AD" w:rsidRPr="00407D43" w:rsidTr="00982395">
        <w:trPr>
          <w:jc w:val="center"/>
        </w:trPr>
        <w:tc>
          <w:tcPr>
            <w:tcW w:w="9752" w:type="dxa"/>
            <w:gridSpan w:val="2"/>
          </w:tcPr>
          <w:p w:rsidR="0086407D" w:rsidRPr="00407D43" w:rsidRDefault="0086407D" w:rsidP="00982395">
            <w:pPr>
              <w:keepNext/>
            </w:pPr>
          </w:p>
        </w:tc>
      </w:tr>
      <w:tr w:rsidR="005C37AD" w:rsidRPr="00407D43" w:rsidTr="00982395">
        <w:trPr>
          <w:jc w:val="center"/>
        </w:trPr>
        <w:tc>
          <w:tcPr>
            <w:tcW w:w="4876" w:type="dxa"/>
            <w:hideMark/>
          </w:tcPr>
          <w:p w:rsidR="0086407D" w:rsidRPr="00407D43" w:rsidRDefault="00407D43" w:rsidP="00982395">
            <w:pPr>
              <w:pStyle w:val="ColumnHeading"/>
              <w:keepNext/>
            </w:pPr>
            <w:r w:rsidRPr="00407D43">
              <w:t>Texte proposé par la Commission</w:t>
            </w:r>
          </w:p>
        </w:tc>
        <w:tc>
          <w:tcPr>
            <w:tcW w:w="4876" w:type="dxa"/>
            <w:hideMark/>
          </w:tcPr>
          <w:p w:rsidR="0086407D" w:rsidRPr="00407D43" w:rsidRDefault="00407D43" w:rsidP="00982395">
            <w:pPr>
              <w:pStyle w:val="ColumnHeading"/>
              <w:keepNext/>
            </w:pPr>
            <w:r w:rsidRPr="00407D43">
              <w:t>Amendement</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9 ter)</w:t>
            </w:r>
            <w:r w:rsidRPr="00407D43">
              <w:rPr>
                <w:b/>
                <w:i/>
              </w:rPr>
              <w:tab/>
              <w:t>l’article suivant est inséré:</w:t>
            </w:r>
          </w:p>
        </w:tc>
      </w:tr>
      <w:tr w:rsidR="005C37AD" w:rsidRPr="00407D43" w:rsidTr="00982395">
        <w:trPr>
          <w:jc w:val="center"/>
        </w:trPr>
        <w:tc>
          <w:tcPr>
            <w:tcW w:w="4876" w:type="dxa"/>
          </w:tcPr>
          <w:p w:rsidR="0086407D" w:rsidRPr="00407D43" w:rsidRDefault="0086407D" w:rsidP="00982395">
            <w:pPr>
              <w:pStyle w:val="Normal6"/>
            </w:pPr>
          </w:p>
        </w:tc>
        <w:tc>
          <w:tcPr>
            <w:tcW w:w="4876" w:type="dxa"/>
          </w:tcPr>
          <w:p w:rsidR="0086407D" w:rsidRPr="00407D43" w:rsidRDefault="00407D43" w:rsidP="00982395">
            <w:pPr>
              <w:pStyle w:val="Normal6"/>
              <w:rPr>
                <w:b/>
                <w:i/>
              </w:rPr>
            </w:pPr>
            <w:r w:rsidRPr="00407D43">
              <w:rPr>
                <w:b/>
                <w:i/>
              </w:rPr>
              <w:t>«Article 8 bis ter</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Échange d’informations concernant les infractions routières avec les pays tiers voisins</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Au plus tard [deux ans après l’entrée en vigueur de la présente directive], la Commission analyse, à la lumière d’un avis juridique, la manière d’exécuter efficacemen</w:t>
            </w:r>
            <w:r w:rsidRPr="00407D43">
              <w:rPr>
                <w:b/>
                <w:i/>
              </w:rPr>
              <w:t xml:space="preserve">t les sanctions en cas d’infractions définies par la présente directive dans le cadre de la convention européenne relative à l’entraide judiciaire en matière pénale de 1959 et de ses protocoles afin de dégager des mesures concrètes et efficaces permettant </w:t>
            </w:r>
            <w:r w:rsidRPr="00407D43">
              <w:rPr>
                <w:b/>
                <w:i/>
              </w:rPr>
              <w:t>d’améliorer la sécurité routière tout en assurant le respect des exigences en matière de protection des données, en particulier celles des détenteurs de véhicules et des conducteurs de l’Union.</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Pour lutter contre les infractions en matière de sécurité ro</w:t>
            </w:r>
            <w:r w:rsidRPr="00407D43">
              <w:rPr>
                <w:b/>
                <w:i/>
              </w:rPr>
              <w:t>utière commises par des ressortissants de pays tiers, il devrait être possible pour les pays tiers de participer à l’échange de données relatives à l’immatriculation des véhicules pour autant qu’ils aient conclu un accord avec l’Union à cet effet. Un tel a</w:t>
            </w:r>
            <w:r w:rsidRPr="00407D43">
              <w:rPr>
                <w:b/>
                <w:i/>
              </w:rPr>
              <w:t>ccord doit inclure les dispositions nécessaires en matière de protection des données.</w:t>
            </w:r>
          </w:p>
        </w:tc>
      </w:tr>
      <w:tr w:rsidR="005C37AD" w:rsidRPr="00407D43" w:rsidTr="00982395">
        <w:trPr>
          <w:jc w:val="center"/>
        </w:trPr>
        <w:tc>
          <w:tcPr>
            <w:tcW w:w="4876" w:type="dxa"/>
          </w:tcPr>
          <w:p w:rsidR="0086407D" w:rsidRPr="00407D43" w:rsidRDefault="0086407D" w:rsidP="00982395">
            <w:pPr>
              <w:pStyle w:val="Normal6"/>
            </w:pPr>
          </w:p>
        </w:tc>
        <w:tc>
          <w:tcPr>
            <w:tcW w:w="4876" w:type="dxa"/>
            <w:hideMark/>
          </w:tcPr>
          <w:p w:rsidR="0086407D" w:rsidRPr="00407D43" w:rsidRDefault="00407D43" w:rsidP="00982395">
            <w:pPr>
              <w:pStyle w:val="Normal6"/>
              <w:rPr>
                <w:szCs w:val="24"/>
              </w:rPr>
            </w:pPr>
            <w:r w:rsidRPr="00407D43">
              <w:rPr>
                <w:b/>
                <w:i/>
              </w:rPr>
              <w:t>En cas d’attente prolongée pour la conclusion d’un tel accord, les États membres, en coopération avec la Commission, mettent au point une solution spécifique permettant</w:t>
            </w:r>
            <w:r w:rsidRPr="00407D43">
              <w:rPr>
                <w:b/>
                <w:i/>
              </w:rPr>
              <w:t xml:space="preserve"> de repérer les auteurs présumés d’infractions routières au moment où ils tentent de franchir les frontières extérieures de l’Union, afin de leur infliger une sanction pécuniaire pour l’infraction en matière de sécurité routière qu’ils ont commise sur leur</w:t>
            </w:r>
            <w:r w:rsidRPr="00407D43">
              <w:rPr>
                <w:b/>
                <w:i/>
              </w:rPr>
              <w:t xml:space="preserve"> territoire.</w:t>
            </w:r>
          </w:p>
        </w:tc>
      </w:tr>
    </w:tbl>
    <w:p w:rsidR="0086407D" w:rsidRPr="00407D43" w:rsidRDefault="00407D43" w:rsidP="0086407D">
      <w:r w:rsidRPr="00407D43">
        <w:rPr>
          <w:rStyle w:val="HideTWBExt"/>
        </w:rPr>
        <w:t>&lt;/Amend&gt;</w:t>
      </w:r>
    </w:p>
    <w:p w:rsidR="0086407D" w:rsidRPr="00407D43" w:rsidRDefault="00407D43" w:rsidP="0086407D">
      <w:pPr>
        <w:pStyle w:val="AMNumberTabs0"/>
        <w:keepNext/>
      </w:pPr>
      <w:r w:rsidRPr="00407D43">
        <w:rPr>
          <w:rStyle w:val="HideTWBExt"/>
          <w:b w:val="0"/>
        </w:rPr>
        <w:t>&lt;Amend&gt;</w:t>
      </w:r>
      <w:r w:rsidRPr="00407D43">
        <w:t>Amendement</w:t>
      </w:r>
      <w:r w:rsidRPr="00407D43">
        <w:tab/>
      </w:r>
      <w:r w:rsidRPr="00407D43">
        <w:tab/>
      </w:r>
      <w:r w:rsidRPr="00407D43">
        <w:rPr>
          <w:rStyle w:val="HideTWBExt"/>
          <w:b w:val="0"/>
        </w:rPr>
        <w:t>&lt;NumAm&gt;</w:t>
      </w:r>
      <w:r w:rsidRPr="00407D43">
        <w:t>74</w:t>
      </w:r>
      <w:r w:rsidRPr="00407D43">
        <w:rPr>
          <w:rStyle w:val="HideTWBExt"/>
          <w:b w:val="0"/>
        </w:rPr>
        <w:t>&lt;/NumAm&gt;</w:t>
      </w:r>
    </w:p>
    <w:p w:rsidR="0086407D" w:rsidRPr="00407D43" w:rsidRDefault="0086407D" w:rsidP="0086407D"/>
    <w:p w:rsidR="0086407D" w:rsidRPr="00407D43" w:rsidRDefault="00407D43" w:rsidP="0086407D">
      <w:pPr>
        <w:pStyle w:val="NormalBold"/>
        <w:keepNext/>
      </w:pPr>
      <w:r w:rsidRPr="00407D43">
        <w:rPr>
          <w:rStyle w:val="HideTWBExt"/>
          <w:b w:val="0"/>
        </w:rPr>
        <w:lastRenderedPageBreak/>
        <w:t>&lt;DocAmend&gt;</w:t>
      </w:r>
      <w:r w:rsidRPr="00407D43">
        <w:t>Proposition de directive</w:t>
      </w:r>
      <w:r w:rsidRPr="00407D43">
        <w:rPr>
          <w:rStyle w:val="HideTWBExt"/>
          <w:b w:val="0"/>
        </w:rPr>
        <w:t>&lt;/DocAmend&gt;</w:t>
      </w:r>
    </w:p>
    <w:p w:rsidR="0086407D" w:rsidRPr="00407D43" w:rsidRDefault="00407D43" w:rsidP="0086407D">
      <w:pPr>
        <w:pStyle w:val="NormalBold"/>
      </w:pPr>
      <w:r w:rsidRPr="00407D43">
        <w:rPr>
          <w:rStyle w:val="HideTWBExt"/>
          <w:b w:val="0"/>
        </w:rPr>
        <w:t>&lt;Article&gt;</w:t>
      </w:r>
      <w:r w:rsidRPr="00407D43">
        <w:t>Annexe – point 1 – tableau</w:t>
      </w:r>
      <w:r w:rsidRPr="00407D43">
        <w:rPr>
          <w:rStyle w:val="HideTWBExt"/>
          <w:b w:val="0"/>
        </w:rPr>
        <w:t>&lt;/Article&gt;</w:t>
      </w:r>
    </w:p>
    <w:p w:rsidR="0086407D" w:rsidRPr="00407D43" w:rsidRDefault="00407D43" w:rsidP="0086407D">
      <w:pPr>
        <w:keepNext/>
      </w:pPr>
      <w:r w:rsidRPr="00407D43">
        <w:rPr>
          <w:rStyle w:val="HideTWBExt"/>
        </w:rPr>
        <w:t>&lt;DocAmend2&gt;</w:t>
      </w:r>
      <w:r w:rsidRPr="00407D43">
        <w:t>Directive (UE) 2015/413</w:t>
      </w:r>
      <w:r w:rsidRPr="00407D43">
        <w:rPr>
          <w:rStyle w:val="HideTWBExt"/>
        </w:rPr>
        <w:t>&lt;/DocAmend2&gt;</w:t>
      </w:r>
    </w:p>
    <w:p w:rsidR="0086407D" w:rsidRPr="00407D43" w:rsidRDefault="00407D43" w:rsidP="0086407D">
      <w:r w:rsidRPr="00407D43">
        <w:rPr>
          <w:rStyle w:val="HideTWBExt"/>
        </w:rPr>
        <w:t>&lt;Article2&gt;</w:t>
      </w:r>
      <w:r w:rsidRPr="00407D43">
        <w:t>Annexe I – tableau 1</w:t>
      </w:r>
      <w:r w:rsidRPr="00407D4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2"/>
        <w:gridCol w:w="2605"/>
        <w:gridCol w:w="991"/>
        <w:gridCol w:w="6130"/>
        <w:gridCol w:w="119"/>
      </w:tblGrid>
      <w:tr w:rsidR="005C37AD" w:rsidRPr="00407D43" w:rsidTr="00982395">
        <w:trPr>
          <w:gridAfter w:val="1"/>
          <w:wAfter w:w="119" w:type="dxa"/>
          <w:jc w:val="center"/>
        </w:trPr>
        <w:tc>
          <w:tcPr>
            <w:tcW w:w="9768" w:type="dxa"/>
            <w:gridSpan w:val="4"/>
          </w:tcPr>
          <w:p w:rsidR="0086407D" w:rsidRPr="00407D43" w:rsidRDefault="0086407D" w:rsidP="00982395">
            <w:pPr>
              <w:keepNext/>
            </w:pPr>
          </w:p>
        </w:tc>
      </w:tr>
      <w:tr w:rsidR="005C37AD" w:rsidRPr="00407D43" w:rsidTr="00982395">
        <w:trPr>
          <w:gridAfter w:val="1"/>
          <w:wAfter w:w="119" w:type="dxa"/>
          <w:jc w:val="center"/>
        </w:trPr>
        <w:tc>
          <w:tcPr>
            <w:tcW w:w="9768" w:type="dxa"/>
            <w:gridSpan w:val="4"/>
          </w:tcPr>
          <w:p w:rsidR="0086407D" w:rsidRPr="00407D43" w:rsidRDefault="00407D43" w:rsidP="00982395">
            <w:pPr>
              <w:pStyle w:val="ColumnHeading"/>
              <w:keepNext/>
            </w:pPr>
            <w:r w:rsidRPr="00407D43">
              <w:t>Texte proposé par la Commission</w:t>
            </w:r>
          </w:p>
        </w:tc>
      </w:tr>
      <w:tr w:rsidR="005C37AD" w:rsidRPr="00407D43" w:rsidTr="00982395">
        <w:trPr>
          <w:gridAfter w:val="1"/>
          <w:wAfter w:w="119" w:type="dxa"/>
          <w:jc w:val="center"/>
        </w:trPr>
        <w:tc>
          <w:tcPr>
            <w:tcW w:w="9768" w:type="dxa"/>
            <w:gridSpan w:val="4"/>
          </w:tcPr>
          <w:p w:rsidR="0086407D" w:rsidRPr="00407D43" w:rsidRDefault="0086407D" w:rsidP="00982395">
            <w:pPr>
              <w:pStyle w:val="Normal6"/>
              <w:rPr>
                <w:szCs w:val="24"/>
              </w:rPr>
            </w:pP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ind w:right="195"/>
              <w:jc w:val="center"/>
              <w:textAlignment w:val="baseline"/>
              <w:rPr>
                <w:noProof/>
              </w:rPr>
            </w:pPr>
            <w:r w:rsidRPr="00407D43">
              <w:t>Élément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O/F</w:t>
            </w:r>
            <w:hyperlink r:id="rId9" w:anchor="ntr1-L_2015068EN.01001801-E0001" w:tgtFrame="_blank" w:history="1">
              <w:r w:rsidRPr="00407D43">
                <w:t>(</w:t>
              </w:r>
              <w:r w:rsidRPr="00407D43">
                <w:rPr>
                  <w:sz w:val="12"/>
                  <w:vertAlign w:val="superscript"/>
                </w:rPr>
                <w:t>1</w:t>
              </w:r>
              <w:r w:rsidRPr="00407D43">
                <w:t>)</w:t>
              </w:r>
            </w:hyperlink>
          </w:p>
        </w:tc>
        <w:tc>
          <w:tcPr>
            <w:tcW w:w="6249" w:type="dxa"/>
            <w:gridSpan w:val="2"/>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ind w:right="195"/>
              <w:jc w:val="center"/>
              <w:textAlignment w:val="baseline"/>
              <w:rPr>
                <w:noProof/>
              </w:rPr>
            </w:pPr>
            <w:r w:rsidRPr="00407D43">
              <w:t>Commentaires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État membre d’immatriculation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rPr>
                <w:shd w:val="clear" w:color="auto" w:fill="FFFFFF"/>
              </w:rPr>
              <w:t>Signe distinctif</w:t>
            </w:r>
            <w:hyperlink r:id="rId10" w:tgtFrame="_blank" w:history="1">
              <w:r w:rsidRPr="00407D43">
                <w:rPr>
                  <w:b/>
                  <w:shd w:val="clear" w:color="auto" w:fill="FFFFFF"/>
                </w:rPr>
                <w:t>(</w:t>
              </w:r>
              <w:r w:rsidRPr="00407D43">
                <w:rPr>
                  <w:b/>
                  <w:sz w:val="12"/>
                  <w:shd w:val="clear" w:color="auto" w:fill="FFFFFF"/>
                  <w:vertAlign w:val="superscript"/>
                </w:rPr>
                <w:t>2</w:t>
              </w:r>
              <w:r w:rsidRPr="00407D43">
                <w:rPr>
                  <w:b/>
                  <w:shd w:val="clear" w:color="auto" w:fill="FFFFFF"/>
                </w:rPr>
                <w:t>)</w:t>
              </w:r>
            </w:hyperlink>
            <w:r w:rsidRPr="00407D43">
              <w:rPr>
                <w:shd w:val="clear" w:color="auto" w:fill="FFFFFF"/>
              </w:rPr>
              <w:t xml:space="preserve"> de</w:t>
            </w:r>
            <w:r w:rsidRPr="00407D43">
              <w:t xml:space="preserve"> l’État membre d’immatricul</w:t>
            </w:r>
            <w:r w:rsidRPr="00407D43">
              <w:t>ation du véhicule détecté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Numéro d’immatriculation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Numéro d’immatriculation complet du véhicule détecté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Données relatives à l’infraction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État membre de l’infraction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rPr>
                <w:shd w:val="clear" w:color="auto" w:fill="FFFFFF"/>
              </w:rPr>
              <w:t>Signe distinctif</w:t>
            </w:r>
            <w:hyperlink r:id="rId11" w:tgtFrame="_blank" w:history="1">
              <w:r w:rsidRPr="00407D43">
                <w:rPr>
                  <w:b/>
                  <w:shd w:val="clear" w:color="auto" w:fill="FFFFFF"/>
                </w:rPr>
                <w:t>(</w:t>
              </w:r>
              <w:r w:rsidRPr="00407D43">
                <w:rPr>
                  <w:b/>
                  <w:sz w:val="12"/>
                  <w:shd w:val="clear" w:color="auto" w:fill="FFFFFF"/>
                  <w:vertAlign w:val="superscript"/>
                </w:rPr>
                <w:t>3</w:t>
              </w:r>
              <w:r w:rsidRPr="00407D43">
                <w:rPr>
                  <w:b/>
                  <w:shd w:val="clear" w:color="auto" w:fill="FFFFFF"/>
                </w:rPr>
                <w:t>)</w:t>
              </w:r>
            </w:hyperlink>
            <w:r w:rsidRPr="00407D43">
              <w:rPr>
                <w:b/>
                <w:shd w:val="clear" w:color="auto" w:fill="FFFFFF"/>
              </w:rPr>
              <w:t xml:space="preserve"> </w:t>
            </w:r>
            <w:r w:rsidRPr="00407D43">
              <w:rPr>
                <w:shd w:val="clear" w:color="auto" w:fill="FFFFFF"/>
              </w:rPr>
              <w:t>de</w:t>
            </w:r>
            <w:r w:rsidRPr="00407D43">
              <w:t xml:space="preserve"> l’État membre de l’infraction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Date de référence de l’infraction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Heure de référence de l’infraction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6" w:space="0" w:color="000000"/>
              <w:left w:val="single" w:sz="6" w:space="0" w:color="000000"/>
              <w:bottom w:val="single" w:sz="4" w:space="0" w:color="auto"/>
              <w:right w:val="single" w:sz="6" w:space="0" w:color="000000"/>
            </w:tcBorders>
            <w:shd w:val="clear" w:color="auto" w:fill="auto"/>
          </w:tcPr>
          <w:p w:rsidR="0086407D" w:rsidRPr="00407D43" w:rsidRDefault="00407D43" w:rsidP="00982395">
            <w:pPr>
              <w:textAlignment w:val="baseline"/>
              <w:rPr>
                <w:noProof/>
              </w:rPr>
            </w:pPr>
            <w:r w:rsidRPr="00407D43">
              <w:t>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Objet de la recherche </w:t>
            </w:r>
          </w:p>
        </w:tc>
        <w:tc>
          <w:tcPr>
            <w:tcW w:w="991" w:type="dxa"/>
            <w:tcBorders>
              <w:top w:val="single" w:sz="6" w:space="0" w:color="000000"/>
              <w:left w:val="single" w:sz="6" w:space="0" w:color="000000"/>
              <w:bottom w:val="single" w:sz="6" w:space="0" w:color="000000"/>
              <w:right w:val="single" w:sz="4" w:space="0" w:color="auto"/>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4" w:space="0" w:color="auto"/>
              <w:left w:val="single" w:sz="4" w:space="0" w:color="auto"/>
              <w:bottom w:val="single" w:sz="4" w:space="0" w:color="auto"/>
              <w:right w:val="single" w:sz="4" w:space="0" w:color="auto"/>
            </w:tcBorders>
            <w:shd w:val="clear" w:color="auto" w:fill="auto"/>
          </w:tcPr>
          <w:p w:rsidR="0086407D" w:rsidRPr="00407D43" w:rsidRDefault="00407D43" w:rsidP="00982395">
            <w:pPr>
              <w:textAlignment w:val="baseline"/>
              <w:rPr>
                <w:noProof/>
              </w:rPr>
            </w:pPr>
            <w:r w:rsidRPr="00407D43">
              <w:t>Code indiquant le type</w:t>
            </w:r>
            <w:r w:rsidRPr="00407D43">
              <w:rPr>
                <w:u w:val="single"/>
              </w:rPr>
              <w:t xml:space="preserve"> </w:t>
            </w:r>
            <w:r w:rsidRPr="00407D43">
              <w:t>d’infraction en matière de sécurité routière, conformément aux infractions énumérées à l’article 2, paragraphe 1</w:t>
            </w:r>
          </w:p>
          <w:p w:rsidR="0086407D" w:rsidRPr="00407D43" w:rsidRDefault="00407D43" w:rsidP="00982395">
            <w:pPr>
              <w:textAlignment w:val="baseline"/>
              <w:rPr>
                <w:noProof/>
              </w:rPr>
            </w:pPr>
            <w:r w:rsidRPr="00407D43">
              <w:t xml:space="preserve">1. = Excès de vitesse </w:t>
            </w:r>
          </w:p>
          <w:p w:rsidR="0086407D" w:rsidRPr="00407D43" w:rsidRDefault="00407D43" w:rsidP="00982395">
            <w:pPr>
              <w:textAlignment w:val="baseline"/>
              <w:rPr>
                <w:noProof/>
              </w:rPr>
            </w:pPr>
            <w:r w:rsidRPr="00407D43">
              <w:t xml:space="preserve">2. </w:t>
            </w:r>
            <w:r w:rsidRPr="00407D43">
              <w:t xml:space="preserve">= Conduite en état d’ébriété </w:t>
            </w:r>
          </w:p>
          <w:p w:rsidR="0086407D" w:rsidRPr="00407D43" w:rsidRDefault="00407D43" w:rsidP="00982395">
            <w:pPr>
              <w:textAlignment w:val="baseline"/>
              <w:rPr>
                <w:noProof/>
              </w:rPr>
            </w:pPr>
            <w:r w:rsidRPr="00407D43">
              <w:t xml:space="preserve">3. = Défaut de port de la ceinture de sécurité </w:t>
            </w:r>
          </w:p>
          <w:p w:rsidR="0086407D" w:rsidRPr="00407D43" w:rsidRDefault="00407D43" w:rsidP="00982395">
            <w:pPr>
              <w:textAlignment w:val="baseline"/>
              <w:rPr>
                <w:noProof/>
              </w:rPr>
            </w:pPr>
            <w:r w:rsidRPr="00407D43">
              <w:t xml:space="preserve">4. = Franchissement d’un feu rouge </w:t>
            </w:r>
          </w:p>
          <w:p w:rsidR="0086407D" w:rsidRPr="00407D43" w:rsidRDefault="00407D43" w:rsidP="00982395">
            <w:pPr>
              <w:textAlignment w:val="baseline"/>
              <w:rPr>
                <w:noProof/>
              </w:rPr>
            </w:pPr>
            <w:r w:rsidRPr="00407D43">
              <w:t xml:space="preserve">5. = Circulation sur une voie interdite </w:t>
            </w:r>
          </w:p>
          <w:p w:rsidR="0086407D" w:rsidRPr="00407D43" w:rsidRDefault="00407D43" w:rsidP="00982395">
            <w:pPr>
              <w:textAlignment w:val="baseline"/>
              <w:rPr>
                <w:noProof/>
              </w:rPr>
            </w:pPr>
            <w:r w:rsidRPr="00407D43">
              <w:t xml:space="preserve">10. = Conduite sous l’influence de stupéfiants </w:t>
            </w:r>
          </w:p>
          <w:p w:rsidR="0086407D" w:rsidRPr="00407D43" w:rsidRDefault="00407D43" w:rsidP="00982395">
            <w:pPr>
              <w:textAlignment w:val="baseline"/>
              <w:rPr>
                <w:noProof/>
              </w:rPr>
            </w:pPr>
            <w:r w:rsidRPr="00407D43">
              <w:t xml:space="preserve">11. = Défaut de port du casque </w:t>
            </w:r>
          </w:p>
          <w:p w:rsidR="0086407D" w:rsidRPr="00407D43" w:rsidRDefault="00407D43" w:rsidP="00982395">
            <w:pPr>
              <w:textAlignment w:val="baseline"/>
              <w:rPr>
                <w:noProof/>
              </w:rPr>
            </w:pPr>
            <w:r w:rsidRPr="00407D43">
              <w:t xml:space="preserve">12. </w:t>
            </w:r>
            <w:r w:rsidRPr="00407D43">
              <w:t xml:space="preserve">= Usage illicite d’un téléphone portable ou de tout autre appareil de communication en conduisant un véhicule </w:t>
            </w:r>
          </w:p>
          <w:p w:rsidR="0086407D" w:rsidRPr="00407D43" w:rsidRDefault="00407D43" w:rsidP="00982395">
            <w:pPr>
              <w:textAlignment w:val="baseline"/>
              <w:rPr>
                <w:iCs/>
                <w:noProof/>
              </w:rPr>
            </w:pPr>
            <w:r w:rsidRPr="00407D43">
              <w:t xml:space="preserve">[…] = Non-respect d’une distance </w:t>
            </w:r>
            <w:r w:rsidRPr="00407D43">
              <w:rPr>
                <w:b/>
                <w:i/>
              </w:rPr>
              <w:t>suffisante</w:t>
            </w:r>
            <w:r w:rsidRPr="00407D43">
              <w:t xml:space="preserve"> par rapport véhicule qui précède</w:t>
            </w:r>
          </w:p>
          <w:p w:rsidR="0086407D" w:rsidRPr="00407D43" w:rsidRDefault="00407D43" w:rsidP="00982395">
            <w:pPr>
              <w:textAlignment w:val="baseline"/>
              <w:rPr>
                <w:iCs/>
                <w:noProof/>
              </w:rPr>
            </w:pPr>
            <w:r w:rsidRPr="00407D43">
              <w:t>[…] = Dépassement dangereux</w:t>
            </w:r>
          </w:p>
          <w:p w:rsidR="0086407D" w:rsidRPr="00407D43" w:rsidRDefault="00407D43" w:rsidP="00982395">
            <w:pPr>
              <w:textAlignment w:val="baseline"/>
              <w:rPr>
                <w:iCs/>
                <w:noProof/>
              </w:rPr>
            </w:pPr>
            <w:r w:rsidRPr="00407D43">
              <w:t>[…] = Stationnement dangereux</w:t>
            </w:r>
          </w:p>
          <w:p w:rsidR="0086407D" w:rsidRPr="00407D43" w:rsidRDefault="00407D43" w:rsidP="00982395">
            <w:pPr>
              <w:textAlignment w:val="baseline"/>
              <w:rPr>
                <w:iCs/>
                <w:noProof/>
              </w:rPr>
            </w:pPr>
            <w:r w:rsidRPr="00407D43">
              <w:t>[…] = Fran</w:t>
            </w:r>
            <w:r w:rsidRPr="00407D43">
              <w:t xml:space="preserve">chissement d’une ou de plusieurs lignes </w:t>
            </w:r>
            <w:r w:rsidRPr="00407D43">
              <w:rPr>
                <w:b/>
                <w:i/>
              </w:rPr>
              <w:t>blanches</w:t>
            </w:r>
            <w:r w:rsidRPr="00407D43">
              <w:t xml:space="preserve"> continues</w:t>
            </w:r>
          </w:p>
          <w:p w:rsidR="0086407D" w:rsidRPr="00407D43" w:rsidRDefault="00407D43" w:rsidP="00982395">
            <w:pPr>
              <w:textAlignment w:val="baseline"/>
              <w:rPr>
                <w:iCs/>
                <w:noProof/>
              </w:rPr>
            </w:pPr>
            <w:r w:rsidRPr="00407D43">
              <w:t>[…] = Circulation en sens interdit</w:t>
            </w:r>
          </w:p>
          <w:p w:rsidR="0086407D" w:rsidRPr="00407D43" w:rsidRDefault="00407D43" w:rsidP="00982395">
            <w:pPr>
              <w:textAlignment w:val="baseline"/>
              <w:rPr>
                <w:iCs/>
                <w:noProof/>
              </w:rPr>
            </w:pPr>
            <w:r w:rsidRPr="00407D43">
              <w:t>[…] = Non-respect des règles relatives à la libération et à l’utilisation d’un couloir de secours</w:t>
            </w:r>
          </w:p>
          <w:p w:rsidR="0086407D" w:rsidRPr="00407D43" w:rsidRDefault="00407D43" w:rsidP="00982395">
            <w:pPr>
              <w:textAlignment w:val="baseline"/>
              <w:rPr>
                <w:iCs/>
                <w:noProof/>
              </w:rPr>
            </w:pPr>
            <w:r w:rsidRPr="00407D43">
              <w:t xml:space="preserve">[…] = </w:t>
            </w:r>
            <w:r w:rsidRPr="00407D43">
              <w:rPr>
                <w:b/>
                <w:i/>
              </w:rPr>
              <w:t>Utilisation</w:t>
            </w:r>
            <w:r w:rsidRPr="00407D43">
              <w:t xml:space="preserve"> d’un véhicule en surcharge</w:t>
            </w:r>
          </w:p>
          <w:p w:rsidR="0086407D" w:rsidRPr="00407D43" w:rsidRDefault="0086407D" w:rsidP="00982395">
            <w:pPr>
              <w:textAlignment w:val="baseline"/>
              <w:rPr>
                <w:noProof/>
              </w:rPr>
            </w:pPr>
          </w:p>
          <w:p w:rsidR="0086407D" w:rsidRPr="00407D43" w:rsidRDefault="0086407D" w:rsidP="00982395">
            <w:pPr>
              <w:textAlignment w:val="baseline"/>
              <w:rPr>
                <w:b/>
                <w:noProof/>
              </w:rPr>
            </w:pP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9845" w:type="dxa"/>
            <w:gridSpan w:val="4"/>
            <w:tcBorders>
              <w:top w:val="single" w:sz="6" w:space="0" w:color="000000"/>
              <w:left w:val="single" w:sz="6" w:space="0" w:color="000000"/>
              <w:bottom w:val="single" w:sz="6" w:space="0" w:color="000000"/>
              <w:right w:val="single" w:sz="4" w:space="0" w:color="auto"/>
            </w:tcBorders>
            <w:shd w:val="clear" w:color="auto" w:fill="auto"/>
          </w:tcPr>
          <w:p w:rsidR="0086407D" w:rsidRPr="00407D43" w:rsidRDefault="00407D43" w:rsidP="00982395">
            <w:pPr>
              <w:shd w:val="clear" w:color="auto" w:fill="FFFFFF"/>
              <w:textAlignment w:val="baseline"/>
              <w:rPr>
                <w:noProof/>
                <w:sz w:val="18"/>
                <w:szCs w:val="18"/>
              </w:rPr>
            </w:pPr>
            <w:r w:rsidRPr="00407D43">
              <w:rPr>
                <w:sz w:val="18"/>
              </w:rPr>
              <w:t>(</w:t>
            </w:r>
            <w:r w:rsidRPr="00407D43">
              <w:rPr>
                <w:sz w:val="14"/>
                <w:vertAlign w:val="superscript"/>
              </w:rPr>
              <w:t>1</w:t>
            </w:r>
            <w:r w:rsidRPr="00407D43">
              <w:rPr>
                <w:sz w:val="18"/>
              </w:rPr>
              <w:t>)  </w:t>
            </w:r>
            <w:r w:rsidRPr="00407D43">
              <w:rPr>
                <w:sz w:val="18"/>
              </w:rPr>
              <w:t xml:space="preserve">O = communication obligatoire de l’élément de données, F = communication facultative de l’élément de données.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9845" w:type="dxa"/>
            <w:gridSpan w:val="4"/>
            <w:tcBorders>
              <w:top w:val="single" w:sz="6" w:space="0" w:color="000000"/>
              <w:left w:val="single" w:sz="6" w:space="0" w:color="000000"/>
              <w:bottom w:val="single" w:sz="6" w:space="0" w:color="000000"/>
              <w:right w:val="single" w:sz="4" w:space="0" w:color="auto"/>
            </w:tcBorders>
            <w:shd w:val="clear" w:color="auto" w:fill="auto"/>
          </w:tcPr>
          <w:p w:rsidR="0086407D" w:rsidRPr="00407D43" w:rsidRDefault="00407D43" w:rsidP="00982395">
            <w:pPr>
              <w:shd w:val="clear" w:color="auto" w:fill="FFFFFF"/>
              <w:textAlignment w:val="baseline"/>
              <w:rPr>
                <w:noProof/>
                <w:sz w:val="18"/>
                <w:szCs w:val="18"/>
              </w:rPr>
            </w:pPr>
            <w:r w:rsidRPr="00407D43">
              <w:rPr>
                <w:sz w:val="18"/>
              </w:rPr>
              <w:t>(</w:t>
            </w:r>
            <w:r w:rsidRPr="00407D43">
              <w:rPr>
                <w:sz w:val="14"/>
                <w:vertAlign w:val="superscript"/>
              </w:rPr>
              <w:t>2</w:t>
            </w:r>
            <w:r w:rsidRPr="00407D43">
              <w:rPr>
                <w:sz w:val="18"/>
              </w:rPr>
              <w:t>) (</w:t>
            </w:r>
            <w:r w:rsidRPr="00407D43">
              <w:rPr>
                <w:sz w:val="14"/>
                <w:vertAlign w:val="superscript"/>
              </w:rPr>
              <w:t>3</w:t>
            </w:r>
            <w:r w:rsidRPr="00407D43">
              <w:rPr>
                <w:sz w:val="18"/>
              </w:rPr>
              <w:t xml:space="preserve">)  Signe distinctif conformément à l’article 37 de la convention de Vienne du 8 novembre 1968, conclue sous les auspices de la Commission </w:t>
            </w:r>
            <w:r w:rsidRPr="00407D43">
              <w:rPr>
                <w:sz w:val="18"/>
              </w:rPr>
              <w:t>économique pour l’Europe des Nations unies.</w:t>
            </w:r>
          </w:p>
          <w:p w:rsidR="0086407D" w:rsidRPr="00407D43" w:rsidRDefault="0086407D" w:rsidP="00982395">
            <w:pPr>
              <w:shd w:val="clear" w:color="auto" w:fill="FFFFFF"/>
              <w:textAlignment w:val="baseline"/>
              <w:rPr>
                <w:noProof/>
                <w:sz w:val="18"/>
                <w:szCs w:val="18"/>
              </w:rPr>
            </w:pPr>
          </w:p>
        </w:tc>
      </w:tr>
      <w:tr w:rsidR="005C37AD" w:rsidRPr="00407D43" w:rsidTr="00982395">
        <w:trPr>
          <w:gridAfter w:val="1"/>
          <w:wAfter w:w="119" w:type="dxa"/>
          <w:jc w:val="center"/>
        </w:trPr>
        <w:tc>
          <w:tcPr>
            <w:tcW w:w="9768" w:type="dxa"/>
            <w:gridSpan w:val="4"/>
          </w:tcPr>
          <w:p w:rsidR="0086407D" w:rsidRPr="00407D43" w:rsidRDefault="0086407D" w:rsidP="00982395">
            <w:pPr>
              <w:keepNext/>
            </w:pPr>
          </w:p>
        </w:tc>
      </w:tr>
      <w:tr w:rsidR="005C37AD" w:rsidRPr="00407D43" w:rsidTr="00982395">
        <w:trPr>
          <w:gridAfter w:val="1"/>
          <w:wAfter w:w="119" w:type="dxa"/>
          <w:jc w:val="center"/>
        </w:trPr>
        <w:tc>
          <w:tcPr>
            <w:tcW w:w="9768" w:type="dxa"/>
            <w:gridSpan w:val="4"/>
          </w:tcPr>
          <w:p w:rsidR="0086407D" w:rsidRPr="00407D43" w:rsidRDefault="00407D43" w:rsidP="00982395">
            <w:pPr>
              <w:pStyle w:val="ColumnHeading"/>
              <w:keepNext/>
            </w:pPr>
            <w:r w:rsidRPr="00407D43">
              <w:t>Amendement</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ind w:right="195"/>
              <w:jc w:val="center"/>
              <w:textAlignment w:val="baseline"/>
              <w:rPr>
                <w:noProof/>
              </w:rPr>
            </w:pPr>
            <w:r w:rsidRPr="00407D43">
              <w:t>Élément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O/F</w:t>
            </w:r>
            <w:hyperlink r:id="rId12" w:anchor="ntr1-L_2015068EN.01001801-E0001" w:tgtFrame="_blank" w:history="1">
              <w:r w:rsidRPr="00407D43">
                <w:t>(</w:t>
              </w:r>
              <w:r w:rsidRPr="00407D43">
                <w:rPr>
                  <w:sz w:val="12"/>
                  <w:vertAlign w:val="superscript"/>
                </w:rPr>
                <w:t>1</w:t>
              </w:r>
              <w:r w:rsidRPr="00407D43">
                <w:t>)</w:t>
              </w:r>
            </w:hyperlink>
          </w:p>
        </w:tc>
        <w:tc>
          <w:tcPr>
            <w:tcW w:w="6249" w:type="dxa"/>
            <w:gridSpan w:val="2"/>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ind w:right="195"/>
              <w:jc w:val="center"/>
              <w:textAlignment w:val="baseline"/>
              <w:rPr>
                <w:noProof/>
              </w:rPr>
            </w:pPr>
            <w:r w:rsidRPr="00407D43">
              <w:t>Commentaires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État membre d’immatriculation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rPr>
                <w:shd w:val="clear" w:color="auto" w:fill="FFFFFF"/>
              </w:rPr>
              <w:t>Signe distinctif</w:t>
            </w:r>
            <w:hyperlink r:id="rId13" w:tgtFrame="_blank" w:history="1">
              <w:r w:rsidRPr="00407D43">
                <w:rPr>
                  <w:b/>
                  <w:shd w:val="clear" w:color="auto" w:fill="FFFFFF"/>
                </w:rPr>
                <w:t>(</w:t>
              </w:r>
              <w:r w:rsidRPr="00407D43">
                <w:rPr>
                  <w:b/>
                  <w:sz w:val="12"/>
                  <w:shd w:val="clear" w:color="auto" w:fill="FFFFFF"/>
                  <w:vertAlign w:val="superscript"/>
                </w:rPr>
                <w:t>2</w:t>
              </w:r>
              <w:r w:rsidRPr="00407D43">
                <w:rPr>
                  <w:b/>
                  <w:shd w:val="clear" w:color="auto" w:fill="FFFFFF"/>
                </w:rPr>
                <w:t>)</w:t>
              </w:r>
            </w:hyperlink>
            <w:r w:rsidRPr="00407D43">
              <w:rPr>
                <w:shd w:val="clear" w:color="auto" w:fill="FFFFFF"/>
              </w:rPr>
              <w:t xml:space="preserve"> de</w:t>
            </w:r>
            <w:r w:rsidRPr="00407D43">
              <w:t xml:space="preserve"> l’État membre d’immatriculation du véhicule détecté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Numéro d’immatriculation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Numéro d’immatriculation complet du véhicule détecté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Données relatives à l’infraction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État membre de l’infraction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rPr>
                <w:shd w:val="clear" w:color="auto" w:fill="FFFFFF"/>
              </w:rPr>
              <w:t>Signe distinctif</w:t>
            </w:r>
            <w:hyperlink r:id="rId14" w:tgtFrame="_blank" w:history="1">
              <w:r w:rsidRPr="00407D43">
                <w:rPr>
                  <w:b/>
                  <w:shd w:val="clear" w:color="auto" w:fill="FFFFFF"/>
                </w:rPr>
                <w:t>(</w:t>
              </w:r>
              <w:r w:rsidRPr="00407D43">
                <w:rPr>
                  <w:b/>
                  <w:sz w:val="12"/>
                  <w:shd w:val="clear" w:color="auto" w:fill="FFFFFF"/>
                  <w:vertAlign w:val="superscript"/>
                </w:rPr>
                <w:t>3</w:t>
              </w:r>
              <w:r w:rsidRPr="00407D43">
                <w:rPr>
                  <w:b/>
                  <w:shd w:val="clear" w:color="auto" w:fill="FFFFFF"/>
                </w:rPr>
                <w:t>)</w:t>
              </w:r>
            </w:hyperlink>
            <w:r w:rsidRPr="00407D43">
              <w:rPr>
                <w:b/>
                <w:shd w:val="clear" w:color="auto" w:fill="FFFFFF"/>
              </w:rPr>
              <w:t xml:space="preserve"> </w:t>
            </w:r>
            <w:r w:rsidRPr="00407D43">
              <w:rPr>
                <w:shd w:val="clear" w:color="auto" w:fill="FFFFFF"/>
              </w:rPr>
              <w:t>de</w:t>
            </w:r>
            <w:r w:rsidRPr="00407D43">
              <w:t xml:space="preserve"> l’État membre de l’infraction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Date de référence de l’infraction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Heur</w:t>
            </w:r>
            <w:r w:rsidRPr="00407D43">
              <w:t>e de référence de l’infraction </w:t>
            </w:r>
          </w:p>
        </w:tc>
        <w:tc>
          <w:tcPr>
            <w:tcW w:w="991"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6" w:space="0" w:color="000000"/>
              <w:left w:val="single" w:sz="6" w:space="0" w:color="000000"/>
              <w:bottom w:val="single" w:sz="4" w:space="0" w:color="auto"/>
              <w:right w:val="single" w:sz="6" w:space="0" w:color="000000"/>
            </w:tcBorders>
            <w:shd w:val="clear" w:color="auto" w:fill="auto"/>
          </w:tcPr>
          <w:p w:rsidR="0086407D" w:rsidRPr="00407D43" w:rsidRDefault="00407D43" w:rsidP="00982395">
            <w:pPr>
              <w:textAlignment w:val="baseline"/>
              <w:rPr>
                <w:noProof/>
              </w:rPr>
            </w:pPr>
            <w:r w:rsidRPr="00407D43">
              <w:t>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2605" w:type="dxa"/>
            <w:tcBorders>
              <w:top w:val="single" w:sz="6" w:space="0" w:color="000000"/>
              <w:left w:val="single" w:sz="6" w:space="0" w:color="000000"/>
              <w:bottom w:val="single" w:sz="6" w:space="0" w:color="000000"/>
              <w:right w:val="single" w:sz="6" w:space="0" w:color="000000"/>
            </w:tcBorders>
            <w:shd w:val="clear" w:color="auto" w:fill="auto"/>
          </w:tcPr>
          <w:p w:rsidR="0086407D" w:rsidRPr="00407D43" w:rsidRDefault="00407D43" w:rsidP="00982395">
            <w:pPr>
              <w:textAlignment w:val="baseline"/>
              <w:rPr>
                <w:noProof/>
              </w:rPr>
            </w:pPr>
            <w:r w:rsidRPr="00407D43">
              <w:t>Objet de la recherche </w:t>
            </w:r>
          </w:p>
        </w:tc>
        <w:tc>
          <w:tcPr>
            <w:tcW w:w="991" w:type="dxa"/>
            <w:tcBorders>
              <w:top w:val="single" w:sz="6" w:space="0" w:color="000000"/>
              <w:left w:val="single" w:sz="6" w:space="0" w:color="000000"/>
              <w:bottom w:val="single" w:sz="6" w:space="0" w:color="000000"/>
              <w:right w:val="single" w:sz="4" w:space="0" w:color="auto"/>
            </w:tcBorders>
            <w:shd w:val="clear" w:color="auto" w:fill="auto"/>
          </w:tcPr>
          <w:p w:rsidR="0086407D" w:rsidRPr="00407D43" w:rsidRDefault="00407D43" w:rsidP="00982395">
            <w:pPr>
              <w:jc w:val="center"/>
              <w:textAlignment w:val="baseline"/>
              <w:rPr>
                <w:noProof/>
              </w:rPr>
            </w:pPr>
            <w:r w:rsidRPr="00407D43">
              <w:t>O</w:t>
            </w:r>
          </w:p>
        </w:tc>
        <w:tc>
          <w:tcPr>
            <w:tcW w:w="6249" w:type="dxa"/>
            <w:gridSpan w:val="2"/>
            <w:tcBorders>
              <w:top w:val="single" w:sz="4" w:space="0" w:color="auto"/>
              <w:left w:val="single" w:sz="4" w:space="0" w:color="auto"/>
              <w:bottom w:val="single" w:sz="4" w:space="0" w:color="auto"/>
              <w:right w:val="single" w:sz="4" w:space="0" w:color="auto"/>
            </w:tcBorders>
            <w:shd w:val="clear" w:color="auto" w:fill="auto"/>
          </w:tcPr>
          <w:p w:rsidR="0086407D" w:rsidRPr="00407D43" w:rsidRDefault="00407D43" w:rsidP="00982395">
            <w:pPr>
              <w:textAlignment w:val="baseline"/>
              <w:rPr>
                <w:noProof/>
              </w:rPr>
            </w:pPr>
            <w:r w:rsidRPr="00407D43">
              <w:t>Code indiquant le type</w:t>
            </w:r>
            <w:r w:rsidRPr="00407D43">
              <w:rPr>
                <w:u w:val="single"/>
              </w:rPr>
              <w:t xml:space="preserve"> </w:t>
            </w:r>
            <w:r w:rsidRPr="00407D43">
              <w:t>d’infraction en matière de sécurité routière, conformément aux infractions énumérées à l’article 2, paragraphe 1</w:t>
            </w:r>
          </w:p>
          <w:p w:rsidR="0086407D" w:rsidRPr="00407D43" w:rsidRDefault="00407D43" w:rsidP="00982395">
            <w:pPr>
              <w:textAlignment w:val="baseline"/>
              <w:rPr>
                <w:noProof/>
              </w:rPr>
            </w:pPr>
            <w:r w:rsidRPr="00407D43">
              <w:t xml:space="preserve">1. = Excès de vitesse </w:t>
            </w:r>
          </w:p>
          <w:p w:rsidR="0086407D" w:rsidRPr="00407D43" w:rsidRDefault="00407D43" w:rsidP="00982395">
            <w:pPr>
              <w:textAlignment w:val="baseline"/>
              <w:rPr>
                <w:noProof/>
              </w:rPr>
            </w:pPr>
            <w:r w:rsidRPr="00407D43">
              <w:t xml:space="preserve">2. = Conduite en état d’ébriété </w:t>
            </w:r>
          </w:p>
          <w:p w:rsidR="0086407D" w:rsidRPr="00407D43" w:rsidRDefault="00407D43" w:rsidP="00982395">
            <w:pPr>
              <w:textAlignment w:val="baseline"/>
              <w:rPr>
                <w:noProof/>
              </w:rPr>
            </w:pPr>
            <w:r w:rsidRPr="00407D43">
              <w:t xml:space="preserve">3. = Défaut de port de la ceinture de sécurité </w:t>
            </w:r>
          </w:p>
          <w:p w:rsidR="0086407D" w:rsidRPr="00407D43" w:rsidRDefault="00407D43" w:rsidP="00982395">
            <w:pPr>
              <w:textAlignment w:val="baseline"/>
              <w:rPr>
                <w:noProof/>
              </w:rPr>
            </w:pPr>
            <w:r w:rsidRPr="00407D43">
              <w:t xml:space="preserve">4. = Franchissement d’un feu rouge </w:t>
            </w:r>
          </w:p>
          <w:p w:rsidR="0086407D" w:rsidRPr="00407D43" w:rsidRDefault="00407D43" w:rsidP="00982395">
            <w:pPr>
              <w:textAlignment w:val="baseline"/>
              <w:rPr>
                <w:noProof/>
              </w:rPr>
            </w:pPr>
            <w:r w:rsidRPr="00407D43">
              <w:t xml:space="preserve">5. = Circulation sur une voie interdite </w:t>
            </w:r>
          </w:p>
          <w:p w:rsidR="0086407D" w:rsidRPr="00407D43" w:rsidRDefault="00407D43" w:rsidP="00982395">
            <w:pPr>
              <w:textAlignment w:val="baseline"/>
              <w:rPr>
                <w:noProof/>
              </w:rPr>
            </w:pPr>
            <w:r w:rsidRPr="00407D43">
              <w:t xml:space="preserve">10. = Conduite sous l’influence de stupéfiants </w:t>
            </w:r>
          </w:p>
          <w:p w:rsidR="0086407D" w:rsidRPr="00407D43" w:rsidRDefault="00407D43" w:rsidP="00982395">
            <w:pPr>
              <w:textAlignment w:val="baseline"/>
              <w:rPr>
                <w:noProof/>
              </w:rPr>
            </w:pPr>
            <w:r w:rsidRPr="00407D43">
              <w:t xml:space="preserve">11. = Défaut de port du casque </w:t>
            </w:r>
          </w:p>
          <w:p w:rsidR="0086407D" w:rsidRPr="00407D43" w:rsidRDefault="00407D43" w:rsidP="00982395">
            <w:pPr>
              <w:textAlignment w:val="baseline"/>
              <w:rPr>
                <w:noProof/>
              </w:rPr>
            </w:pPr>
            <w:r w:rsidRPr="00407D43">
              <w:t xml:space="preserve">12. = Usage illicite d’un téléphone portable ou de </w:t>
            </w:r>
            <w:r w:rsidRPr="00407D43">
              <w:t xml:space="preserve">tout autre appareil de communication en conduisant un véhicule </w:t>
            </w:r>
          </w:p>
          <w:p w:rsidR="0086407D" w:rsidRPr="00407D43" w:rsidRDefault="00407D43" w:rsidP="00982395">
            <w:pPr>
              <w:textAlignment w:val="baseline"/>
              <w:rPr>
                <w:iCs/>
                <w:noProof/>
              </w:rPr>
            </w:pPr>
            <w:r w:rsidRPr="00407D43">
              <w:t xml:space="preserve">[…] = Non-respect </w:t>
            </w:r>
            <w:r w:rsidRPr="00407D43">
              <w:rPr>
                <w:b/>
                <w:bCs/>
                <w:i/>
                <w:iCs/>
              </w:rPr>
              <w:t>de la</w:t>
            </w:r>
            <w:r w:rsidRPr="00407D43">
              <w:t xml:space="preserve"> distance </w:t>
            </w:r>
            <w:r w:rsidRPr="00407D43">
              <w:rPr>
                <w:b/>
                <w:bCs/>
                <w:i/>
                <w:iCs/>
              </w:rPr>
              <w:t>exigée</w:t>
            </w:r>
            <w:r w:rsidRPr="00407D43">
              <w:t xml:space="preserve"> par rapport </w:t>
            </w:r>
            <w:r w:rsidRPr="00407D43">
              <w:rPr>
                <w:b/>
                <w:bCs/>
                <w:i/>
                <w:iCs/>
              </w:rPr>
              <w:t>au</w:t>
            </w:r>
            <w:r w:rsidRPr="00407D43">
              <w:t xml:space="preserve"> véhicule qui précède;</w:t>
            </w:r>
          </w:p>
          <w:p w:rsidR="0086407D" w:rsidRPr="00407D43" w:rsidRDefault="00407D43" w:rsidP="00982395">
            <w:pPr>
              <w:textAlignment w:val="baseline"/>
              <w:rPr>
                <w:iCs/>
                <w:noProof/>
              </w:rPr>
            </w:pPr>
            <w:r w:rsidRPr="00407D43">
              <w:t xml:space="preserve">[…] = Dépassement dangereux </w:t>
            </w:r>
            <w:r w:rsidRPr="00407D43">
              <w:rPr>
                <w:b/>
                <w:i/>
              </w:rPr>
              <w:t>non conforme au code de la route</w:t>
            </w:r>
            <w:r w:rsidRPr="00407D43">
              <w:t>;</w:t>
            </w:r>
          </w:p>
          <w:p w:rsidR="0086407D" w:rsidRPr="00407D43" w:rsidRDefault="00407D43" w:rsidP="00982395">
            <w:pPr>
              <w:textAlignment w:val="baseline"/>
              <w:rPr>
                <w:iCs/>
                <w:noProof/>
              </w:rPr>
            </w:pPr>
            <w:r w:rsidRPr="00407D43">
              <w:t xml:space="preserve">[…] = Stationnement dangereux </w:t>
            </w:r>
            <w:r w:rsidRPr="00407D43">
              <w:rPr>
                <w:b/>
                <w:i/>
              </w:rPr>
              <w:t>à un endroit où cela n’est pas autorisé, créant un risque grave pour les autres usagers de la route</w:t>
            </w:r>
            <w:r w:rsidRPr="00407D43">
              <w:t>;</w:t>
            </w:r>
          </w:p>
          <w:p w:rsidR="0086407D" w:rsidRPr="00407D43" w:rsidRDefault="00407D43" w:rsidP="00982395">
            <w:pPr>
              <w:textAlignment w:val="baseline"/>
              <w:rPr>
                <w:iCs/>
                <w:noProof/>
              </w:rPr>
            </w:pPr>
            <w:r w:rsidRPr="00407D43">
              <w:t>[…]= Franchissement d’une ou de plusieurs lignes blanches continues</w:t>
            </w:r>
          </w:p>
          <w:p w:rsidR="0086407D" w:rsidRPr="00407D43" w:rsidRDefault="00407D43" w:rsidP="00982395">
            <w:pPr>
              <w:textAlignment w:val="baseline"/>
              <w:rPr>
                <w:iCs/>
                <w:noProof/>
              </w:rPr>
            </w:pPr>
            <w:r w:rsidRPr="00407D43">
              <w:t>[…] = Circulation en sens interdit</w:t>
            </w:r>
          </w:p>
          <w:p w:rsidR="0086407D" w:rsidRPr="00407D43" w:rsidRDefault="00407D43" w:rsidP="00982395">
            <w:pPr>
              <w:textAlignment w:val="baseline"/>
              <w:rPr>
                <w:iCs/>
                <w:noProof/>
              </w:rPr>
            </w:pPr>
            <w:r w:rsidRPr="00407D43">
              <w:t>[…] = Non-respect des règles relatives à la libérati</w:t>
            </w:r>
            <w:r w:rsidRPr="00407D43">
              <w:t>on et à l’utilisation d’un couloir de secours</w:t>
            </w:r>
          </w:p>
          <w:p w:rsidR="0086407D" w:rsidRPr="00407D43" w:rsidRDefault="00407D43" w:rsidP="00982395">
            <w:pPr>
              <w:textAlignment w:val="baseline"/>
              <w:rPr>
                <w:iCs/>
                <w:noProof/>
              </w:rPr>
            </w:pPr>
            <w:r w:rsidRPr="00407D43">
              <w:t xml:space="preserve">[…] = </w:t>
            </w:r>
            <w:r w:rsidRPr="00407D43">
              <w:rPr>
                <w:b/>
                <w:i/>
              </w:rPr>
              <w:t>Conduite</w:t>
            </w:r>
            <w:r w:rsidRPr="00407D43">
              <w:t xml:space="preserve"> d’un véhicule en surcharge.</w:t>
            </w:r>
          </w:p>
          <w:p w:rsidR="0086407D" w:rsidRPr="00407D43" w:rsidRDefault="00407D43" w:rsidP="00982395">
            <w:pPr>
              <w:textAlignment w:val="baseline"/>
              <w:rPr>
                <w:b/>
                <w:i/>
                <w:noProof/>
              </w:rPr>
            </w:pPr>
            <w:r w:rsidRPr="00407D43">
              <w:t xml:space="preserve">[…] = </w:t>
            </w:r>
            <w:r w:rsidRPr="00407D43">
              <w:rPr>
                <w:b/>
                <w:i/>
              </w:rPr>
              <w:t>Délit de fuite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9845" w:type="dxa"/>
            <w:gridSpan w:val="4"/>
            <w:tcBorders>
              <w:top w:val="single" w:sz="6" w:space="0" w:color="000000"/>
              <w:left w:val="single" w:sz="6" w:space="0" w:color="000000"/>
              <w:bottom w:val="single" w:sz="6" w:space="0" w:color="000000"/>
              <w:right w:val="single" w:sz="4" w:space="0" w:color="auto"/>
            </w:tcBorders>
            <w:shd w:val="clear" w:color="auto" w:fill="auto"/>
          </w:tcPr>
          <w:p w:rsidR="0086407D" w:rsidRPr="00407D43" w:rsidRDefault="00407D43" w:rsidP="00982395">
            <w:pPr>
              <w:shd w:val="clear" w:color="auto" w:fill="FFFFFF"/>
              <w:textAlignment w:val="baseline"/>
              <w:rPr>
                <w:noProof/>
                <w:sz w:val="18"/>
                <w:szCs w:val="18"/>
              </w:rPr>
            </w:pPr>
            <w:r w:rsidRPr="00407D43">
              <w:rPr>
                <w:sz w:val="18"/>
              </w:rPr>
              <w:t>(</w:t>
            </w:r>
            <w:r w:rsidRPr="00407D43">
              <w:rPr>
                <w:sz w:val="14"/>
                <w:vertAlign w:val="superscript"/>
              </w:rPr>
              <w:t>1</w:t>
            </w:r>
            <w:r w:rsidRPr="00407D43">
              <w:rPr>
                <w:sz w:val="18"/>
              </w:rPr>
              <w:t xml:space="preserve">)  O = communication obligatoire de l’élément de données, F = communication facultative de l’élément de données. </w:t>
            </w:r>
          </w:p>
        </w:tc>
      </w:tr>
      <w:tr w:rsidR="005C37AD" w:rsidRPr="00407D43" w:rsidTr="00982395">
        <w:tblPrEx>
          <w:jc w:val="lef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gridBefore w:val="1"/>
          <w:wBefore w:w="42" w:type="dxa"/>
        </w:trPr>
        <w:tc>
          <w:tcPr>
            <w:tcW w:w="9845" w:type="dxa"/>
            <w:gridSpan w:val="4"/>
            <w:tcBorders>
              <w:top w:val="single" w:sz="6" w:space="0" w:color="000000"/>
              <w:left w:val="single" w:sz="6" w:space="0" w:color="000000"/>
              <w:bottom w:val="single" w:sz="6" w:space="0" w:color="000000"/>
              <w:right w:val="single" w:sz="4" w:space="0" w:color="auto"/>
            </w:tcBorders>
            <w:shd w:val="clear" w:color="auto" w:fill="auto"/>
          </w:tcPr>
          <w:p w:rsidR="0086407D" w:rsidRPr="00407D43" w:rsidRDefault="00407D43" w:rsidP="00982395">
            <w:pPr>
              <w:shd w:val="clear" w:color="auto" w:fill="FFFFFF"/>
              <w:textAlignment w:val="baseline"/>
              <w:rPr>
                <w:noProof/>
                <w:sz w:val="18"/>
                <w:szCs w:val="18"/>
              </w:rPr>
            </w:pPr>
            <w:r w:rsidRPr="00407D43">
              <w:rPr>
                <w:sz w:val="18"/>
              </w:rPr>
              <w:t>(</w:t>
            </w:r>
            <w:r w:rsidRPr="00407D43">
              <w:rPr>
                <w:sz w:val="14"/>
                <w:vertAlign w:val="superscript"/>
              </w:rPr>
              <w:t>2</w:t>
            </w:r>
            <w:r w:rsidRPr="00407D43">
              <w:rPr>
                <w:sz w:val="18"/>
              </w:rPr>
              <w:t>) (</w:t>
            </w:r>
            <w:r w:rsidRPr="00407D43">
              <w:rPr>
                <w:sz w:val="14"/>
                <w:vertAlign w:val="superscript"/>
              </w:rPr>
              <w:t>3</w:t>
            </w:r>
            <w:r w:rsidRPr="00407D43">
              <w:rPr>
                <w:sz w:val="18"/>
              </w:rPr>
              <w:t>)  </w:t>
            </w:r>
            <w:r w:rsidRPr="00407D43">
              <w:rPr>
                <w:sz w:val="18"/>
              </w:rPr>
              <w:t>Signe distinctif conformément à l’article 37 de la convention de Vienne du 8 novembre 1968, conclue sous les auspices de la Commission économique pour l’Europe des Nations unies.</w:t>
            </w:r>
          </w:p>
          <w:p w:rsidR="0086407D" w:rsidRPr="00407D43" w:rsidRDefault="0086407D" w:rsidP="00982395">
            <w:pPr>
              <w:shd w:val="clear" w:color="auto" w:fill="FFFFFF"/>
              <w:textAlignment w:val="baseline"/>
              <w:rPr>
                <w:noProof/>
                <w:sz w:val="18"/>
                <w:szCs w:val="18"/>
              </w:rPr>
            </w:pPr>
          </w:p>
        </w:tc>
      </w:tr>
    </w:tbl>
    <w:p w:rsidR="0086407D" w:rsidRPr="00407D43" w:rsidRDefault="00407D43" w:rsidP="0086407D">
      <w:r w:rsidRPr="00407D43">
        <w:rPr>
          <w:rStyle w:val="HideTWBExt"/>
        </w:rPr>
        <w:t>&lt;/Amend&gt;</w:t>
      </w:r>
    </w:p>
    <w:p w:rsidR="0086407D" w:rsidRPr="00407D43" w:rsidRDefault="0086407D" w:rsidP="0086407D">
      <w:pPr>
        <w:rPr>
          <w:rStyle w:val="HideTWBExt"/>
          <w:color w:val="auto"/>
        </w:rPr>
      </w:pPr>
    </w:p>
    <w:p w:rsidR="0086407D" w:rsidRPr="00407D43" w:rsidRDefault="00407D43" w:rsidP="0086407D">
      <w:pPr>
        <w:rPr>
          <w:szCs w:val="24"/>
        </w:rPr>
      </w:pPr>
      <w:r w:rsidRPr="00407D43">
        <w:rPr>
          <w:rStyle w:val="HideTWBExt"/>
        </w:rPr>
        <w:lastRenderedPageBreak/>
        <w:t>&lt;/RepeatBlock-Amend&gt;</w:t>
      </w:r>
    </w:p>
    <w:p w:rsidR="0086407D" w:rsidRPr="00407D43" w:rsidRDefault="0086407D" w:rsidP="0086407D"/>
    <w:p w:rsidR="0086407D" w:rsidRPr="00407D43" w:rsidRDefault="0086407D" w:rsidP="0086407D">
      <w:pPr>
        <w:widowControl/>
        <w:sectPr w:rsidR="0086407D" w:rsidRPr="00407D43" w:rsidSect="0086407D">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titlePg/>
        </w:sectPr>
      </w:pPr>
    </w:p>
    <w:p w:rsidR="0086407D" w:rsidRPr="00407D43" w:rsidRDefault="0086407D" w:rsidP="0086407D">
      <w:pPr>
        <w:widowControl/>
      </w:pPr>
    </w:p>
    <w:p w:rsidR="0086407D" w:rsidRPr="00407D43" w:rsidRDefault="00407D43" w:rsidP="0086407D">
      <w:pPr>
        <w:pStyle w:val="PageHeading"/>
        <w:rPr>
          <w:noProof/>
        </w:rPr>
      </w:pPr>
      <w:bookmarkStart w:id="4" w:name="_Toc152681434"/>
      <w:bookmarkStart w:id="5" w:name="_Toc155886592"/>
      <w:r w:rsidRPr="00407D43">
        <w:t xml:space="preserve">ANNEXE: </w:t>
      </w:r>
      <w:bookmarkEnd w:id="4"/>
      <w:r w:rsidRPr="00407D43">
        <w:t>LISTE DES ENTITÉS OU PERSONNES AYANT APPORTÉ LEUR CONTRIBUTION AU RAPPORTEUR</w:t>
      </w:r>
      <w:bookmarkEnd w:id="5"/>
    </w:p>
    <w:p w:rsidR="0086407D" w:rsidRPr="00407D43" w:rsidRDefault="00407D43" w:rsidP="0086407D">
      <w:pPr>
        <w:pStyle w:val="Normal24a"/>
      </w:pPr>
      <w:r w:rsidRPr="00407D43">
        <w:rPr>
          <w:rStyle w:val="HideTWBExt"/>
        </w:rPr>
        <w:t>&lt;FootprintIntro&gt;</w:t>
      </w:r>
      <w:r w:rsidRPr="00407D43">
        <w:t>Conformément à l’article 8 de l’annexe I du règlement intérieur, le rapporteur déclare avoir reçu des contributions des entités ou personnes suivantes pour l’élaboration du rapport, préalablement à son adoption en commission:</w:t>
      </w:r>
      <w:r w:rsidRPr="00407D4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C37AD" w:rsidRPr="00407D43" w:rsidTr="00982395">
        <w:tc>
          <w:tcPr>
            <w:tcW w:w="9060" w:type="dxa"/>
            <w:shd w:val="clear" w:color="auto" w:fill="auto"/>
          </w:tcPr>
          <w:p w:rsidR="0086407D" w:rsidRPr="00407D43" w:rsidRDefault="00407D43" w:rsidP="00982395">
            <w:pPr>
              <w:pStyle w:val="NormalBoldCenter"/>
            </w:pPr>
            <w:r w:rsidRPr="00407D43">
              <w:t xml:space="preserve">Entité et/ou </w:t>
            </w:r>
            <w:r w:rsidRPr="00407D43">
              <w:t>personne</w:t>
            </w:r>
          </w:p>
        </w:tc>
      </w:tr>
      <w:tr w:rsidR="005C37AD" w:rsidRPr="00407D43" w:rsidTr="00982395">
        <w:tc>
          <w:tcPr>
            <w:tcW w:w="9060" w:type="dxa"/>
            <w:shd w:val="clear" w:color="auto" w:fill="auto"/>
          </w:tcPr>
          <w:p w:rsidR="0086407D" w:rsidRPr="00407D43" w:rsidRDefault="00407D43" w:rsidP="00982395">
            <w:pPr>
              <w:rPr>
                <w:b/>
              </w:rPr>
            </w:pPr>
            <w:r w:rsidRPr="00407D43">
              <w:t>Conseil européen pour la sécurité des transports</w:t>
            </w:r>
          </w:p>
        </w:tc>
      </w:tr>
      <w:tr w:rsidR="005C37AD" w:rsidRPr="00407D43" w:rsidTr="00982395">
        <w:tc>
          <w:tcPr>
            <w:tcW w:w="9060" w:type="dxa"/>
            <w:shd w:val="clear" w:color="auto" w:fill="auto"/>
          </w:tcPr>
          <w:p w:rsidR="0086407D" w:rsidRPr="00407D43" w:rsidRDefault="00407D43" w:rsidP="00982395">
            <w:r w:rsidRPr="00407D43">
              <w:t>Fédération des associations européennes de motocyclistes</w:t>
            </w:r>
          </w:p>
        </w:tc>
      </w:tr>
      <w:tr w:rsidR="005C37AD" w:rsidRPr="00407D43" w:rsidTr="00982395">
        <w:tc>
          <w:tcPr>
            <w:tcW w:w="9060" w:type="dxa"/>
            <w:shd w:val="clear" w:color="auto" w:fill="auto"/>
          </w:tcPr>
          <w:p w:rsidR="0086407D" w:rsidRPr="00407D43" w:rsidRDefault="00407D43" w:rsidP="00982395">
            <w:r w:rsidRPr="00407D43">
              <w:t>Association européenne du stationnement</w:t>
            </w:r>
          </w:p>
        </w:tc>
      </w:tr>
      <w:tr w:rsidR="005C37AD" w:rsidRPr="00407D43" w:rsidTr="00982395">
        <w:tc>
          <w:tcPr>
            <w:tcW w:w="9060" w:type="dxa"/>
            <w:shd w:val="clear" w:color="auto" w:fill="auto"/>
          </w:tcPr>
          <w:p w:rsidR="0086407D" w:rsidRPr="00407D43" w:rsidRDefault="00407D43" w:rsidP="00982395">
            <w:r w:rsidRPr="00407D43">
              <w:t>Organisation polonaise du secteur du stationnement</w:t>
            </w:r>
          </w:p>
        </w:tc>
      </w:tr>
    </w:tbl>
    <w:p w:rsidR="0086407D" w:rsidRPr="00407D43" w:rsidRDefault="0086407D" w:rsidP="0086407D"/>
    <w:p w:rsidR="0086407D" w:rsidRPr="00407D43" w:rsidRDefault="00407D43" w:rsidP="0086407D">
      <w:pPr>
        <w:rPr>
          <w:szCs w:val="24"/>
        </w:rPr>
      </w:pPr>
      <w:r w:rsidRPr="00407D43">
        <w:t>La liste qui précède est établie sous la responsabilité exclusive du rapporteur.</w:t>
      </w:r>
    </w:p>
    <w:p w:rsidR="0056327C" w:rsidRPr="00407D43" w:rsidRDefault="0056327C" w:rsidP="0086407D">
      <w:pPr>
        <w:pStyle w:val="NormalHanging12a"/>
        <w:rPr>
          <w:szCs w:val="24"/>
        </w:rPr>
      </w:pPr>
    </w:p>
    <w:p w:rsidR="0056327C" w:rsidRPr="00407D43" w:rsidRDefault="0056327C" w:rsidP="0056327C"/>
    <w:p w:rsidR="00CD4DE8" w:rsidRPr="00407D43" w:rsidRDefault="00407D43" w:rsidP="00CD4DE8">
      <w:r w:rsidRPr="00407D43">
        <w:br w:type="page"/>
      </w:r>
    </w:p>
    <w:p w:rsidR="00CD4DE8" w:rsidRPr="00407D43" w:rsidRDefault="00407D43" w:rsidP="00CD4DE8">
      <w:pPr>
        <w:pStyle w:val="PageHeading"/>
      </w:pPr>
      <w:bookmarkStart w:id="6" w:name="ProcPageRR"/>
      <w:bookmarkStart w:id="7" w:name="_Toc155886593"/>
      <w:r w:rsidRPr="00407D43">
        <w:lastRenderedPageBreak/>
        <w:t>PROCÉDURE DE LA COMMISSION COMPÉTENTE AU FOND</w:t>
      </w:r>
      <w:bookmarkEnd w:id="7"/>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C37AD" w:rsidRPr="00407D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Modification de la directive (UE) 2015/413 facilitant l’échange transfrontalier d’informations concernant les infractions en matière de sécurité routière</w:t>
            </w:r>
          </w:p>
        </w:tc>
      </w:tr>
      <w:tr w:rsidR="005C37AD" w:rsidRPr="00407D4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COM(2023)0126 – C9-0034/2023 – 2023/0052(COD)</w:t>
            </w:r>
          </w:p>
        </w:tc>
      </w:tr>
      <w:tr w:rsidR="005C37AD" w:rsidRPr="00407D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1.3.2023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r>
      <w:tr w:rsidR="005C37AD" w:rsidRPr="00407D4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Commission compétente au fond</w:t>
            </w:r>
          </w:p>
          <w:p w:rsidR="00CD4DE8" w:rsidRPr="00407D43" w:rsidRDefault="00407D43">
            <w:pPr>
              <w:autoSpaceDE w:val="0"/>
              <w:autoSpaceDN w:val="0"/>
              <w:adjustRightInd w:val="0"/>
              <w:rPr>
                <w:sz w:val="20"/>
              </w:rPr>
            </w:pPr>
            <w:r w:rsidRPr="00407D43">
              <w:rPr>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TRAN</w:t>
            </w:r>
          </w:p>
          <w:p w:rsidR="00CD4DE8" w:rsidRPr="00407D43" w:rsidRDefault="00407D43">
            <w:pPr>
              <w:autoSpaceDE w:val="0"/>
              <w:autoSpaceDN w:val="0"/>
              <w:adjustRightInd w:val="0"/>
              <w:rPr>
                <w:sz w:val="20"/>
              </w:rPr>
            </w:pPr>
            <w:r w:rsidRPr="00407D43">
              <w:rPr>
                <w:sz w:val="20"/>
              </w:rPr>
              <w:t>16.3.2023</w:t>
            </w:r>
          </w:p>
        </w:tc>
        <w:tc>
          <w:tcPr>
            <w:tcW w:w="1474" w:type="dxa"/>
            <w:tcBorders>
              <w:top w:val="nil"/>
              <w:left w:val="nil"/>
              <w:bottom w:val="single" w:sz="8" w:space="0" w:color="000000"/>
              <w:right w:val="nil"/>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r>
      <w:tr w:rsidR="005C37AD" w:rsidRPr="00407D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Commissions saisies pour avis</w:t>
            </w:r>
          </w:p>
          <w:p w:rsidR="00CD4DE8" w:rsidRPr="00407D43" w:rsidRDefault="00407D43">
            <w:pPr>
              <w:autoSpaceDE w:val="0"/>
              <w:autoSpaceDN w:val="0"/>
              <w:adjustRightInd w:val="0"/>
              <w:rPr>
                <w:sz w:val="20"/>
              </w:rPr>
            </w:pPr>
            <w:r w:rsidRPr="00407D43">
              <w:rPr>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BUDG</w:t>
            </w:r>
          </w:p>
          <w:p w:rsidR="00CD4DE8" w:rsidRPr="00407D43" w:rsidRDefault="00407D43">
            <w:pPr>
              <w:autoSpaceDE w:val="0"/>
              <w:autoSpaceDN w:val="0"/>
              <w:adjustRightInd w:val="0"/>
              <w:rPr>
                <w:sz w:val="20"/>
              </w:rPr>
            </w:pPr>
            <w:r w:rsidRPr="00407D43">
              <w:rPr>
                <w:sz w:val="20"/>
              </w:rPr>
              <w:t>16.3.2023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LIBE</w:t>
            </w:r>
          </w:p>
          <w:p w:rsidR="00CD4DE8" w:rsidRPr="00407D43" w:rsidRDefault="00407D43">
            <w:pPr>
              <w:autoSpaceDE w:val="0"/>
              <w:autoSpaceDN w:val="0"/>
              <w:adjustRightInd w:val="0"/>
              <w:rPr>
                <w:sz w:val="20"/>
              </w:rPr>
            </w:pPr>
            <w:r w:rsidRPr="00407D43">
              <w:rPr>
                <w:sz w:val="20"/>
              </w:rPr>
              <w:t>16.3.2023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r>
      <w:tr w:rsidR="005C37AD" w:rsidRPr="00407D4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Avis non émis</w:t>
            </w:r>
          </w:p>
          <w:p w:rsidR="00CD4DE8" w:rsidRPr="00407D43" w:rsidRDefault="00407D43">
            <w:pPr>
              <w:autoSpaceDE w:val="0"/>
              <w:autoSpaceDN w:val="0"/>
              <w:adjustRightInd w:val="0"/>
              <w:rPr>
                <w:sz w:val="20"/>
              </w:rPr>
            </w:pPr>
            <w:r w:rsidRPr="00407D43">
              <w:rPr>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BUDG</w:t>
            </w:r>
          </w:p>
          <w:p w:rsidR="00CD4DE8" w:rsidRPr="00407D43" w:rsidRDefault="00407D43">
            <w:pPr>
              <w:autoSpaceDE w:val="0"/>
              <w:autoSpaceDN w:val="0"/>
              <w:adjustRightInd w:val="0"/>
              <w:rPr>
                <w:sz w:val="20"/>
              </w:rPr>
            </w:pPr>
            <w:r w:rsidRPr="00407D43">
              <w:rPr>
                <w:sz w:val="20"/>
              </w:rPr>
              <w:t>28.3.2023</w:t>
            </w:r>
          </w:p>
        </w:tc>
        <w:tc>
          <w:tcPr>
            <w:tcW w:w="1474" w:type="dxa"/>
            <w:tcBorders>
              <w:top w:val="nil"/>
              <w:left w:val="nil"/>
              <w:bottom w:val="single" w:sz="8" w:space="0" w:color="000000"/>
              <w:right w:val="nil"/>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LIBE</w:t>
            </w:r>
          </w:p>
          <w:p w:rsidR="00CD4DE8" w:rsidRPr="00407D43" w:rsidRDefault="00407D43">
            <w:pPr>
              <w:autoSpaceDE w:val="0"/>
              <w:autoSpaceDN w:val="0"/>
              <w:adjustRightInd w:val="0"/>
              <w:rPr>
                <w:sz w:val="20"/>
              </w:rPr>
            </w:pPr>
            <w:r w:rsidRPr="00407D43">
              <w:rPr>
                <w:sz w:val="20"/>
              </w:rPr>
              <w:t>31.3.2023</w:t>
            </w:r>
          </w:p>
        </w:tc>
        <w:tc>
          <w:tcPr>
            <w:tcW w:w="1474" w:type="dxa"/>
            <w:tcBorders>
              <w:top w:val="nil"/>
              <w:left w:val="nil"/>
              <w:bottom w:val="single" w:sz="8" w:space="0" w:color="000000"/>
              <w:right w:val="nil"/>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r>
      <w:tr w:rsidR="005C37AD" w:rsidRPr="00407D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Rapporteurs</w:t>
            </w:r>
          </w:p>
          <w:p w:rsidR="00CD4DE8" w:rsidRPr="00407D43" w:rsidRDefault="00407D43">
            <w:pPr>
              <w:autoSpaceDE w:val="0"/>
              <w:autoSpaceDN w:val="0"/>
              <w:adjustRightInd w:val="0"/>
              <w:rPr>
                <w:sz w:val="20"/>
              </w:rPr>
            </w:pPr>
            <w:r w:rsidRPr="00407D43">
              <w:rPr>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Kosma Złotowski</w:t>
            </w:r>
          </w:p>
          <w:p w:rsidR="00CD4DE8" w:rsidRPr="00407D43" w:rsidRDefault="00407D43">
            <w:pPr>
              <w:autoSpaceDE w:val="0"/>
              <w:autoSpaceDN w:val="0"/>
              <w:adjustRightInd w:val="0"/>
              <w:rPr>
                <w:sz w:val="20"/>
              </w:rPr>
            </w:pPr>
            <w:r w:rsidRPr="00407D43">
              <w:rPr>
                <w:sz w:val="20"/>
              </w:rPr>
              <w:t>14.4.2023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r>
      <w:tr w:rsidR="005C37AD" w:rsidRPr="00407D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27.6.2023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r>
      <w:tr w:rsidR="005C37AD" w:rsidRPr="00407D4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D4DE8" w:rsidRPr="00407D43" w:rsidRDefault="00CD4DE8">
            <w:pPr>
              <w:autoSpaceDE w:val="0"/>
              <w:autoSpaceDN w:val="0"/>
              <w:adjustRightInd w:val="0"/>
              <w:rPr>
                <w:rFonts w:ascii="sans-serif" w:hAnsi="sans-serif" w:cs="sans-serif"/>
                <w:szCs w:val="24"/>
              </w:rPr>
            </w:pPr>
          </w:p>
        </w:tc>
      </w:tr>
      <w:tr w:rsidR="005C37AD" w:rsidRPr="00407D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w:t>
            </w:r>
          </w:p>
          <w:p w:rsidR="00CD4DE8" w:rsidRPr="00407D43" w:rsidRDefault="00407D43">
            <w:pPr>
              <w:autoSpaceDE w:val="0"/>
              <w:autoSpaceDN w:val="0"/>
              <w:adjustRightInd w:val="0"/>
              <w:rPr>
                <w:sz w:val="20"/>
              </w:rPr>
            </w:pPr>
            <w:r w:rsidRPr="00407D43">
              <w:rPr>
                <w:sz w:val="20"/>
              </w:rPr>
              <w:t>–:</w:t>
            </w:r>
          </w:p>
          <w:p w:rsidR="00CD4DE8" w:rsidRPr="00407D43" w:rsidRDefault="00407D43">
            <w:pPr>
              <w:autoSpaceDE w:val="0"/>
              <w:autoSpaceDN w:val="0"/>
              <w:adjustRightInd w:val="0"/>
              <w:rPr>
                <w:sz w:val="20"/>
              </w:rPr>
            </w:pPr>
            <w:r w:rsidRPr="00407D43">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37</w:t>
            </w:r>
          </w:p>
          <w:p w:rsidR="00CD4DE8" w:rsidRPr="00407D43" w:rsidRDefault="00407D43">
            <w:pPr>
              <w:autoSpaceDE w:val="0"/>
              <w:autoSpaceDN w:val="0"/>
              <w:adjustRightInd w:val="0"/>
              <w:rPr>
                <w:sz w:val="20"/>
              </w:rPr>
            </w:pPr>
            <w:r w:rsidRPr="00407D43">
              <w:rPr>
                <w:sz w:val="20"/>
              </w:rPr>
              <w:t>0</w:t>
            </w:r>
          </w:p>
          <w:p w:rsidR="00CD4DE8" w:rsidRPr="00407D43" w:rsidRDefault="00407D43">
            <w:pPr>
              <w:autoSpaceDE w:val="0"/>
              <w:autoSpaceDN w:val="0"/>
              <w:adjustRightInd w:val="0"/>
              <w:rPr>
                <w:sz w:val="20"/>
              </w:rPr>
            </w:pPr>
            <w:r w:rsidRPr="00407D43">
              <w:rPr>
                <w:sz w:val="20"/>
              </w:rPr>
              <w:t>5</w:t>
            </w:r>
          </w:p>
        </w:tc>
      </w:tr>
      <w:tr w:rsidR="005C37AD" w:rsidRPr="00407D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Andris Ameriks, José Ramón Bauzá Díaz, Izaskun Bilbao Barandica, Karolin Braunsberger-Reinhold, Ciarán Cuffe, Jakop G. Dalunde, Isabel García Muñoz, Jens Gieseke, Elsi Katainen, Elena Kountoura, Bogusław Liberadzki, Peter Lundgren, Benoît Lutgen, Marian-Je</w:t>
            </w:r>
            <w:r w:rsidRPr="00407D43">
              <w:rPr>
                <w:sz w:val="20"/>
              </w:rPr>
              <w:t>an Marinescu, Tilly Metz, Cláudia Monteiro de Aguiar, Jan-Christoph Oetjen, Tomasz Piotr Poręba, Bergur Løkke Rasmussen, Dominique Riquet, Thomas Rudner, Massimiliano Salini, Vera Tax, István Ujhelyi, Achille Variati, Henna Virkkunen, Petar Vitanov, Robert</w:t>
            </w:r>
            <w:r w:rsidRPr="00407D43">
              <w:rPr>
                <w:sz w:val="20"/>
              </w:rPr>
              <w:t>s Zīle, Kosma Złotowski</w:t>
            </w:r>
          </w:p>
        </w:tc>
      </w:tr>
      <w:tr w:rsidR="005C37AD" w:rsidRPr="00407D4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Pablo Arias Echeverría, Ignazio Corrao, Andor Deli, Angel Dzhambazki, Roman Haider, Ljudmila Novak, Marianne Vind</w:t>
            </w:r>
          </w:p>
        </w:tc>
      </w:tr>
      <w:tr w:rsidR="005C37AD" w:rsidRPr="00407D4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Hildegard Bentele, Theresa Bielowski, Vasile Blaga, Janina Ochojska, Francesca Peppucci, Catharina Rinzema</w:t>
            </w:r>
          </w:p>
        </w:tc>
      </w:tr>
      <w:tr w:rsidR="005C37AD" w:rsidRPr="00407D4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b/>
                <w:bCs/>
                <w:sz w:val="20"/>
              </w:rPr>
            </w:pPr>
            <w:r w:rsidRPr="00407D43">
              <w:rPr>
                <w:b/>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D4DE8" w:rsidRPr="00407D43" w:rsidRDefault="00407D43">
            <w:pPr>
              <w:autoSpaceDE w:val="0"/>
              <w:autoSpaceDN w:val="0"/>
              <w:adjustRightInd w:val="0"/>
              <w:rPr>
                <w:sz w:val="20"/>
              </w:rPr>
            </w:pPr>
            <w:r w:rsidRPr="00407D43">
              <w:rPr>
                <w:sz w:val="20"/>
              </w:rPr>
              <w:t>5.12.2023</w:t>
            </w:r>
          </w:p>
        </w:tc>
      </w:tr>
    </w:tbl>
    <w:p w:rsidR="00CD4DE8" w:rsidRPr="00407D43" w:rsidRDefault="00CD4DE8"/>
    <w:bookmarkEnd w:id="6"/>
    <w:p w:rsidR="0086407D" w:rsidRPr="00407D43" w:rsidRDefault="0086407D" w:rsidP="0086407D">
      <w:pPr>
        <w:sectPr w:rsidR="0086407D" w:rsidRPr="00407D43" w:rsidSect="0086407D">
          <w:headerReference w:type="even" r:id="rId21"/>
          <w:headerReference w:type="default" r:id="rId22"/>
          <w:headerReference w:type="first" r:id="rId23"/>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6407D" w:rsidRPr="00407D43" w:rsidRDefault="0086407D" w:rsidP="0086407D"/>
    <w:p w:rsidR="0086407D" w:rsidRPr="00407D43" w:rsidRDefault="00407D43" w:rsidP="008B71C9">
      <w:pPr>
        <w:pStyle w:val="PageHeading"/>
      </w:pPr>
      <w:bookmarkStart w:id="8" w:name="RollCallPageRR"/>
      <w:bookmarkStart w:id="9" w:name="_Toc155886594"/>
      <w:r w:rsidRPr="00407D43">
        <w:t>VOTE FINAL PAR APPEL NOMINAL</w:t>
      </w:r>
      <w:r w:rsidRPr="00407D43">
        <w:br/>
        <w:t>EN COMMISSION COMPÉTENTE AU FOND</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37AD" w:rsidRPr="00407D43" w:rsidTr="00982395">
        <w:trPr>
          <w:cantSplit/>
        </w:trPr>
        <w:tc>
          <w:tcPr>
            <w:tcW w:w="1701" w:type="dxa"/>
            <w:shd w:val="pct10" w:color="000000" w:fill="FFFFFF"/>
            <w:vAlign w:val="center"/>
          </w:tcPr>
          <w:p w:rsidR="0086407D" w:rsidRPr="00407D43" w:rsidRDefault="00407D43" w:rsidP="00982395">
            <w:pPr>
              <w:pStyle w:val="RollCallVotes"/>
            </w:pPr>
            <w:r w:rsidRPr="00407D43">
              <w:t>37</w:t>
            </w:r>
          </w:p>
        </w:tc>
        <w:tc>
          <w:tcPr>
            <w:tcW w:w="7371" w:type="dxa"/>
            <w:shd w:val="pct10" w:color="000000" w:fill="FFFFFF"/>
          </w:tcPr>
          <w:p w:rsidR="0086407D" w:rsidRPr="00407D43" w:rsidRDefault="00407D43" w:rsidP="00982395">
            <w:pPr>
              <w:pStyle w:val="RollCallSymbols14pt"/>
            </w:pPr>
            <w:r w:rsidRPr="00407D43">
              <w:t>+</w:t>
            </w:r>
          </w:p>
        </w:tc>
      </w:tr>
      <w:tr w:rsidR="005C37AD" w:rsidRPr="00407D43" w:rsidTr="00982395">
        <w:trPr>
          <w:cantSplit/>
        </w:trPr>
        <w:tc>
          <w:tcPr>
            <w:tcW w:w="1701" w:type="dxa"/>
            <w:shd w:val="clear" w:color="auto" w:fill="FFFFFF"/>
          </w:tcPr>
          <w:p w:rsidR="0086407D" w:rsidRPr="00407D43" w:rsidRDefault="00407D43" w:rsidP="00982395">
            <w:pPr>
              <w:pStyle w:val="RollCallTable"/>
            </w:pPr>
            <w:r w:rsidRPr="00407D43">
              <w:t>ECR</w:t>
            </w:r>
          </w:p>
        </w:tc>
        <w:tc>
          <w:tcPr>
            <w:tcW w:w="7371" w:type="dxa"/>
            <w:shd w:val="clear" w:color="auto" w:fill="FFFFFF"/>
          </w:tcPr>
          <w:p w:rsidR="0086407D" w:rsidRPr="00407D43" w:rsidRDefault="00407D43" w:rsidP="00982395">
            <w:pPr>
              <w:pStyle w:val="RollCallTable"/>
            </w:pPr>
            <w:r w:rsidRPr="00407D43">
              <w:t>Angel Dzhambazki, Peter Lundgren, Tomasz Piotr Poręba, Roberts Zīle, Kosma Złotowski</w:t>
            </w:r>
          </w:p>
        </w:tc>
      </w:tr>
      <w:tr w:rsidR="005C37AD" w:rsidRPr="00407D43" w:rsidTr="00982395">
        <w:trPr>
          <w:cantSplit/>
        </w:trPr>
        <w:tc>
          <w:tcPr>
            <w:tcW w:w="1701" w:type="dxa"/>
            <w:shd w:val="clear" w:color="auto" w:fill="FFFFFF"/>
          </w:tcPr>
          <w:p w:rsidR="0086407D" w:rsidRPr="00407D43" w:rsidRDefault="00407D43" w:rsidP="00982395">
            <w:pPr>
              <w:pStyle w:val="RollCallTable"/>
            </w:pPr>
            <w:r w:rsidRPr="00407D43">
              <w:t>NI</w:t>
            </w:r>
          </w:p>
        </w:tc>
        <w:tc>
          <w:tcPr>
            <w:tcW w:w="7371" w:type="dxa"/>
            <w:shd w:val="clear" w:color="auto" w:fill="FFFFFF"/>
          </w:tcPr>
          <w:p w:rsidR="0086407D" w:rsidRPr="00407D43" w:rsidRDefault="00407D43" w:rsidP="00982395">
            <w:pPr>
              <w:pStyle w:val="RollCallTable"/>
            </w:pPr>
            <w:r w:rsidRPr="00407D43">
              <w:t>Andor Deli</w:t>
            </w:r>
          </w:p>
        </w:tc>
      </w:tr>
      <w:tr w:rsidR="005C37AD" w:rsidRPr="00407D43" w:rsidTr="00982395">
        <w:trPr>
          <w:cantSplit/>
        </w:trPr>
        <w:tc>
          <w:tcPr>
            <w:tcW w:w="1701" w:type="dxa"/>
            <w:shd w:val="clear" w:color="auto" w:fill="FFFFFF"/>
          </w:tcPr>
          <w:p w:rsidR="0086407D" w:rsidRPr="00407D43" w:rsidRDefault="00407D43" w:rsidP="00982395">
            <w:pPr>
              <w:pStyle w:val="RollCallTable"/>
            </w:pPr>
            <w:r w:rsidRPr="00407D43">
              <w:t>PPE</w:t>
            </w:r>
          </w:p>
        </w:tc>
        <w:tc>
          <w:tcPr>
            <w:tcW w:w="7371" w:type="dxa"/>
            <w:shd w:val="clear" w:color="auto" w:fill="FFFFFF"/>
          </w:tcPr>
          <w:p w:rsidR="0086407D" w:rsidRPr="00407D43" w:rsidRDefault="00407D43" w:rsidP="00982395">
            <w:pPr>
              <w:pStyle w:val="RollCallTable"/>
            </w:pPr>
            <w:r w:rsidRPr="00407D43">
              <w:t>Pablo Arias Echeverría, Hildegard Bentele, Vasile Blaga, Karolin Braunsberger-Reinhold, Jens Gieseke, Benoît Lutgen, Marian-Jean Marinescu, Cláudia Monteiro de Aguiar, Ljudmila Novak, Janina Ochojska, Francesca Peppucci, Massimiliano Salini, Henna Virkkune</w:t>
            </w:r>
            <w:r w:rsidRPr="00407D43">
              <w:t>n</w:t>
            </w:r>
          </w:p>
        </w:tc>
      </w:tr>
      <w:tr w:rsidR="005C37AD" w:rsidRPr="00407D43" w:rsidTr="00982395">
        <w:trPr>
          <w:cantSplit/>
        </w:trPr>
        <w:tc>
          <w:tcPr>
            <w:tcW w:w="1701" w:type="dxa"/>
            <w:shd w:val="clear" w:color="auto" w:fill="FFFFFF"/>
          </w:tcPr>
          <w:p w:rsidR="0086407D" w:rsidRPr="00407D43" w:rsidRDefault="00407D43" w:rsidP="00982395">
            <w:pPr>
              <w:pStyle w:val="RollCallTable"/>
            </w:pPr>
            <w:r w:rsidRPr="00407D43">
              <w:t>Renew</w:t>
            </w:r>
          </w:p>
        </w:tc>
        <w:tc>
          <w:tcPr>
            <w:tcW w:w="7371" w:type="dxa"/>
            <w:shd w:val="clear" w:color="auto" w:fill="FFFFFF"/>
          </w:tcPr>
          <w:p w:rsidR="0086407D" w:rsidRPr="00407D43" w:rsidRDefault="00407D43" w:rsidP="00982395">
            <w:pPr>
              <w:pStyle w:val="RollCallTable"/>
            </w:pPr>
            <w:r w:rsidRPr="00407D43">
              <w:t>José Ramón Bauzá Díaz, Izaskun Bilbao Barandica, Elsi Katainen, Jan-Christoph Oetjen, Bergur Løkke Rasmussen, Catharina Rinzema, Dominique Riquet</w:t>
            </w:r>
          </w:p>
        </w:tc>
      </w:tr>
      <w:tr w:rsidR="005C37AD" w:rsidRPr="00407D43" w:rsidTr="00982395">
        <w:trPr>
          <w:cantSplit/>
        </w:trPr>
        <w:tc>
          <w:tcPr>
            <w:tcW w:w="1701" w:type="dxa"/>
            <w:shd w:val="clear" w:color="auto" w:fill="FFFFFF"/>
          </w:tcPr>
          <w:p w:rsidR="0086407D" w:rsidRPr="00407D43" w:rsidRDefault="00407D43" w:rsidP="00982395">
            <w:pPr>
              <w:pStyle w:val="RollCallTable"/>
            </w:pPr>
            <w:r w:rsidRPr="00407D43">
              <w:t>S&amp;D</w:t>
            </w:r>
          </w:p>
        </w:tc>
        <w:tc>
          <w:tcPr>
            <w:tcW w:w="7371" w:type="dxa"/>
            <w:shd w:val="clear" w:color="auto" w:fill="FFFFFF"/>
          </w:tcPr>
          <w:p w:rsidR="0086407D" w:rsidRPr="00407D43" w:rsidRDefault="00407D43" w:rsidP="00982395">
            <w:pPr>
              <w:pStyle w:val="RollCallTable"/>
            </w:pPr>
            <w:r w:rsidRPr="00407D43">
              <w:t>Andris Ameriks, Theresa Bielowski, Isabel García Muñoz, Bogusław Liberadzki, Thomas Rudner, Vera Tax, István Ujhelyi, Achille Variati, Marianne Vind, Petar Vitanov</w:t>
            </w:r>
          </w:p>
        </w:tc>
      </w:tr>
      <w:tr w:rsidR="005C37AD" w:rsidRPr="00407D43" w:rsidTr="00982395">
        <w:trPr>
          <w:cantSplit/>
        </w:trPr>
        <w:tc>
          <w:tcPr>
            <w:tcW w:w="1701" w:type="dxa"/>
            <w:shd w:val="clear" w:color="auto" w:fill="FFFFFF"/>
          </w:tcPr>
          <w:p w:rsidR="0086407D" w:rsidRPr="00407D43" w:rsidRDefault="00407D43" w:rsidP="00982395">
            <w:pPr>
              <w:pStyle w:val="RollCallTable"/>
            </w:pPr>
            <w:r w:rsidRPr="00407D43">
              <w:t>The Left</w:t>
            </w:r>
          </w:p>
        </w:tc>
        <w:tc>
          <w:tcPr>
            <w:tcW w:w="7371" w:type="dxa"/>
            <w:shd w:val="clear" w:color="auto" w:fill="FFFFFF"/>
          </w:tcPr>
          <w:p w:rsidR="0086407D" w:rsidRPr="00407D43" w:rsidRDefault="00407D43" w:rsidP="00982395">
            <w:pPr>
              <w:pStyle w:val="RollCallTable"/>
            </w:pPr>
            <w:r w:rsidRPr="00407D43">
              <w:t>Elena Kountoura</w:t>
            </w:r>
          </w:p>
        </w:tc>
      </w:tr>
    </w:tbl>
    <w:p w:rsidR="0086407D" w:rsidRPr="00407D43" w:rsidRDefault="0086407D" w:rsidP="0086407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37AD" w:rsidRPr="00407D43" w:rsidTr="00982395">
        <w:trPr>
          <w:cantSplit/>
        </w:trPr>
        <w:tc>
          <w:tcPr>
            <w:tcW w:w="1701" w:type="dxa"/>
            <w:shd w:val="pct10" w:color="000000" w:fill="FFFFFF"/>
            <w:vAlign w:val="center"/>
          </w:tcPr>
          <w:p w:rsidR="0086407D" w:rsidRPr="00407D43" w:rsidRDefault="00407D43" w:rsidP="00982395">
            <w:pPr>
              <w:pStyle w:val="RollCallVotes"/>
            </w:pPr>
            <w:r w:rsidRPr="00407D43">
              <w:t>0</w:t>
            </w:r>
          </w:p>
        </w:tc>
        <w:tc>
          <w:tcPr>
            <w:tcW w:w="7371" w:type="dxa"/>
            <w:shd w:val="pct10" w:color="000000" w:fill="FFFFFF"/>
          </w:tcPr>
          <w:p w:rsidR="0086407D" w:rsidRPr="00407D43" w:rsidRDefault="00407D43" w:rsidP="00982395">
            <w:pPr>
              <w:pStyle w:val="RollCallSymbols14pt"/>
            </w:pPr>
            <w:r w:rsidRPr="00407D43">
              <w:t>-</w:t>
            </w:r>
          </w:p>
        </w:tc>
      </w:tr>
      <w:tr w:rsidR="005C37AD" w:rsidRPr="00407D43" w:rsidTr="00982395">
        <w:trPr>
          <w:cantSplit/>
        </w:trPr>
        <w:tc>
          <w:tcPr>
            <w:tcW w:w="1701" w:type="dxa"/>
            <w:shd w:val="clear" w:color="auto" w:fill="FFFFFF"/>
          </w:tcPr>
          <w:p w:rsidR="0086407D" w:rsidRPr="00407D43" w:rsidRDefault="0086407D" w:rsidP="00982395">
            <w:pPr>
              <w:pStyle w:val="RollCallTable"/>
            </w:pPr>
          </w:p>
        </w:tc>
        <w:tc>
          <w:tcPr>
            <w:tcW w:w="7371" w:type="dxa"/>
            <w:shd w:val="clear" w:color="auto" w:fill="FFFFFF"/>
          </w:tcPr>
          <w:p w:rsidR="0086407D" w:rsidRPr="00407D43" w:rsidRDefault="0086407D" w:rsidP="00982395">
            <w:pPr>
              <w:pStyle w:val="RollCallTable"/>
            </w:pPr>
          </w:p>
        </w:tc>
      </w:tr>
    </w:tbl>
    <w:p w:rsidR="0086407D" w:rsidRPr="00407D43" w:rsidRDefault="0086407D" w:rsidP="0086407D"/>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C37AD" w:rsidRPr="00407D43" w:rsidTr="00982395">
        <w:trPr>
          <w:cantSplit/>
        </w:trPr>
        <w:tc>
          <w:tcPr>
            <w:tcW w:w="1701" w:type="dxa"/>
            <w:shd w:val="pct10" w:color="000000" w:fill="FFFFFF"/>
            <w:vAlign w:val="center"/>
          </w:tcPr>
          <w:p w:rsidR="0086407D" w:rsidRPr="00407D43" w:rsidRDefault="00407D43" w:rsidP="00982395">
            <w:pPr>
              <w:pStyle w:val="RollCallVotes"/>
            </w:pPr>
            <w:r w:rsidRPr="00407D43">
              <w:t>5</w:t>
            </w:r>
          </w:p>
        </w:tc>
        <w:tc>
          <w:tcPr>
            <w:tcW w:w="7371" w:type="dxa"/>
            <w:shd w:val="pct10" w:color="000000" w:fill="FFFFFF"/>
          </w:tcPr>
          <w:p w:rsidR="0086407D" w:rsidRPr="00407D43" w:rsidRDefault="00407D43" w:rsidP="00982395">
            <w:pPr>
              <w:pStyle w:val="RollCallSymbols14pt"/>
            </w:pPr>
            <w:r w:rsidRPr="00407D43">
              <w:t>0</w:t>
            </w:r>
          </w:p>
        </w:tc>
      </w:tr>
      <w:tr w:rsidR="005C37AD" w:rsidRPr="00407D43" w:rsidTr="00982395">
        <w:trPr>
          <w:cantSplit/>
        </w:trPr>
        <w:tc>
          <w:tcPr>
            <w:tcW w:w="1701" w:type="dxa"/>
            <w:shd w:val="clear" w:color="auto" w:fill="FFFFFF"/>
          </w:tcPr>
          <w:p w:rsidR="0086407D" w:rsidRPr="00407D43" w:rsidRDefault="00407D43" w:rsidP="00982395">
            <w:pPr>
              <w:pStyle w:val="RollCallTable"/>
            </w:pPr>
            <w:r w:rsidRPr="00407D43">
              <w:t>ID</w:t>
            </w:r>
          </w:p>
        </w:tc>
        <w:tc>
          <w:tcPr>
            <w:tcW w:w="7371" w:type="dxa"/>
            <w:shd w:val="clear" w:color="auto" w:fill="FFFFFF"/>
          </w:tcPr>
          <w:p w:rsidR="0086407D" w:rsidRPr="00407D43" w:rsidRDefault="00407D43" w:rsidP="00982395">
            <w:pPr>
              <w:pStyle w:val="RollCallTable"/>
            </w:pPr>
            <w:r w:rsidRPr="00407D43">
              <w:t>Roman Haider</w:t>
            </w:r>
          </w:p>
        </w:tc>
      </w:tr>
      <w:tr w:rsidR="005C37AD" w:rsidRPr="00407D43" w:rsidTr="00982395">
        <w:trPr>
          <w:cantSplit/>
        </w:trPr>
        <w:tc>
          <w:tcPr>
            <w:tcW w:w="1701" w:type="dxa"/>
            <w:shd w:val="clear" w:color="auto" w:fill="FFFFFF"/>
          </w:tcPr>
          <w:p w:rsidR="0086407D" w:rsidRPr="00407D43" w:rsidRDefault="00407D43" w:rsidP="00982395">
            <w:pPr>
              <w:pStyle w:val="RollCallTable"/>
            </w:pPr>
            <w:r w:rsidRPr="00407D43">
              <w:t>Verts/ALE</w:t>
            </w:r>
          </w:p>
        </w:tc>
        <w:tc>
          <w:tcPr>
            <w:tcW w:w="7371" w:type="dxa"/>
            <w:shd w:val="clear" w:color="auto" w:fill="FFFFFF"/>
          </w:tcPr>
          <w:p w:rsidR="0086407D" w:rsidRPr="00407D43" w:rsidRDefault="00407D43" w:rsidP="00982395">
            <w:pPr>
              <w:pStyle w:val="RollCallTable"/>
            </w:pPr>
            <w:r w:rsidRPr="00407D43">
              <w:t>Ignazio Corrao, Ciarán Cuffe, Jakop G. Dalunde, Tilly Metz</w:t>
            </w:r>
          </w:p>
        </w:tc>
      </w:tr>
    </w:tbl>
    <w:p w:rsidR="0086407D" w:rsidRPr="00407D43" w:rsidRDefault="0086407D" w:rsidP="00147FBF">
      <w:pPr>
        <w:pStyle w:val="Normal12a"/>
      </w:pPr>
    </w:p>
    <w:p w:rsidR="0086407D" w:rsidRPr="00407D43" w:rsidRDefault="00407D43" w:rsidP="00B735E3">
      <w:r w:rsidRPr="00407D43">
        <w:t>Légende des signes utilisés:</w:t>
      </w:r>
    </w:p>
    <w:p w:rsidR="0086407D" w:rsidRPr="00407D43" w:rsidRDefault="00407D43" w:rsidP="001C6342">
      <w:pPr>
        <w:pStyle w:val="RollCallTabs"/>
      </w:pPr>
      <w:r w:rsidRPr="00407D43">
        <w:t>+</w:t>
      </w:r>
      <w:r w:rsidRPr="00407D43">
        <w:tab/>
        <w:t>:</w:t>
      </w:r>
      <w:r w:rsidRPr="00407D43">
        <w:tab/>
        <w:t>pour</w:t>
      </w:r>
    </w:p>
    <w:p w:rsidR="0086407D" w:rsidRPr="00407D43" w:rsidRDefault="00407D43" w:rsidP="001C6342">
      <w:pPr>
        <w:pStyle w:val="RollCallTabs"/>
      </w:pPr>
      <w:r w:rsidRPr="00407D43">
        <w:t>-</w:t>
      </w:r>
      <w:r w:rsidRPr="00407D43">
        <w:tab/>
        <w:t>:</w:t>
      </w:r>
      <w:r w:rsidRPr="00407D43">
        <w:tab/>
        <w:t>contre</w:t>
      </w:r>
    </w:p>
    <w:p w:rsidR="0086407D" w:rsidRPr="00407D43" w:rsidRDefault="00407D43" w:rsidP="001C6342">
      <w:pPr>
        <w:pStyle w:val="RollCallTabs"/>
      </w:pPr>
      <w:r w:rsidRPr="00407D43">
        <w:t>0</w:t>
      </w:r>
      <w:r w:rsidRPr="00407D43">
        <w:tab/>
        <w:t>:</w:t>
      </w:r>
      <w:r w:rsidRPr="00407D43">
        <w:tab/>
        <w:t>abstention</w:t>
      </w:r>
    </w:p>
    <w:p w:rsidR="0086407D" w:rsidRPr="00407D43" w:rsidRDefault="0086407D" w:rsidP="00AD5932"/>
    <w:bookmarkEnd w:id="8"/>
    <w:p w:rsidR="00D30DE2" w:rsidRPr="00407D43" w:rsidRDefault="00D30DE2" w:rsidP="0086407D"/>
    <w:sectPr w:rsidR="00D30DE2" w:rsidRPr="00407D43" w:rsidSect="008640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07D43">
      <w:r>
        <w:separator/>
      </w:r>
    </w:p>
  </w:endnote>
  <w:endnote w:type="continuationSeparator" w:id="0">
    <w:p w:rsidR="00000000" w:rsidRDefault="00407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07D" w:rsidRPr="0086407D" w:rsidRDefault="00407D43" w:rsidP="0086407D">
    <w:pPr>
      <w:pStyle w:val="EPFooter"/>
    </w:pPr>
    <w:r w:rsidRPr="0086407D">
      <w:t>PE</w:t>
    </w:r>
    <w:r w:rsidRPr="0086407D">
      <w:rPr>
        <w:rStyle w:val="HideTWBExt"/>
      </w:rPr>
      <w:t>&lt;NoPE&gt;</w:t>
    </w:r>
    <w:r w:rsidRPr="0086407D">
      <w:t>749.236</w:t>
    </w:r>
    <w:r w:rsidRPr="0086407D">
      <w:rPr>
        <w:rStyle w:val="HideTWBExt"/>
      </w:rPr>
      <w:t>&lt;/NoPE&gt;&lt;Version&gt;</w:t>
    </w:r>
    <w:r w:rsidRPr="0086407D">
      <w:t>v02-00</w:t>
    </w:r>
    <w:r w:rsidRPr="0086407D">
      <w:rPr>
        <w:rStyle w:val="HideTWBExt"/>
      </w:rPr>
      <w:t>&lt;/Version&gt;</w:t>
    </w:r>
    <w:r w:rsidRPr="0086407D">
      <w:tab/>
    </w:r>
    <w:r w:rsidRPr="0086407D">
      <w:fldChar w:fldCharType="begin"/>
    </w:r>
    <w:r w:rsidRPr="0086407D">
      <w:instrText xml:space="preserve"> PAGE  \* MERGEFORMAT </w:instrText>
    </w:r>
    <w:r w:rsidRPr="0086407D">
      <w:fldChar w:fldCharType="separate"/>
    </w:r>
    <w:r>
      <w:rPr>
        <w:noProof/>
      </w:rPr>
      <w:t>2</w:t>
    </w:r>
    <w:r w:rsidRPr="0086407D">
      <w:fldChar w:fldCharType="end"/>
    </w:r>
    <w:r w:rsidRPr="0086407D">
      <w:t>/</w:t>
    </w:r>
    <w:r w:rsidR="00E10D7D">
      <w:fldChar w:fldCharType="begin"/>
    </w:r>
    <w:r>
      <w:instrText xml:space="preserve"> NUMPAGES  \* MERGEFORMAT </w:instrText>
    </w:r>
    <w:r w:rsidR="00E10D7D">
      <w:fldChar w:fldCharType="separate"/>
    </w:r>
    <w:r>
      <w:rPr>
        <w:noProof/>
      </w:rPr>
      <w:t>46</w:t>
    </w:r>
    <w:r w:rsidR="00E10D7D">
      <w:rPr>
        <w:noProof/>
      </w:rPr>
      <w:fldChar w:fldCharType="end"/>
    </w:r>
    <w:r w:rsidRPr="0086407D">
      <w:tab/>
    </w:r>
    <w:r w:rsidRPr="0086407D">
      <w:rPr>
        <w:rStyle w:val="HideTWBExt"/>
      </w:rPr>
      <w:t>&lt;PathFdR&gt;</w:t>
    </w:r>
    <w:r w:rsidRPr="0086407D">
      <w:t>RR\1292147FR.docx</w:t>
    </w:r>
    <w:r w:rsidRPr="0086407D">
      <w:rPr>
        <w:rStyle w:val="HideTWBExt"/>
      </w:rPr>
      <w:t>&lt;/PathFdR&gt;</w:t>
    </w:r>
  </w:p>
  <w:p w:rsidR="0086407D" w:rsidRPr="0086407D" w:rsidRDefault="00407D43" w:rsidP="0086407D">
    <w:pPr>
      <w:pStyle w:val="EPFooter2"/>
    </w:pPr>
    <w:r w:rsidRPr="0086407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07D" w:rsidRPr="0086407D" w:rsidRDefault="00407D43" w:rsidP="0086407D">
    <w:pPr>
      <w:pStyle w:val="EPFooter"/>
    </w:pPr>
    <w:r w:rsidRPr="0086407D">
      <w:rPr>
        <w:rStyle w:val="HideTWBExt"/>
      </w:rPr>
      <w:t>&lt;PathFdR&gt;</w:t>
    </w:r>
    <w:r w:rsidRPr="0086407D">
      <w:t>RR\1292147FR.docx</w:t>
    </w:r>
    <w:r w:rsidRPr="0086407D">
      <w:rPr>
        <w:rStyle w:val="HideTWBExt"/>
      </w:rPr>
      <w:t>&lt;/PathFdR&gt;</w:t>
    </w:r>
    <w:r w:rsidRPr="0086407D">
      <w:tab/>
    </w:r>
    <w:r w:rsidRPr="0086407D">
      <w:fldChar w:fldCharType="begin"/>
    </w:r>
    <w:r w:rsidRPr="0086407D">
      <w:instrText xml:space="preserve"> PAGE  \* MERGEFORMAT </w:instrText>
    </w:r>
    <w:r w:rsidRPr="0086407D">
      <w:fldChar w:fldCharType="separate"/>
    </w:r>
    <w:r>
      <w:rPr>
        <w:noProof/>
      </w:rPr>
      <w:t>3</w:t>
    </w:r>
    <w:r w:rsidRPr="0086407D">
      <w:fldChar w:fldCharType="end"/>
    </w:r>
    <w:r w:rsidRPr="0086407D">
      <w:t>/</w:t>
    </w:r>
    <w:r w:rsidR="00E10D7D">
      <w:fldChar w:fldCharType="begin"/>
    </w:r>
    <w:r>
      <w:instrText xml:space="preserve"> NUMPAGES  \* MERGEFORMAT </w:instrText>
    </w:r>
    <w:r w:rsidR="00E10D7D">
      <w:fldChar w:fldCharType="separate"/>
    </w:r>
    <w:r>
      <w:rPr>
        <w:noProof/>
      </w:rPr>
      <w:t>46</w:t>
    </w:r>
    <w:r w:rsidR="00E10D7D">
      <w:rPr>
        <w:noProof/>
      </w:rPr>
      <w:fldChar w:fldCharType="end"/>
    </w:r>
    <w:r w:rsidRPr="0086407D">
      <w:tab/>
      <w:t>PE</w:t>
    </w:r>
    <w:r w:rsidRPr="0086407D">
      <w:rPr>
        <w:rStyle w:val="HideTWBExt"/>
      </w:rPr>
      <w:t>&lt;NoPE&gt;</w:t>
    </w:r>
    <w:r w:rsidRPr="0086407D">
      <w:t>749.236</w:t>
    </w:r>
    <w:r w:rsidRPr="0086407D">
      <w:rPr>
        <w:rStyle w:val="HideTWBExt"/>
      </w:rPr>
      <w:t>&lt;/NoPE&gt;&lt;Version&gt;</w:t>
    </w:r>
    <w:r w:rsidRPr="0086407D">
      <w:t>v02-00</w:t>
    </w:r>
    <w:r w:rsidRPr="0086407D">
      <w:rPr>
        <w:rStyle w:val="HideTWBExt"/>
      </w:rPr>
      <w:t>&lt;/Version&gt;</w:t>
    </w:r>
  </w:p>
  <w:p w:rsidR="0086407D" w:rsidRPr="0086407D" w:rsidRDefault="00407D43" w:rsidP="0086407D">
    <w:pPr>
      <w:pStyle w:val="EPFooter2"/>
    </w:pPr>
    <w:r w:rsidRPr="0086407D">
      <w:tab/>
    </w:r>
    <w:r w:rsidRPr="0086407D">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07D" w:rsidRPr="0086407D" w:rsidRDefault="00407D43" w:rsidP="0086407D">
    <w:pPr>
      <w:pStyle w:val="EPFooter"/>
    </w:pPr>
    <w:r w:rsidRPr="0086407D">
      <w:rPr>
        <w:rStyle w:val="HideTWBExt"/>
      </w:rPr>
      <w:t>&lt;PathFdR&gt;</w:t>
    </w:r>
    <w:r w:rsidRPr="0086407D">
      <w:t>RR\1292147FR.docx</w:t>
    </w:r>
    <w:r w:rsidRPr="0086407D">
      <w:rPr>
        <w:rStyle w:val="HideTWBExt"/>
      </w:rPr>
      <w:t>&lt;/PathFdR&gt;</w:t>
    </w:r>
    <w:r w:rsidRPr="0086407D">
      <w:tab/>
    </w:r>
    <w:r w:rsidRPr="0086407D">
      <w:tab/>
      <w:t>PE</w:t>
    </w:r>
    <w:r w:rsidRPr="0086407D">
      <w:rPr>
        <w:rStyle w:val="HideTWBExt"/>
      </w:rPr>
      <w:t>&lt;NoPE&gt;</w:t>
    </w:r>
    <w:r w:rsidRPr="0086407D">
      <w:t>749.236</w:t>
    </w:r>
    <w:r w:rsidRPr="0086407D">
      <w:rPr>
        <w:rStyle w:val="HideTWBExt"/>
      </w:rPr>
      <w:t>&lt;/NoPE&gt;&lt;Version&gt;</w:t>
    </w:r>
    <w:r w:rsidRPr="0086407D">
      <w:t>v02-00</w:t>
    </w:r>
    <w:r w:rsidRPr="0086407D">
      <w:rPr>
        <w:rStyle w:val="HideTWBExt"/>
      </w:rPr>
      <w:t>&lt;/Version&gt;</w:t>
    </w:r>
  </w:p>
  <w:p w:rsidR="0086407D" w:rsidRPr="0086407D" w:rsidRDefault="00407D43" w:rsidP="0086407D">
    <w:pPr>
      <w:pStyle w:val="EPFooter2"/>
    </w:pPr>
    <w:r w:rsidRPr="0086407D">
      <w:t>FR</w:t>
    </w:r>
    <w:r w:rsidRPr="0086407D">
      <w:tab/>
    </w:r>
    <w:r w:rsidRPr="0086407D">
      <w:rPr>
        <w:b w:val="0"/>
        <w:i/>
        <w:color w:val="C0C0C0"/>
        <w:sz w:val="22"/>
      </w:rPr>
      <w:t>Unie dans la diversité</w:t>
    </w:r>
    <w:r w:rsidRPr="0086407D">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DE8" w:rsidRPr="0086407D" w:rsidRDefault="00407D43" w:rsidP="00CD4DE8">
    <w:pPr>
      <w:pStyle w:val="EPFooter"/>
    </w:pPr>
    <w:r w:rsidRPr="0086407D">
      <w:rPr>
        <w:rStyle w:val="HideTWBExt"/>
      </w:rPr>
      <w:t>&lt;PathFdR&gt;</w:t>
    </w:r>
    <w:r w:rsidRPr="0086407D">
      <w:t>RR\1292147FR.docx</w:t>
    </w:r>
    <w:r w:rsidRPr="0086407D">
      <w:rPr>
        <w:rStyle w:val="HideTWBExt"/>
      </w:rPr>
      <w:t>&lt;/PathFdR&gt;</w:t>
    </w:r>
    <w:r w:rsidRPr="0086407D">
      <w:tab/>
    </w:r>
    <w:r w:rsidRPr="0086407D">
      <w:tab/>
      <w:t>PE</w:t>
    </w:r>
    <w:r w:rsidRPr="0086407D">
      <w:rPr>
        <w:rStyle w:val="HideTWBExt"/>
      </w:rPr>
      <w:t>&lt;NoPE&gt;</w:t>
    </w:r>
    <w:r w:rsidRPr="0086407D">
      <w:t>749.236</w:t>
    </w:r>
    <w:r w:rsidRPr="0086407D">
      <w:rPr>
        <w:rStyle w:val="HideTWBExt"/>
      </w:rPr>
      <w:t>&lt;/NoPE&gt;&lt;Version&gt;</w:t>
    </w:r>
    <w:r w:rsidRPr="0086407D">
      <w:t>v02-00</w:t>
    </w:r>
    <w:r w:rsidRPr="0086407D">
      <w:rPr>
        <w:rStyle w:val="HideTWBExt"/>
      </w:rPr>
      <w:t>&lt;/Version&gt;</w:t>
    </w:r>
  </w:p>
  <w:p w:rsidR="00FB52FE" w:rsidRPr="0086407D" w:rsidRDefault="00407D43" w:rsidP="00CD4DE8">
    <w:pPr>
      <w:pStyle w:val="EPFooter2"/>
    </w:pPr>
    <w:r w:rsidRPr="0086407D">
      <w:t>FR</w:t>
    </w:r>
    <w:r w:rsidRPr="0086407D">
      <w:tab/>
    </w:r>
    <w:r w:rsidRPr="0086407D">
      <w:rPr>
        <w:b w:val="0"/>
        <w:i/>
        <w:color w:val="C0C0C0"/>
        <w:sz w:val="22"/>
      </w:rPr>
      <w:t>Unie dans la diversité</w:t>
    </w:r>
    <w:r w:rsidRPr="0086407D">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07D43">
      <w:r>
        <w:separator/>
      </w:r>
    </w:p>
  </w:footnote>
  <w:footnote w:type="continuationSeparator" w:id="0">
    <w:p w:rsidR="00000000" w:rsidRDefault="00407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D7D" w:rsidRDefault="00E10D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D7D" w:rsidRDefault="00E10D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D7D" w:rsidRDefault="00E10D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DE8" w:rsidRDefault="00CD4D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DE8" w:rsidRDefault="00CD4D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DE8" w:rsidRDefault="00CD4D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CJMNU" w:val="1"/>
    <w:docVar w:name="COMKEY" w:val="TRAN"/>
    <w:docVar w:name="CopyToNetwork" w:val="-1"/>
    <w:docVar w:name="CVar" w:val="1"/>
    <w:docVar w:name="DOCMNU" w:val=" 2"/>
    <w:docVar w:name="EPOJMNU" w:val=" 3"/>
    <w:docVar w:name="EPSTATMNU" w:val=" 1"/>
    <w:docVar w:name="EPSTATPLURMNU" w:val=" 1"/>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853671 HideTWBExt;}{\*\cs18 \additive \v\f1\fs20\cf15 _x000d__x000a_\spriority0 \styrsid1853671 HideTWBInt;}{\s19\ql \li0\ri0\sa120\nowidctlpar\wrapdefault\aspalpha\aspnum\faauto\adjustright\rin0\lin0\itap0 \rtlch\fcs1 \af0\afs20\alang1025 \ltrch\fcs0 \fs24\lang2057\langfe2057\cgrid\langnp2057\langfenp2057 _x000d__x000a_\sbasedon0 \snext19 \spriority0 \styrsid1853671 Normal6a;}{\s20\ql \li0\ri0\nowidctlpar\wrapdefault\aspalpha\aspnum\faauto\adjustright\rin0\lin0\itap0 \rtlch\fcs1 \af0\afs20\alang1025 \ltrch\fcs0 \b\fs24\lang2057\langfe2057\cgrid\langnp2057\langfenp2057 _x000d__x000a_\sbasedon0 \snext20 \spriority0 \styrsid1853671 NormalBold;}{\s21\ql \li0\ri0\sa240\nowidctlpar\wrapdefault\aspalpha\aspnum\faauto\adjustright\rin0\lin0\itap0 \rtlch\fcs1 \af0\afs20\alang1025 \ltrch\fcs0 _x000d__x000a_\i\fs24\lang2057\langfe2057\cgrid\langnp2057\langfenp2057 \sbasedon0 \snext21 \spriority0 \styrsid1853671 AmJustText;}{\s22\qc \li0\ri0\sb240\sa240\nowidctlpar\wrapdefault\aspalpha\aspnum\faauto\adjustright\rin0\lin0\itap0 \rtlch\fcs1 _x000d__x000a_\af0\afs20\alang1025 \ltrch\fcs0 \i\fs24\lang2057\langfe2057\cgrid\langnp2057\langfenp2057 \sbasedon0 \snext22 \spriority0 \styrsid1853671 AmCrossRef;}{_x000d__x000a_\s23\qc \li0\ri0\sb240\sa240\keepn\nowidctlpar\wrapdefault\aspalpha\aspnum\faauto\adjustright\rin0\lin0\itap0 \rtlch\fcs1 \af0\afs20\alang1025 \ltrch\fcs0 \i\fs24\lang2057\langfe2057\cgrid\langnp2057\langfenp2057 _x000d__x000a_\sbasedon0 \snext21 \spriority0 \styrsid1853671 AmJustTitle;}{\s24\qc \li0\ri0\sa240\nowidctlpar\wrapdefault\aspalpha\aspnum\faauto\adjustright\rin0\lin0\itap0 \rtlch\fcs1 \af0\afs20\alang1025 \ltrch\fcs0 _x000d__x000a_\i\fs24\lang2057\langfe2057\cgrid\langnp2057\langfenp2057 \sbasedon0 \snext24 \spriority0 \styrsid185367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853671 AmNumberTabs;}{\s26\ql \li0\ri0\sb240\nowidctlpar\wrapdefault\aspalpha\aspnum\faauto\adjustright\rin0\lin0\itap0 \rtlch\fcs1 _x000d__x000a_\af0\afs20\alang1025 \ltrch\fcs0 \b\fs24\lang2057\langfe2057\cgrid\langnp2057\langfenp2057 \sbasedon0 \snext26 \spriority0 \styrsid1853671 NormalBold12b;}}{\*\rsidtbl \rsid24658\rsid223860\rsid735077\rsid1718133\rsid1853671\rsid2892074\rsid3565327_x000d__x000a_\rsid4666813\rsid6641733\rsid7823322\rsid9636012\rsid10377208\rsid11215221\rsid11549030\rsid12154954\rsid14382809\rsid14424199\rsid15204470\rsid15285974\rsid15950462\rsid16324206\rsid16335994\rsid16662270}{\mmathPr\mmathFont34\mbrkBin0\mbrkBinSub0_x000d__x000a_\msmallFrac0\mdispDef1\mlMargin0\mrMargin0\mdefJc1\mwrapIndent1440\mintLim0\mnaryLim1}{\info{\author CWIRKO Andrzej}{\operator CWIRKO Andrzej}{\creatim\yr2023\mo12\dy14\hr15\min44}{\revtim\yr2023\mo12\dy14\hr15\min44}{\version1}{\edmins0}{\nofpages1}_x000d__x000a_{\nofwords94}{\nofchars536}{\nofcharsws62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853671\newtblstyruls\nogrowautofit\usenormstyforlist\noindnmbrts\felnbrelev\nocxsptable\indrlsweleven\noafcnsttbl\afelev\utinl\hwelev\spltpgpar\notcvasp\notbrkcnstfrctbl\notvatxbx\krnprsnet\cachedcolbal _x000d__x000a_\nouicompat \fet0{\*\wgrffmtfilter 013f}\nofeaturethrottle1\ilfomacatclnup0{\*\template C:\\Users\\acwirko\\AppData\\Local\\Temp\\Blank1.dotx}{\*\ftnsep \ltrpar \pard\plain \ltrpar_x000d__x000a_\ql \li0\ri0\widctlpar\wrapdefault\aspalpha\aspnum\faauto\adjustright\rin0\lin0\itap0 \rtlch\fcs1 \af0\afs20\alang1025 \ltrch\fcs0 \fs24\lang2057\langfe2057\cgrid\langnp2057\langfenp2057 {\rtlch\fcs1 \af0 \ltrch\fcs0 \insrsid16335994 \chftnsep _x000d__x000a_\par }}{\*\ftnsepc \ltrpar \pard\plain \ltrpar\ql \li0\ri0\widctlpar\wrapdefault\aspalpha\aspnum\faauto\adjustright\rin0\lin0\itap0 \rtlch\fcs1 \af0\afs20\alang1025 \ltrch\fcs0 \fs24\lang2057\langfe2057\cgrid\langnp2057\langfenp2057 {\rtlch\fcs1 \af0 _x000d__x000a_\ltrch\fcs0 \insrsid16335994 \chftnsepc _x000d__x000a_\par }}{\*\aftnsep \ltrpar \pard\plain \ltrpar\ql \li0\ri0\widctlpar\wrapdefault\aspalpha\aspnum\faauto\adjustright\rin0\lin0\itap0 \rtlch\fcs1 \af0\afs20\alang1025 \ltrch\fcs0 \fs24\lang2057\langfe2057\cgrid\langnp2057\langfenp2057 {\rtlch\fcs1 \af0 _x000d__x000a_\ltrch\fcs0 \insrsid16335994 \chftnsep _x000d__x000a_\par }}{\*\aftnsepc \ltrpar \pard\plain \ltrpar\ql \li0\ri0\widctlpar\wrapdefault\aspalpha\aspnum\faauto\adjustright\rin0\lin0\itap0 \rtlch\fcs1 \af0\afs20\alang1025 \ltrch\fcs0 \fs24\lang2057\langfe2057\cgrid\langnp2057\langfenp2057 {\rtlch\fcs1 \af0 _x000d__x000a_\ltrch\fcs0 \insrsid163359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853671 \rtlch\fcs1 _x000d__x000a_\af0\afs20\alang1025 \ltrch\fcs0 \b\fs24\lang2057\langfe2057\cgrid\langnp2057\langfenp2057 {\rtlch\fcs1 \af0 \ltrch\fcs0 \cs17\b0\v\fs20\cf9\lang1024\langfe1024\loch\af1\hich\af1\dbch\af31501\noproof\insrsid1853671\charrsid10319657 {\*\bkmkstart restart}_x000d__x000a_\hich\af1\dbch\af31501\loch\f1 &lt;Amend&gt;}{\rtlch\fcs1 \af0 \ltrch\fcs0 \insrsid1853671\charrsid10319657 Amendment\tab \tab }{\rtlch\fcs1 \af0 \ltrch\fcs0 _x000d__x000a_\cs17\b0\v\fs20\cf9\lang1024\langfe1024\loch\af1\hich\af1\dbch\af31501\noproof\insrsid1853671\charrsid10319657 \hich\af1\dbch\af31501\loch\f1 &lt;NumAm&gt;}{\rtlch\fcs1 \af0 \ltrch\fcs0 \insrsid1853671\charrsid10319657 #}{\rtlch\fcs1 \af1 \ltrch\fcs0 _x000d__x000a_\cs18\v\f1\fs20\cf15\insrsid1853671\charrsid10319657 ENMIENDA@NRAM@}{\rtlch\fcs1 \af0 \ltrch\fcs0 \insrsid1853671\charrsid10319657 #}{\rtlch\fcs1 \af0 \ltrch\fcs0 _x000d__x000a_\cs17\b0\v\fs20\cf9\lang1024\langfe1024\loch\af1\hich\af1\dbch\af31501\noproof\insrsid1853671\charrsid10319657 \hich\af1\dbch\af31501\loch\f1 &lt;/NumAm&gt;}{\rtlch\fcs1 \af0 \ltrch\fcs0 \insrsid1853671\charrsid10319657 _x000d__x000a_\par }\pard\plain \ltrpar\s26\ql \li0\ri0\sb240\keepn\nowidctlpar\wrapdefault\aspalpha\aspnum\faauto\adjustright\rin0\lin0\itap0\pararsid1853671 \rtlch\fcs1 \af0\afs20\alang1025 \ltrch\fcs0 \b\fs24\lang2057\langfe2057\cgrid\langnp2057\langfenp2057 {_x000d__x000a_\rtlch\fcs1 \af0 \ltrch\fcs0 \cs17\b0\v\fs20\cf9\lang1024\langfe1024\loch\af1\hich\af1\dbch\af31501\noproof\insrsid1853671\charrsid10319657 \hich\af1\dbch\af31501\loch\f1 &lt;DocAmend&gt;}{\rtlch\fcs1 \af0 \ltrch\fcs0 \insrsid1853671\charrsid10319657 _x000d__x000a_Proposal for a #}{\rtlch\fcs1 \af1 \ltrch\fcs0 \cs18\v\f1\fs20\cf15\insrsid1853671\charrsid10319657 MNU[DOC1][DOC2][DOC3]@DOCMSG@DOCMNU}{\rtlch\fcs1 \af0 \ltrch\fcs0 \insrsid1853671\charrsid10319657 ##}{\rtlch\fcs1 \af1 \ltrch\fcs0 _x000d__x000a_\cs18\v\f1\fs20\cf15\insrsid1853671\charrsid10319657 MNU[AMACTYES][NOTAPP]@CHOICE@AMACTMNU}{\rtlch\fcs1 \af0 \ltrch\fcs0 \insrsid1853671\charrsid10319657 #}{\rtlch\fcs1 \af0 \ltrch\fcs0 _x000d__x000a_\cs17\b0\v\fs20\cf9\lang1024\langfe1024\loch\af1\hich\af1\dbch\af31501\noproof\insrsid1853671\charrsid10319657 \hich\af1\dbch\af31501\loch\f1 &lt;/DocAmend&gt;}{\rtlch\fcs1 \af0 \ltrch\fcs0 \insrsid1853671\charrsid10319657 _x000d__x000a_\par }\pard\plain \ltrpar\s20\ql \li0\ri0\keepn\nowidctlpar\wrapdefault\aspalpha\aspnum\faauto\adjustright\rin0\lin0\itap0\pararsid1853671 \rtlch\fcs1 \af0\afs20\alang1025 \ltrch\fcs0 \b\fs24\lang2057\langfe2057\cgrid\langnp2057\langfenp2057 {\rtlch\fcs1 \af0 _x000d__x000a_\ltrch\fcs0 \cs17\b0\v\fs20\cf9\lang1024\langfe1024\loch\af1\hich\af1\dbch\af31501\noproof\insrsid1853671\charrsid10319657 \hich\af1\dbch\af31501\loch\f1 &lt;Article&gt;}{\rtlch\fcs1 \af0 \ltrch\fcs0 \insrsid1853671\charrsid10319657 #}{\rtlch\fcs1 \af1 _x000d__x000a_\ltrch\fcs0 \cs18\v\f1\fs20\cf15\insrsid1853671\charrsid10319657 MNU[AMACTPARTYES][AMACTPARTNO]@CHOICE@AMACTMNU}{\rtlch\fcs1 \af0 \ltrch\fcs0 \insrsid1853671\charrsid10319657 #}{\rtlch\fcs1 \af0 \ltrch\fcs0 _x000d__x000a_\cs17\b0\v\fs20\cf9\lang1024\langfe1024\loch\af1\hich\af1\dbch\af31501\noproof\insrsid1853671\charrsid10319657 \hich\af1\dbch\af31501\loch\f1 &lt;/Article&gt;}{\rtlch\fcs1 \af0 \ltrch\fcs0 \insrsid1853671\charrsid10319657 _x000d__x000a_\par }\pard\plain \ltrpar\ql \li0\ri0\keepn\widctlpar\wrapdefault\aspalpha\aspnum\faauto\adjustright\rin0\lin0\itap0\pararsid1853671 \rtlch\fcs1 \af0\afs20\alang1025 \ltrch\fcs0 \fs24\lang2057\langfe2057\cgrid\langnp2057\langfenp2057 {\rtlch\fcs1 \af0 _x000d__x000a_\ltrch\fcs0 \cs17\v\fs20\cf9\lang1024\langfe1024\loch\af1\hich\af1\dbch\af31501\noproof\insrsid1853671\charrsid10319657 \hich\af1\dbch\af31501\loch\f1 &lt;DocAmend2&gt;&lt;OptDel&gt;}{\rtlch\fcs1 \af0 \ltrch\fcs0 \insrsid1853671\charrsid10319657 #}{\rtlch\fcs1 \af1 _x000d__x000a_\ltrch\fcs0 \cs18\v\f1\fs20\cf15\insrsid1853671\charrsid10319657 MNU[OPTNRACTYES][NOTAPP]@CHOICE@AMACTMNU}{\rtlch\fcs1 \af0 \ltrch\fcs0 \insrsid1853671\charrsid10319657 #}{\rtlch\fcs1 \af0 \ltrch\fcs0 _x000d__x000a_\cs17\v\fs20\cf9\lang1024\langfe1024\loch\af1\hich\af1\dbch\af31501\noproof\insrsid1853671\charrsid10319657 \hich\af1\dbch\af31501\loch\f1 &lt;/OptDel&gt;&lt;/DocAmend2&gt;}{\rtlch\fcs1 \af0 \ltrch\fcs0 \insrsid1853671\charrsid10319657 _x000d__x000a_\par }\pard \ltrpar\ql \li0\ri0\widctlpar\wrapdefault\aspalpha\aspnum\faauto\adjustright\rin0\lin0\itap0\pararsid1853671 {\rtlch\fcs1 \af0 \ltrch\fcs0 \cs17\v\fs20\cf9\lang1024\langfe1024\loch\af1\hich\af1\dbch\af31501\noproof\insrsid1853671\charrsid10319657 _x000d__x000a_\hich\af1\dbch\af31501\loch\f1 &lt;Article2&gt;&lt;OptDel&gt;}{\rtlch\fcs1 \af0 \ltrch\fcs0 \insrsid1853671\charrsid10319657 #}{\rtlch\fcs1 \af1 \ltrch\fcs0 \cs18\v\f1\fs20\cf15\insrsid1853671\charrsid10319657 MNU[OPTACTPARTYES][NOTAPP]@CHOICE@AMACTMNU}{\rtlch\fcs1 _x000d__x000a_\af0 \ltrch\fcs0 \insrsid1853671\charrsid10319657 #}{\rtlch\fcs1 \af0 \ltrch\fcs0 \cs17\v\fs20\cf9\lang1024\langfe1024\loch\af1\hich\af1\dbch\af31501\noproof\insrsid1853671\charrsid10319657 \hich\af1\dbch\af31501\loch\f1 &lt;/OptDel&gt;&lt;/Article2&gt;}{\rtlch\fcs1 _x000d__x000a_\af0 \ltrch\fcs0 \insrsid1853671\charrsid10319657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insrsid1853671\charrsid10319657 \cell }\pard \ltrpar\ql \li0\ri0\widctlpar\intbl\wrapdefault\aspalpha\aspnum\faauto\adjustright\rin0\lin0 {\rtlch\fcs1 \af0 \ltrch\fcs0 \insrsid1853671\charrsid10319657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15216 \rtlch\fcs1 \af0\afs20\alang1025 \ltrch\fcs0 \i\fs24\lang2057\langfe2057\cgrid\langnp2057\langfenp2057 {\rtlch\fcs1 \af0 \ltrch\fcs0 _x000d__x000a_\insrsid1853671\charrsid10319657 #}{\rtlch\fcs1 \af1 \ltrch\fcs0 \cs18\v\f1\fs20\cf15\insrsid1853671\charrsid10319657 MNU[OPTLEFTAMACT][LEFTPROP]@CHOICE@AMACTMNU}{\rtlch\fcs1 \af0 \ltrch\fcs0 \insrsid1853671\charrsid10319657 #\cell Amendment\cell _x000d__x000a_}\pard\plain \ltrpar\ql \li0\ri0\widctlpar\intbl\wrapdefault\aspalpha\aspnum\faauto\adjustright\rin0\lin0 \rtlch\fcs1 \af0\afs20\alang1025 \ltrch\fcs0 \fs24\lang2057\langfe2057\cgrid\langnp2057\langfenp2057 {\rtlch\fcs1 \af0 \ltrch\fcs0 _x000d__x000a_\insrsid1853671\charrsid10319657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853671\charrsid10319657 ##\cell ##}{\rtlch\fcs1 \af0\afs24 \ltrch\fcs0 \insrsid1853671\charrsid10319657 \cell }\pard\plain \ltrpar\ql \li0\ri0\widctlpar\intbl\wrapdefault\aspalpha\aspnum\faauto\adjustright\rin0\lin0 _x000d__x000a_\rtlch\fcs1 \af0\afs20\alang1025 \ltrch\fcs0 \fs24\lang2057\langfe2057\cgrid\langnp2057\langfenp2057 {\rtlch\fcs1 \af0 \ltrch\fcs0 \insrsid1853671\charrsid10319657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sa240\nowidctlpar\wrapdefault\aspalpha\aspnum\faauto\adjustright\rin0\lin0\itap0\pararsid1853671 \rtlch\fcs1 \af0\afs20\alang1025 \ltrch\fcs0 \i\fs24\lang2057\langfe2057\cgrid\langnp2057\langfenp2057 {\rtlch\fcs1 \af0 \ltrch\fcs0 _x000d__x000a_\cs17\i0\v\fs20\cf9\lang1024\langfe1024\loch\af1\hich\af1\dbch\af31501\noproof\insrsid1853671\charrsid10319657 \hich\af1\dbch\af31501\loch\f1 &lt;OptDel&gt;}{\rtlch\fcs1 \af0 \ltrch\fcs0 \insrsid1853671\charrsid10319657 #}{\rtlch\fcs1 \af1 \ltrch\fcs0 _x000d__x000a_\cs18\v\f1\fs20\cf15\insrsid1853671\charrsid10319657 MNU[CROSSREFNO][CROSSREFYES]@CHOICE@}{\rtlch\fcs1 \af0 \ltrch\fcs0 \insrsid1853671\charrsid10319657 #}{\rtlch\fcs1 \af0 \ltrch\fcs0 _x000d__x000a_\cs17\i0\v\fs20\cf9\lang1024\langfe1024\loch\af1\hich\af1\dbch\af31501\noproof\insrsid1853671\charrsid10319657 \hich\af1\dbch\af31501\loch\f1 &lt;/OptDel&gt;}{\rtlch\fcs1 \af0 \ltrch\fcs0 \insrsid1853671\charrsid10319657 _x000d__x000a_\par }\pard\plain \ltrpar\s23\qc \li0\ri0\sb240\sa240\keepn\nowidctlpar\wrapdefault\aspalpha\aspnum\faauto\adjustright\rin0\lin0\itap0\pararsid1853671 \rtlch\fcs1 \af0\afs20\alang1025 \ltrch\fcs0 \i\fs24\lang2057\langfe2057\cgrid\langnp2057\langfenp2057 {_x000d__x000a_\rtlch\fcs1 \af0 \ltrch\fcs0 \cs17\i0\v\fs20\cf9\lang1024\langfe1024\loch\af1\hich\af1\dbch\af31501\noproof\insrsid1853671\charrsid10319657 \hich\af1\dbch\af31501\loch\f1 &lt;TitreJust&gt;}{\rtlch\fcs1 \af0 \ltrch\fcs0 \insrsid1853671\charrsid10319657 _x000d__x000a_Justification}{\rtlch\fcs1 \af0 \ltrch\fcs0 \cs17\i0\v\fs20\cf9\lang1024\langfe1024\loch\af1\hich\af1\dbch\af31501\noproof\insrsid1853671\charrsid10319657 \hich\af1\dbch\af31501\loch\f1 &lt;/TitreJust&gt;}{\rtlch\fcs1 \af0 \ltrch\fcs0 _x000d__x000a_\insrsid1853671\charrsid10319657 _x000d__x000a_\par }\pard\plain \ltrpar\s21\ql \li0\ri0\sa240\nowidctlpar\wrapdefault\aspalpha\aspnum\faauto\adjustright\rin0\lin0\itap0\pararsid1853671 \rtlch\fcs1 \af0\afs20\alang1025 \ltrch\fcs0 \i\fs24\lang2057\langfe2057\cgrid\langnp2057\langfenp2057 {\rtlch\fcs1 \af0 _x000d__x000a_\ltrch\fcs0 \cs17\i0\v\fs20\cf9\lang1024\langfe1024\loch\af1\hich\af1\dbch\af31501\noproof\insrsid1853671\charrsid10319657 \hich\af1\dbch\af31501\loch\f1 &lt;OptDelPrev&gt;}{\rtlch\fcs1 \af0 \ltrch\fcs0 \insrsid1853671\charrsid10319657 #}{\rtlch\fcs1 \af1 _x000d__x000a_\ltrch\fcs0 \cs18\v\f1\fs20\cf15\insrsid1853671\charrsid10319657 MNU[TEXTJUSTYES][TEXTJUSTNO]@CHOICE@}{\rtlch\fcs1 \af0 \ltrch\fcs0 \insrsid1853671\charrsid10319657 #}{\rtlch\fcs1 \af0 \ltrch\fcs0 _x000d__x000a_\cs17\i0\v\fs20\cf9\lang1024\langfe1024\loch\af1\hich\af1\dbch\af31501\noproof\insrsid1853671\charrsid10319657 \hich\af1\dbch\af31501\loch\f1 &lt;/OptDelPrev&gt;}{\rtlch\fcs1 \af0 \ltrch\fcs0 \insrsid1853671\charrsid10319657 _x000d__x000a_\par }\pard\plain \ltrpar\ql \li0\ri0\widctlpar\wrapdefault\aspalpha\aspnum\faauto\adjustright\rin0\lin0\itap0\pararsid1853671 \rtlch\fcs1 \af0\afs20\alang1025 \ltrch\fcs0 \fs24\lang2057\langfe2057\cgrid\langnp2057\langfenp2057 {\rtlch\fcs1 \af0 \ltrch\fcs0 _x000d__x000a_\cs17\v\fs20\cf9\lang1024\langfe1024\loch\af1\hich\af1\dbch\af31501\noproof\insrsid1853671\charrsid10319657 \hich\af1\dbch\af31501\loch\f1 &lt;/Amend&gt;}{\rtlch\fcs1 \af0 \ltrch\fcs0 \insrsid185367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3d_x000d__x000a_76149c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18059 HideTWBExt;}{_x000d__x000a_\s18\ql \li0\ri0\sa120\nowidctlpar\wrapdefault\aspalpha\aspnum\faauto\adjustright\rin0\lin0\itap0 \rtlch\fcs1 \af0\afs20\alang1025 \ltrch\fcs0 \fs24\lang2057\langfe2057\cgrid\langnp2057\langfenp2057 \sbasedon0 \snext18 \spriority0 \styrsid14618059 _x000d__x000a_Normal6a;}{\s19\ql \li0\ri0\nowidctlpar\wrapdefault\aspalpha\aspnum\faauto\adjustright\rin0\lin0\itap0 \rtlch\fcs1 \af0\afs20\alang1025 \ltrch\fcs0 \b\fs24\lang2057\langfe2057\cgrid\langnp2057\langfenp2057 \sbasedon0 \snext19 \spriority0 \styrsid14618059 _x000d__x000a_NormalBold;}{\s20\ql \li0\ri0\sa240\nowidctlpar\wrapdefault\aspalpha\aspnum\faauto\adjustright\rin0\lin0\itap0 \rtlch\fcs1 \af0\afs20\alang1025 \ltrch\fcs0 \i\fs24\lang2057\langfe2057\cgrid\langnp2057\langfenp2057 _x000d__x000a_\sbasedon0 \snext20 \spriority0 \styrsid14618059 AmJustText;}{\s21\qc \li0\ri0\sb240\sa240\nowidctlpar\wrapdefault\aspalpha\aspnum\faauto\adjustright\rin0\lin0\itap0 \rtlch\fcs1 \af0\afs20\alang1025 \ltrch\fcs0 _x000d__x000a_\i\fs24\lang2057\langfe2057\cgrid\langnp2057\langfenp2057 \sbasedon0 \snext21 \spriority0 \styrsid14618059 AmCrossRef;}{\s22\qc \li0\ri0\sb240\sa240\keepn\nowidctlpar\wrapdefault\aspalpha\aspnum\faauto\adjustright\rin0\lin0\itap0 \rtlch\fcs1 _x000d__x000a_\af0\afs20\alang1025 \ltrch\fcs0 \i\fs24\lang2057\langfe2057\cgrid\langnp2057\langfenp2057 \sbasedon0 \snext20 \spriority0 \styrsid14618059 AmJustTitle;}{\s23\qc \li0\ri0\sa240\nowidctlpar\wrapdefault\aspalpha\aspnum\faauto\adjustright\rin0\lin0\itap0 _x000d__x000a_\rtlch\fcs1 \af0\afs20\alang1025 \ltrch\fcs0 \i\fs24\lang2057\langfe2057\cgrid\langnp2057\langfenp2057 \sbasedon0 \snext23 \spriority0 \styrsid1461805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618059 AmNumberTabs;}{\s25\ql \li0\ri0\sb240\nowidctlpar\wrapdefault\aspalpha\aspnum\faauto\adjustright\rin0\lin0\itap0 \rtlch\fcs1 _x000d__x000a_\af0\afs20\alang1025 \ltrch\fcs0 \b\fs24\lang2057\langfe2057\cgrid\langnp2057\langfenp2057 \sbasedon0 \snext25 \spriority0 \styrsid14618059 NormalBold12b;}}{\*\rsidtbl \rsid24658\rsid223860\rsid735077\rsid1718133\rsid2892074\rsid3565327\rsid4666813_x000d__x000a_\rsid6641733\rsid7823322\rsid9636012\rsid10377208\rsid11215221\rsid11549030\rsid12154954\rsid14235211\rsid14382809\rsid14424199\rsid14618059\rsid15204470\rsid15285974\rsid15950462\rsid16324206\rsid16662270}{\mmathPr\mmathFont34\mbrkBin0\mbrkBinSub0_x000d__x000a_\msmallFrac0\mdispDef1\mlMargin0\mrMargin0\mdefJc1\mwrapIndent1440\mintLim0\mnaryLim1}{\info{\author CWIRKO Andrzej}{\operator CWIRKO Andrzej}{\creatim\yr2023\mo12\dy14\hr15\min44}{\revtim\yr2023\mo12\dy14\hr15\min44}{\version1}{\edmins0}{\nofpages1}_x000d__x000a_{\nofwords55}{\nofchars312}{\nofcharsws3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18059\newtblstyruls\nogrowautofit\usenormstyforlist\noindnmbrts\felnbrelev\nocxsptable\indrlsweleven\noafcnsttbl\afelev\utinl\hwelev\spltpgpar\notcvasp\notbrkcnstfrctbl\notvatxbx\krnprsnet\cachedcolbal _x000d__x000a_\nouicompat \fet0{\*\wgrffmtfilter 013f}\nofeaturethrottle1\ilfomacatclnup0{\*\template C:\\Users\\acwirko\\AppData\\Local\\Temp\\Blank1.dotx}{\*\ftnsep \ltrpar \pard\plain \ltrpar_x000d__x000a_\ql \li0\ri0\widctlpar\wrapdefault\aspalpha\aspnum\faauto\adjustright\rin0\lin0\itap0 \rtlch\fcs1 \af0\afs20\alang1025 \ltrch\fcs0 \fs24\lang2057\langfe2057\cgrid\langnp2057\langfenp2057 {\rtlch\fcs1 \af0 \ltrch\fcs0 \insrsid14235211 \chftnsep _x000d__x000a_\par }}{\*\ftnsepc \ltrpar \pard\plain \ltrpar\ql \li0\ri0\widctlpar\wrapdefault\aspalpha\aspnum\faauto\adjustright\rin0\lin0\itap0 \rtlch\fcs1 \af0\afs20\alang1025 \ltrch\fcs0 \fs24\lang2057\langfe2057\cgrid\langnp2057\langfenp2057 {\rtlch\fcs1 \af0 _x000d__x000a_\ltrch\fcs0 \insrsid14235211 \chftnsepc _x000d__x000a_\par }}{\*\aftnsep \ltrpar \pard\plain \ltrpar\ql \li0\ri0\widctlpar\wrapdefault\aspalpha\aspnum\faauto\adjustright\rin0\lin0\itap0 \rtlch\fcs1 \af0\afs20\alang1025 \ltrch\fcs0 \fs24\lang2057\langfe2057\cgrid\langnp2057\langfenp2057 {\rtlch\fcs1 \af0 _x000d__x000a_\ltrch\fcs0 \insrsid14235211 \chftnsep _x000d__x000a_\par }}{\*\aftnsepc \ltrpar \pard\plain \ltrpar\ql \li0\ri0\widctlpar\wrapdefault\aspalpha\aspnum\faauto\adjustright\rin0\lin0\itap0 \rtlch\fcs1 \af0\afs20\alang1025 \ltrch\fcs0 \fs24\lang2057\langfe2057\cgrid\langnp2057\langfenp2057 {\rtlch\fcs1 \af0 _x000d__x000a_\ltrch\fcs0 \insrsid142352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618059 \rtlch\fcs1 _x000d__x000a_\af0\afs20\alang1025 \ltrch\fcs0 \b\fs24\lang2057\langfe2057\cgrid\langnp2057\langfenp2057 {\rtlch\fcs1 \af0 \ltrch\fcs0 \cs17\b0\v\fs20\cf9\lang1024\langfe1024\loch\af1\hich\af1\dbch\af31501\noproof\langnp1030\insrsid14618059\charrsid5141309 _x000d__x000a_{\*\bkmkstart restart}\hich\af1\dbch\af31501\loch\f1 &lt;Amend&gt;}{\rtlch\fcs1 \af0 \ltrch\fcs0 \lang1030\langfe2057\langnp1030\insrsid14618059\charrsid5141309 [ZAMENDMENT]\tab \tab }{\rtlch\fcs1 \af0 \ltrch\fcs0 _x000d__x000a_\cs17\b0\v\fs20\cf9\lang1024\langfe1024\loch\af1\hich\af1\dbch\af31501\noproof\langnp1030\insrsid14618059\charrsid5141309 \hich\af1\dbch\af31501\loch\f1 &lt;NumAm&gt;}{\rtlch\fcs1 \af0 \ltrch\fcs0 \lang1030\langfe2057\langnp1030\insrsid14618059\charrsid5141309 _x000d__x000a_[ZNRAM]}{\rtlch\fcs1 \af0 \ltrch\fcs0 \cs17\b0\v\fs20\cf9\lang1024\langfe1024\loch\af1\hich\af1\dbch\af31501\noproof\langnp1030\insrsid14618059\charrsid5141309 \hich\af1\dbch\af31501\loch\f1 &lt;/NumAm&gt;}{\rtlch\fcs1 \af0 \ltrch\fcs0 _x000d__x000a_\lang1030\langfe2057\langnp1030\insrsid14618059\charrsid5141309 _x000d__x000a_\par }\pard\plain \ltrpar\s25\ql \li0\ri0\sb240\keepn\nowidctlpar\wrapdefault\aspalpha\aspnum\faauto\adjustright\rin0\lin0\itap0\pararsid14618059 \rtlch\fcs1 \af0\afs20\alang1025 \ltrch\fcs0 \b\fs24\lang2057\langfe2057\cgrid\langnp2057\langfenp2057 {_x000d__x000a_\rtlch\fcs1 \af0 \ltrch\fcs0 \cs17\b0\v\fs20\cf9\lang1024\langfe1024\loch\af1\hich\af1\dbch\af31501\noproof\langnp1030\insrsid14618059\charrsid5141309 \hich\af1\dbch\af31501\loch\f1 &lt;DocAmend&gt;}{\rtlch\fcs1 \af0 \ltrch\fcs0 _x000d__x000a_\lang1030\langfe2057\langnp1030\insrsid14618059\charrsid5141309 [ZPROPOSAL][ZAMACT]}{\rtlch\fcs1 \af0 \ltrch\fcs0 \cs17\b0\v\fs20\cf9\lang1024\langfe1024\loch\af1\hich\af1\dbch\af31501\noproof\langnp1030\insrsid14618059\charrsid5141309 _x000d__x000a_\hich\af1\dbch\af31501\loch\f1 &lt;/DocAmend&gt;}{\rtlch\fcs1 \af0 \ltrch\fcs0 \lang1030\langfe2057\langnp1030\insrsid14618059\charrsid5141309 _x000d__x000a_\par }\pard\plain \ltrpar\s19\ql \li0\ri0\keepn\nowidctlpar\wrapdefault\aspalpha\aspnum\faauto\adjustright\rin0\lin0\itap0\pararsid14618059 \rtlch\fcs1 \af0\afs20\alang1025 \ltrch\fcs0 \b\fs24\lang2057\langfe2057\cgrid\langnp2057\langfenp2057 {\rtlch\fcs1 _x000d__x000a_\af0 \ltrch\fcs0 \cs17\b0\v\fs20\cf9\lang1024\langfe1024\loch\af1\hich\af1\dbch\af31501\noproof\langnp1030\insrsid14618059\charrsid5141309 \hich\af1\dbch\af31501\loch\f1 &lt;Article&gt;}{\rtlch\fcs1 \af0 \ltrch\fcs0 _x000d__x000a_\lang1030\langfe2057\langnp1030\insrsid14618059\charrsid5141309 [ZAMPART]}{\rtlch\fcs1 \af0 \ltrch\fcs0 \cs17\b0\v\fs20\cf9\lang1024\langfe1024\loch\af1\hich\af1\dbch\af31501\noproof\langnp1030\insrsid14618059\charrsid5141309 _x000d__x000a_\hich\af1\dbch\af31501\loch\f1 &lt;/Article&gt;}{\rtlch\fcs1 \af0 \ltrch\fcs0 \lang1030\langfe2057\langnp1030\insrsid14618059\charrsid5141309 _x000d__x000a_\par }\pard\plain \ltrpar\ql \li0\ri0\keepn\widctlpar\wrapdefault\aspalpha\aspnum\faauto\adjustright\rin0\lin0\itap0\pararsid14618059 \rtlch\fcs1 \af0\afs20\alang1025 \ltrch\fcs0 \fs24\lang2057\langfe2057\cgrid\langnp2057\langfenp2057 {\rtlch\fcs1 \af0 _x000d__x000a_\ltrch\fcs0 \cs17\v\fs20\cf9\lang1024\langfe1024\loch\af1\hich\af1\dbch\af31501\noproof\langnp1043\insrsid14618059\charrsid5141309 \hich\af1\dbch\af31501\loch\f1 &lt;DocAmend2&gt;&lt;OptDel&gt;}{\rtlch\fcs1 \af0 \ltrch\fcs0 _x000d__x000a_\lang1043\langfe2057\langnp1043\insrsid14618059\charrsid5141309 [ZNRACT]}{\rtlch\fcs1 \af0 \ltrch\fcs0 \cs17\v\fs20\cf9\lang1024\langfe1024\loch\af1\hich\af1\dbch\af31501\noproof\langnp1043\insrsid14618059\charrsid5141309 \hich\af1\dbch\af31501\loch\f1 _x000d__x000a_&lt;/OptDel&gt;&lt;/DocAmend2&gt;}{\rtlch\fcs1 \af0 \ltrch\fcs0 \lang1043\langfe2057\langnp1043\insrsid14618059\charrsid5141309 _x000d__x000a_\par }\pard \ltrpar\ql \li0\ri0\widctlpar\wrapdefault\aspalpha\aspnum\faauto\adjustright\rin0\lin0\itap0\pararsid14618059 {\rtlch\fcs1 \af0 \ltrch\fcs0 _x000d__x000a_\cs17\v\fs20\cf9\lang1024\langfe1024\loch\af1\hich\af1\dbch\af31501\noproof\langnp1036\insrsid14618059\charrsid5141309 \hich\af1\dbch\af31501\loch\f1 &lt;Article2&gt;&lt;OptDel&gt;}{\rtlch\fcs1 \af0 \ltrch\fcs0 _x000d__x000a_\lang1036\langfe2057\langnp1036\insrsid14618059\charrsid5141309 [ZACTPART]}{\rtlch\fcs1 \af0 \ltrch\fcs0 \cs17\v\fs20\cf9\lang1024\langfe1024\loch\af1\hich\af1\dbch\af31501\noproof\langnp1036\insrsid14618059\charrsid5141309 \hich\af1\dbch\af31501\loch\f1 _x000d__x000a_&lt;/OptDel&gt;&lt;/Article2&gt;}{\rtlch\fcs1 \af0 \ltrch\fcs0 \lang1036\langfe2057\langnp1036\insrsid14618059\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lang1036\langfe2057\langnp1036\insrsid14618059\charrsid5141309 \cell }\pard \ltrpar\ql \li0\ri0\widctlpar\intbl\wrapdefault\aspalpha\aspnum\faauto\adjustright\rin0\lin0 {\rtlch\fcs1 \af0 \ltrch\fcs0 \insrsid14618059\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15216 \rtlch\fcs1 \af0\afs20\alang1025 \ltrch\fcs0 \i\fs24\lang2057\langfe2057\cgrid\langnp2057\langfenp2057 {\rtlch\fcs1 \af0 \ltrch\fcs0 _x000d__x000a_\insrsid14618059\charrsid4593153 [ZLEFT]\cell [ZRIGHT]\cell }\pard\plain \ltrpar\ql \li0\ri0\widctlpar\intbl\wrapdefault\aspalpha\aspnum\faauto\adjustright\rin0\lin0 \rtlch\fcs1 \af0\afs20\alang1025 \ltrch\fcs0 _x000d__x000a_\fs24\lang2057\langfe2057\cgrid\langnp2057\langfenp2057 {\rtlch\fcs1 \af0 \ltrch\fcs0 \insrsid14618059\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2517430 \rtlch\fcs1 \af0\afs20\alang1025 \ltrch\fcs0 \fs24\lang2057\langfe2057\cgrid\langnp2057\langfenp2057 {\rtlch\fcs1 \af0 \ltrch\fcs0 _x000d__x000a_\insrsid14618059\charrsid4593153 [ZTEXTL]\cell [ZTEXTR]}{\rtlch\fcs1 \af0\afs24 \ltrch\fcs0 \insrsid14618059\charrsid4593153 \cell }\pard\plain \ltrpar\ql \li0\ri0\widctlpar\intbl\wrapdefault\aspalpha\aspnum\faauto\adjustright\rin0\lin0 \rtlch\fcs1 _x000d__x000a_\af0\afs20\alang1025 \ltrch\fcs0 \fs24\lang2057\langfe2057\cgrid\langnp2057\langfenp2057 {\rtlch\fcs1 \af0 \ltrch\fcs0 \insrsid14618059\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618059 \rtlch\fcs1 \af0\afs20\alang1025 \ltrch\fcs0 \i\fs24\lang2057\langfe2057\cgrid\langnp2057\langfenp2057 {\rtlch\fcs1 \af0 \ltrch\fcs0 _x000d__x000a_\cs17\i0\v\fs20\cf9\lang1024\langfe1024\loch\af1\hich\af1\dbch\af31501\noproof\insrsid14618059\charrsid4593153 \hich\af1\dbch\af31501\loch\f1 &lt;OptDel&gt;}{\rtlch\fcs1 \af0 \ltrch\fcs0 \insrsid14618059\charrsid4593153 [ZCROSSREF]}{\rtlch\fcs1 \af0 _x000d__x000a_\ltrch\fcs0 \cs17\i0\v\fs20\cf9\lang1024\langfe1024\loch\af1\hich\af1\dbch\af31501\noproof\insrsid14618059\charrsid4593153 \hich\af1\dbch\af31501\loch\f1 &lt;/OptDel&gt;}{\rtlch\fcs1 \af0 \ltrch\fcs0 \insrsid14618059\charrsid4593153 _x000d__x000a_\par }\pard\plain \ltrpar\s22\qc \li0\ri0\sb240\sa240\keepn\nowidctlpar\wrapdefault\aspalpha\aspnum\faauto\adjustright\rin0\lin0\itap0\pararsid14618059 \rtlch\fcs1 \af0\afs20\alang1025 \ltrch\fcs0 \i\fs24\lang2057\langfe2057\cgrid\langnp2057\langfenp2057 {_x000d__x000a_\rtlch\fcs1 \af0 \ltrch\fcs0 \cs17\i0\v\fs20\cf9\lang1024\langfe1024\loch\af1\hich\af1\dbch\af31501\noproof\insrsid14618059\charrsid4593153 \hich\af1\dbch\af31501\loch\f1 &lt;TitreJust&gt;}{\rtlch\fcs1 \af0 \ltrch\fcs0 \insrsid14618059\charrsid4593153 _x000d__x000a_[ZJUSTIFICATION]}{\rtlch\fcs1 \af0 \ltrch\fcs0 \cs17\i0\v\fs20\cf9\lang1024\langfe1024\loch\af1\hich\af1\dbch\af31501\noproof\insrsid14618059\charrsid4593153 \hich\af1\dbch\af31501\loch\f1 &lt;/TitreJust&gt;}{\rtlch\fcs1 \af0 \ltrch\fcs0 _x000d__x000a_\insrsid14618059\charrsid4593153 _x000d__x000a_\par }\pard\plain \ltrpar\s20\ql \li0\ri0\sa240\nowidctlpar\wrapdefault\aspalpha\aspnum\faauto\adjustright\rin0\lin0\itap0\pararsid14618059 \rtlch\fcs1 \af0\afs20\alang1025 \ltrch\fcs0 \i\fs24\lang2057\langfe2057\cgrid\langnp2057\langfenp2057 {\rtlch\fcs1 _x000d__x000a_\af0 \ltrch\fcs0 \cs17\i0\v\fs20\cf9\lang1024\langfe1024\loch\af1\hich\af1\dbch\af31501\noproof\insrsid14618059\charrsid4593153 \hich\af1\dbch\af31501\loch\f1 &lt;OptDelPrev&gt;}{\rtlch\fcs1 \af0 \ltrch\fcs0 \insrsid14618059\charrsid4593153 [ZTEXTJUST]}{_x000d__x000a_\rtlch\fcs1 \af0 \ltrch\fcs0 \cs17\i0\v\fs20\cf9\lang1024\langfe1024\loch\af1\hich\af1\dbch\af31501\noproof\insrsid14618059\charrsid4593153 \hich\af1\dbch\af31501\loch\f1 &lt;/OptDelPrev&gt;}{\rtlch\fcs1 \af0 \ltrch\fcs0 \insrsid14618059\charrsid4593153 _x000d__x000a_\par }\pard\plain \ltrpar\ql \li0\ri0\widctlpar\wrapdefault\aspalpha\aspnum\faauto\adjustright\rin0\lin0\itap0\pararsid14618059 \rtlch\fcs1 \af0\afs20\alang1025 \ltrch\fcs0 \fs24\lang2057\langfe2057\cgrid\langnp2057\langfenp2057 {\rtlch\fcs1 \af0 \ltrch\fcs0 _x000d__x000a_\cs17\v\fs20\cf9\lang1024\langfe1024\loch\af1\hich\af1\dbch\af31501\noproof\insrsid14618059\charrsid4593153 \hich\af1\dbch\af31501\loch\f1 &lt;/Amend&gt;}{\rtlch\fcs1 \af0 \ltrch\fcs0 \insrsid14618059\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9_x000d__x000a_51179c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92"/>
    <w:docVar w:name="TVTACTPART" w:val="xx"/>
    <w:docVar w:name="TVTAMACTPART" w:val="xx"/>
    <w:docVar w:name="TXTAUTHOR" w:val="Kosma Złotowski"/>
    <w:docVar w:name="TXTLANGUE" w:val="FR"/>
    <w:docVar w:name="TXTLANGUEMIN" w:val="fr"/>
    <w:docVar w:name="TXTNRC" w:val="0034/2023"/>
    <w:docVar w:name="TXTNRCOD" w:val="2023/0052"/>
    <w:docVar w:name="TXTNRCOM" w:val="(2023)0126"/>
    <w:docVar w:name="TXTNRDIR" w:val="xx"/>
    <w:docVar w:name="TXTNRFIRSTAM" w:val="1"/>
    <w:docVar w:name="TXTNRLASTAM" w:val="23"/>
    <w:docVar w:name="TXTNRPE" w:val="749.236"/>
    <w:docVar w:name="TXTPEorAP" w:val="PE"/>
    <w:docVar w:name="TXTROUTE" w:val="RR\1292147FR.docx"/>
    <w:docVar w:name="TXTTITLE" w:val="Proposal for a Directive of the European Parliament and of the Council amending Directive (EU) 2015/413 facilitating cross-border exchange of information on road-safety-related traffic offences"/>
    <w:docVar w:name="TXTVERSION" w:val="02-00"/>
  </w:docVars>
  <w:rsids>
    <w:rsidRoot w:val="009D7729"/>
    <w:rsid w:val="00011AAB"/>
    <w:rsid w:val="00012351"/>
    <w:rsid w:val="000139E5"/>
    <w:rsid w:val="000444CD"/>
    <w:rsid w:val="00082F32"/>
    <w:rsid w:val="00084DD2"/>
    <w:rsid w:val="00084E89"/>
    <w:rsid w:val="000B7489"/>
    <w:rsid w:val="000F1096"/>
    <w:rsid w:val="00120948"/>
    <w:rsid w:val="00123DD5"/>
    <w:rsid w:val="001277AE"/>
    <w:rsid w:val="00142215"/>
    <w:rsid w:val="00147FBF"/>
    <w:rsid w:val="001767E2"/>
    <w:rsid w:val="00187008"/>
    <w:rsid w:val="001B0454"/>
    <w:rsid w:val="001B3829"/>
    <w:rsid w:val="001C5592"/>
    <w:rsid w:val="001C5B44"/>
    <w:rsid w:val="001C6342"/>
    <w:rsid w:val="001C6FFC"/>
    <w:rsid w:val="001D7842"/>
    <w:rsid w:val="001F7C7C"/>
    <w:rsid w:val="00212B84"/>
    <w:rsid w:val="002346B0"/>
    <w:rsid w:val="00240FDD"/>
    <w:rsid w:val="002667C3"/>
    <w:rsid w:val="002669B6"/>
    <w:rsid w:val="0027730B"/>
    <w:rsid w:val="00290B2B"/>
    <w:rsid w:val="00290BED"/>
    <w:rsid w:val="002B0833"/>
    <w:rsid w:val="002D13EE"/>
    <w:rsid w:val="002E33EE"/>
    <w:rsid w:val="002F40BB"/>
    <w:rsid w:val="002F4B02"/>
    <w:rsid w:val="00316E30"/>
    <w:rsid w:val="00323EF8"/>
    <w:rsid w:val="003316DD"/>
    <w:rsid w:val="003506ED"/>
    <w:rsid w:val="00366A46"/>
    <w:rsid w:val="00370AC3"/>
    <w:rsid w:val="003824EE"/>
    <w:rsid w:val="003B4689"/>
    <w:rsid w:val="003C2068"/>
    <w:rsid w:val="003C37CF"/>
    <w:rsid w:val="003D41D6"/>
    <w:rsid w:val="00407D43"/>
    <w:rsid w:val="004100B1"/>
    <w:rsid w:val="00426E47"/>
    <w:rsid w:val="004508D3"/>
    <w:rsid w:val="00455743"/>
    <w:rsid w:val="00461601"/>
    <w:rsid w:val="004A36EC"/>
    <w:rsid w:val="004C0915"/>
    <w:rsid w:val="004C2BBB"/>
    <w:rsid w:val="004D424E"/>
    <w:rsid w:val="004E42C8"/>
    <w:rsid w:val="004E733D"/>
    <w:rsid w:val="004F3FA5"/>
    <w:rsid w:val="00501961"/>
    <w:rsid w:val="0051271F"/>
    <w:rsid w:val="00515F3B"/>
    <w:rsid w:val="00521F46"/>
    <w:rsid w:val="00551111"/>
    <w:rsid w:val="00551123"/>
    <w:rsid w:val="0056327C"/>
    <w:rsid w:val="00570A6A"/>
    <w:rsid w:val="005779D7"/>
    <w:rsid w:val="00577DD4"/>
    <w:rsid w:val="00586E50"/>
    <w:rsid w:val="0059583D"/>
    <w:rsid w:val="005A42D9"/>
    <w:rsid w:val="005C2BEF"/>
    <w:rsid w:val="005C37AD"/>
    <w:rsid w:val="005D1A99"/>
    <w:rsid w:val="005D7609"/>
    <w:rsid w:val="005D7EE8"/>
    <w:rsid w:val="005F4B40"/>
    <w:rsid w:val="006303E3"/>
    <w:rsid w:val="00642325"/>
    <w:rsid w:val="00654466"/>
    <w:rsid w:val="0067159C"/>
    <w:rsid w:val="0069092A"/>
    <w:rsid w:val="006A2F5D"/>
    <w:rsid w:val="006D6DF8"/>
    <w:rsid w:val="006D7609"/>
    <w:rsid w:val="006F7907"/>
    <w:rsid w:val="00743189"/>
    <w:rsid w:val="00743D33"/>
    <w:rsid w:val="007932B3"/>
    <w:rsid w:val="00793EA9"/>
    <w:rsid w:val="007D6F68"/>
    <w:rsid w:val="008235FE"/>
    <w:rsid w:val="00823E6B"/>
    <w:rsid w:val="00826780"/>
    <w:rsid w:val="00837CCD"/>
    <w:rsid w:val="008633CC"/>
    <w:rsid w:val="0086407D"/>
    <w:rsid w:val="00865190"/>
    <w:rsid w:val="0087120D"/>
    <w:rsid w:val="008719B9"/>
    <w:rsid w:val="00894923"/>
    <w:rsid w:val="00894ECE"/>
    <w:rsid w:val="00896BB4"/>
    <w:rsid w:val="008A7FB8"/>
    <w:rsid w:val="008B542A"/>
    <w:rsid w:val="008B71C9"/>
    <w:rsid w:val="009022B8"/>
    <w:rsid w:val="009078A5"/>
    <w:rsid w:val="00914537"/>
    <w:rsid w:val="00917CC4"/>
    <w:rsid w:val="009763DA"/>
    <w:rsid w:val="00982395"/>
    <w:rsid w:val="009975B3"/>
    <w:rsid w:val="009A216D"/>
    <w:rsid w:val="009B4B93"/>
    <w:rsid w:val="009D7729"/>
    <w:rsid w:val="009F24BE"/>
    <w:rsid w:val="009F4F7C"/>
    <w:rsid w:val="009F6C2F"/>
    <w:rsid w:val="009F767A"/>
    <w:rsid w:val="00A22533"/>
    <w:rsid w:val="00A26F46"/>
    <w:rsid w:val="00A34FD3"/>
    <w:rsid w:val="00A36929"/>
    <w:rsid w:val="00A42D93"/>
    <w:rsid w:val="00A50548"/>
    <w:rsid w:val="00A52D0D"/>
    <w:rsid w:val="00A60EE7"/>
    <w:rsid w:val="00A910C9"/>
    <w:rsid w:val="00AA35B0"/>
    <w:rsid w:val="00AD18C8"/>
    <w:rsid w:val="00AD5932"/>
    <w:rsid w:val="00AD7FA6"/>
    <w:rsid w:val="00AE4643"/>
    <w:rsid w:val="00AF0416"/>
    <w:rsid w:val="00B10CB4"/>
    <w:rsid w:val="00B13D6F"/>
    <w:rsid w:val="00B23B72"/>
    <w:rsid w:val="00B42702"/>
    <w:rsid w:val="00B54EAF"/>
    <w:rsid w:val="00B57B8B"/>
    <w:rsid w:val="00B735E3"/>
    <w:rsid w:val="00B85407"/>
    <w:rsid w:val="00B95702"/>
    <w:rsid w:val="00B97F1B"/>
    <w:rsid w:val="00BC3961"/>
    <w:rsid w:val="00BC6489"/>
    <w:rsid w:val="00BD480C"/>
    <w:rsid w:val="00C20954"/>
    <w:rsid w:val="00C23324"/>
    <w:rsid w:val="00C31207"/>
    <w:rsid w:val="00C42A41"/>
    <w:rsid w:val="00C47E74"/>
    <w:rsid w:val="00C57A72"/>
    <w:rsid w:val="00C73602"/>
    <w:rsid w:val="00C85D0F"/>
    <w:rsid w:val="00CD2CD1"/>
    <w:rsid w:val="00CD4DE8"/>
    <w:rsid w:val="00CF60C8"/>
    <w:rsid w:val="00D30DE2"/>
    <w:rsid w:val="00D32924"/>
    <w:rsid w:val="00D503A3"/>
    <w:rsid w:val="00DA6ED0"/>
    <w:rsid w:val="00DC5011"/>
    <w:rsid w:val="00E10D7D"/>
    <w:rsid w:val="00E1348E"/>
    <w:rsid w:val="00E171B6"/>
    <w:rsid w:val="00E51DCD"/>
    <w:rsid w:val="00E71B93"/>
    <w:rsid w:val="00E72695"/>
    <w:rsid w:val="00EB1753"/>
    <w:rsid w:val="00EB6CFF"/>
    <w:rsid w:val="00ED0C6E"/>
    <w:rsid w:val="00EE3996"/>
    <w:rsid w:val="00F07062"/>
    <w:rsid w:val="00F23CFC"/>
    <w:rsid w:val="00F3060F"/>
    <w:rsid w:val="00F407FF"/>
    <w:rsid w:val="00F433E2"/>
    <w:rsid w:val="00F904AE"/>
    <w:rsid w:val="00F934F8"/>
    <w:rsid w:val="00FB52FE"/>
    <w:rsid w:val="00FC0A34"/>
    <w:rsid w:val="00FD1DEF"/>
    <w:rsid w:val="00FE10F7"/>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6EB9B7-86BA-4987-A825-69A51EC62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40FDD"/>
    <w:pPr>
      <w:tabs>
        <w:tab w:val="right" w:pos="454"/>
        <w:tab w:val="left" w:pos="737"/>
      </w:tabs>
      <w:ind w:left="737" w:hanging="737"/>
    </w:pPr>
    <w:rPr>
      <w:snapToGrid w:val="0"/>
      <w:sz w:val="18"/>
      <w:lang w:eastAsia="en-US"/>
    </w:rPr>
  </w:style>
  <w:style w:type="paragraph" w:customStyle="1" w:styleId="Lgendetitre">
    <w:name w:val="Légende titre"/>
    <w:basedOn w:val="Normal"/>
    <w:rsid w:val="00240FDD"/>
    <w:pPr>
      <w:spacing w:before="240" w:after="240"/>
    </w:pPr>
    <w:rPr>
      <w:b/>
      <w:i/>
      <w:snapToGrid w:val="0"/>
      <w:lang w:eastAsia="en-US"/>
    </w:rPr>
  </w:style>
  <w:style w:type="paragraph" w:customStyle="1" w:styleId="Lgendestandard">
    <w:name w:val="Légende standard"/>
    <w:basedOn w:val="Normal"/>
    <w:rsid w:val="00240FDD"/>
    <w:rPr>
      <w:sz w:val="18"/>
    </w:rPr>
  </w:style>
  <w:style w:type="character" w:customStyle="1" w:styleId="Normal6Char">
    <w:name w:val="Normal6 Char"/>
    <w:basedOn w:val="DefaultParagraphFont"/>
    <w:link w:val="Normal6"/>
    <w:locked/>
    <w:rsid w:val="0056327C"/>
    <w:rPr>
      <w:sz w:val="24"/>
      <w:lang w:val="fr-FR"/>
    </w:rPr>
  </w:style>
  <w:style w:type="paragraph" w:customStyle="1" w:styleId="Normal6">
    <w:name w:val="Normal6"/>
    <w:basedOn w:val="Normal"/>
    <w:link w:val="Normal6Char"/>
    <w:rsid w:val="0056327C"/>
    <w:pPr>
      <w:spacing w:after="120"/>
    </w:pPr>
  </w:style>
  <w:style w:type="character" w:customStyle="1" w:styleId="NormalBoldChar">
    <w:name w:val="NormalBold Char"/>
    <w:basedOn w:val="DefaultParagraphFont"/>
    <w:link w:val="NormalBold"/>
    <w:locked/>
    <w:rsid w:val="0056327C"/>
    <w:rPr>
      <w:b/>
      <w:sz w:val="24"/>
    </w:rPr>
  </w:style>
  <w:style w:type="paragraph" w:customStyle="1" w:styleId="ColumnHeading">
    <w:name w:val="ColumnHeading"/>
    <w:basedOn w:val="Normal"/>
    <w:rsid w:val="0056327C"/>
    <w:pPr>
      <w:spacing w:after="240"/>
      <w:jc w:val="center"/>
    </w:pPr>
    <w:rPr>
      <w:i/>
    </w:rPr>
  </w:style>
  <w:style w:type="paragraph" w:customStyle="1" w:styleId="AMNumberTabs0">
    <w:name w:val="AMNumberTabs"/>
    <w:basedOn w:val="Normal"/>
    <w:rsid w:val="005632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6327C"/>
    <w:pPr>
      <w:jc w:val="right"/>
    </w:pPr>
  </w:style>
  <w:style w:type="paragraph" w:styleId="Footer">
    <w:name w:val="footer"/>
    <w:basedOn w:val="Normal"/>
    <w:link w:val="FooterChar"/>
    <w:semiHidden/>
    <w:rsid w:val="00290B2B"/>
    <w:pPr>
      <w:tabs>
        <w:tab w:val="center" w:pos="4513"/>
        <w:tab w:val="right" w:pos="9026"/>
      </w:tabs>
    </w:pPr>
  </w:style>
  <w:style w:type="character" w:customStyle="1" w:styleId="FooterChar">
    <w:name w:val="Footer Char"/>
    <w:basedOn w:val="DefaultParagraphFont"/>
    <w:link w:val="Footer"/>
    <w:semiHidden/>
    <w:rsid w:val="00290B2B"/>
    <w:rPr>
      <w:sz w:val="24"/>
    </w:rPr>
  </w:style>
  <w:style w:type="paragraph" w:styleId="BalloonText">
    <w:name w:val="Balloon Text"/>
    <w:basedOn w:val="Normal"/>
    <w:link w:val="BalloonTextChar"/>
    <w:semiHidden/>
    <w:unhideWhenUsed/>
    <w:rsid w:val="00BC3961"/>
    <w:rPr>
      <w:rFonts w:ascii="Segoe UI" w:hAnsi="Segoe UI" w:cs="Segoe UI"/>
      <w:sz w:val="18"/>
      <w:szCs w:val="18"/>
    </w:rPr>
  </w:style>
  <w:style w:type="character" w:customStyle="1" w:styleId="BalloonTextChar">
    <w:name w:val="Balloon Text Char"/>
    <w:basedOn w:val="DefaultParagraphFont"/>
    <w:link w:val="BalloonText"/>
    <w:semiHidden/>
    <w:rsid w:val="00BC3961"/>
    <w:rPr>
      <w:rFonts w:ascii="Segoe UI" w:hAnsi="Segoe UI" w:cs="Segoe UI"/>
      <w:sz w:val="18"/>
      <w:szCs w:val="18"/>
    </w:rPr>
  </w:style>
  <w:style w:type="character" w:styleId="CommentReference">
    <w:name w:val="annotation reference"/>
    <w:basedOn w:val="DefaultParagraphFont"/>
    <w:uiPriority w:val="99"/>
    <w:rsid w:val="0067159C"/>
    <w:rPr>
      <w:sz w:val="16"/>
      <w:szCs w:val="16"/>
    </w:rPr>
  </w:style>
  <w:style w:type="paragraph" w:styleId="CommentText">
    <w:name w:val="annotation text"/>
    <w:basedOn w:val="Normal"/>
    <w:link w:val="CommentTextChar"/>
    <w:rsid w:val="0067159C"/>
    <w:rPr>
      <w:sz w:val="20"/>
    </w:rPr>
  </w:style>
  <w:style w:type="character" w:customStyle="1" w:styleId="CommentTextChar">
    <w:name w:val="Comment Text Char"/>
    <w:basedOn w:val="DefaultParagraphFont"/>
    <w:link w:val="CommentText"/>
    <w:rsid w:val="0067159C"/>
  </w:style>
  <w:style w:type="paragraph" w:styleId="CommentSubject">
    <w:name w:val="annotation subject"/>
    <w:basedOn w:val="CommentText"/>
    <w:next w:val="CommentText"/>
    <w:link w:val="CommentSubjectChar"/>
    <w:semiHidden/>
    <w:unhideWhenUsed/>
    <w:rsid w:val="0067159C"/>
    <w:rPr>
      <w:b/>
      <w:bCs/>
    </w:rPr>
  </w:style>
  <w:style w:type="character" w:customStyle="1" w:styleId="CommentSubjectChar">
    <w:name w:val="Comment Subject Char"/>
    <w:basedOn w:val="CommentTextChar"/>
    <w:link w:val="CommentSubject"/>
    <w:semiHidden/>
    <w:rsid w:val="0067159C"/>
    <w:rPr>
      <w:b/>
      <w:bCs/>
    </w:rPr>
  </w:style>
  <w:style w:type="paragraph" w:customStyle="1" w:styleId="Normal12Italic">
    <w:name w:val="Normal12Italic"/>
    <w:basedOn w:val="Normal"/>
    <w:rsid w:val="0086407D"/>
    <w:pPr>
      <w:spacing w:after="240"/>
    </w:pPr>
    <w:rPr>
      <w:i/>
      <w:noProof/>
    </w:rPr>
  </w:style>
  <w:style w:type="paragraph" w:customStyle="1" w:styleId="JustificationTitle">
    <w:name w:val="JustificationTitle"/>
    <w:basedOn w:val="Normal"/>
    <w:next w:val="Normal"/>
    <w:rsid w:val="0086407D"/>
    <w:pPr>
      <w:keepNext/>
      <w:spacing w:before="240" w:after="240"/>
      <w:jc w:val="center"/>
    </w:pPr>
    <w:rPr>
      <w:i/>
      <w:noProof/>
    </w:rPr>
  </w:style>
  <w:style w:type="paragraph" w:customStyle="1" w:styleId="CrossRef">
    <w:name w:val="CrossRef"/>
    <w:basedOn w:val="Normal"/>
    <w:rsid w:val="0086407D"/>
    <w:pPr>
      <w:spacing w:before="240"/>
      <w:jc w:val="center"/>
    </w:pPr>
    <w:rPr>
      <w:i/>
    </w:rPr>
  </w:style>
  <w:style w:type="paragraph" w:customStyle="1" w:styleId="Normal24a">
    <w:name w:val="Normal24a"/>
    <w:basedOn w:val="Normal"/>
    <w:rsid w:val="0086407D"/>
    <w:pPr>
      <w:spacing w:after="480"/>
    </w:pPr>
  </w:style>
  <w:style w:type="paragraph" w:customStyle="1" w:styleId="NormalBoldCenter">
    <w:name w:val="NormalBoldCenter"/>
    <w:basedOn w:val="Normal"/>
    <w:rsid w:val="0086407D"/>
    <w:pPr>
      <w:jc w:val="center"/>
    </w:pPr>
    <w:rPr>
      <w:b/>
    </w:rPr>
  </w:style>
  <w:style w:type="paragraph" w:customStyle="1" w:styleId="Normal12a">
    <w:name w:val="Normal12a"/>
    <w:basedOn w:val="Normal"/>
    <w:rsid w:val="0086407D"/>
    <w:pPr>
      <w:spacing w:after="240"/>
    </w:pPr>
  </w:style>
  <w:style w:type="paragraph" w:customStyle="1" w:styleId="RollCallVotes">
    <w:name w:val="RollCallVotes"/>
    <w:basedOn w:val="Normal"/>
    <w:rsid w:val="0086407D"/>
    <w:pPr>
      <w:spacing w:before="120" w:after="120"/>
      <w:jc w:val="center"/>
    </w:pPr>
    <w:rPr>
      <w:b/>
      <w:bCs/>
      <w:snapToGrid w:val="0"/>
      <w:sz w:val="16"/>
      <w:lang w:eastAsia="en-US"/>
    </w:rPr>
  </w:style>
  <w:style w:type="paragraph" w:customStyle="1" w:styleId="RollCallTabs">
    <w:name w:val="RollCallTabs"/>
    <w:basedOn w:val="Normal"/>
    <w:qFormat/>
    <w:rsid w:val="0086407D"/>
    <w:pPr>
      <w:tabs>
        <w:tab w:val="center" w:pos="284"/>
        <w:tab w:val="left" w:pos="426"/>
      </w:tabs>
    </w:pPr>
    <w:rPr>
      <w:snapToGrid w:val="0"/>
      <w:lang w:eastAsia="en-US"/>
    </w:rPr>
  </w:style>
  <w:style w:type="paragraph" w:customStyle="1" w:styleId="RollCallSymbols14pt">
    <w:name w:val="RollCallSymbols14pt"/>
    <w:basedOn w:val="Normal"/>
    <w:rsid w:val="0086407D"/>
    <w:pPr>
      <w:spacing w:before="120" w:after="120"/>
      <w:jc w:val="center"/>
    </w:pPr>
    <w:rPr>
      <w:rFonts w:ascii="Arial" w:hAnsi="Arial"/>
      <w:b/>
      <w:bCs/>
      <w:snapToGrid w:val="0"/>
      <w:sz w:val="28"/>
      <w:lang w:eastAsia="en-US"/>
    </w:rPr>
  </w:style>
  <w:style w:type="paragraph" w:customStyle="1" w:styleId="RollCallTable">
    <w:name w:val="RollCallTable"/>
    <w:basedOn w:val="Normal"/>
    <w:rsid w:val="0086407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FR/TXT/HTML/?uri=CELEX:32015L0413&amp;qid=1536740083865&amp;from=FR%22%20\l%20%22ntr1-L_2015068EN.01001801-E0001"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eur-lex.europa.eu/legal-content/FR/TXT/HTML/?uri=CELEX:32015L0413&amp;qid=1536740083865&amp;from=FR"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TXT/HTML/?uri=CELEX:32015L0413&amp;qid=1536740083865&amp;from=FR%22%20\l%20%22ntr1-L_2015068EN.01001801-E0001"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hyperlink" Target="https://eur-lex.europa.eu/legal-content/FR/TXT/HTML/?uri=CELEX:32015L0413&amp;qid=1536740083865&amp;from=FR%22%20\l%20%22ntr1-L_2015068EN.01001801-E0001"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ur-lex.europa.eu/legal-content/FR/TXT/HTML/?uri=CELEX:32015L0413&amp;qid=1536740083865&amp;from=FR" TargetMode="External"/><Relationship Id="rId14" Type="http://schemas.openxmlformats.org/officeDocument/2006/relationships/hyperlink" Target="https://eur-lex.europa.eu/legal-content/FR/TXT/HTML/?uri=CELEX:32015L0413&amp;qid=1536740083865&amp;from=FR%22%20\l%20%22ntr1-L_2015068EN.01001801-E0001" TargetMode="Externa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FC3FB-09AA-4F52-A8F3-941B62609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13441</Words>
  <Characters>75813</Characters>
  <Application>Microsoft Office Word</Application>
  <DocSecurity>0</DocSecurity>
  <Lines>3032</Lines>
  <Paragraphs>1115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UWIZERA Marie-Claire</dc:creator>
  <cp:lastModifiedBy>AUCHET-BOURCIER Helene</cp:lastModifiedBy>
  <cp:revision>2</cp:revision>
  <cp:lastPrinted>2004-11-04T09:41:00Z</cp:lastPrinted>
  <dcterms:created xsi:type="dcterms:W3CDTF">2024-01-11T16:29:00Z</dcterms:created>
  <dcterms:modified xsi:type="dcterms:W3CDTF">2024-01-11T16:29:00Z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1292147</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RR</vt:lpwstr>
  </property>
  <property fmtid="{D5CDD505-2E9C-101B-9397-08002B2CF9AE}" pid="8" name="Bookout">
    <vt:lpwstr>OK - 2024/01/11 17:29</vt:lpwstr>
  </property>
  <property fmtid="{D5CDD505-2E9C-101B-9397-08002B2CF9AE}" pid="9" name="Created with">
    <vt:lpwstr>9.14.1 Build [20230315]</vt:lpwstr>
  </property>
  <property fmtid="{D5CDD505-2E9C-101B-9397-08002B2CF9AE}" pid="10" name="FooterPath">
    <vt:lpwstr>RR\1292147FR.docx</vt:lpwstr>
  </property>
  <property fmtid="{D5CDD505-2E9C-101B-9397-08002B2CF9AE}" pid="11" name="LastEdited with">
    <vt:lpwstr>9.17.0 Build [20231101]</vt:lpwstr>
  </property>
  <property fmtid="{D5CDD505-2E9C-101B-9397-08002B2CF9AE}" pid="12" name="PE number">
    <vt:lpwstr>749.236</vt:lpwstr>
  </property>
  <property fmtid="{D5CDD505-2E9C-101B-9397-08002B2CF9AE}" pid="13" name="SDLStudio">
    <vt:lpwstr/>
  </property>
  <property fmtid="{D5CDD505-2E9C-101B-9397-08002B2CF9AE}" pid="14" name="SendToEpades">
    <vt:lpwstr>NOK(Major:COM)(Minor:TC/AMNUM/PBTAG) - 2023/06/01 15:43</vt:lpwstr>
  </property>
</Properties>
</file>