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9A0495" w:rsidRPr="00C74E68" w:rsidTr="00C85D0F">
        <w:trPr>
          <w:trHeight w:hRule="exact" w:val="1418"/>
        </w:trPr>
        <w:tc>
          <w:tcPr>
            <w:tcW w:w="6804" w:type="dxa"/>
            <w:shd w:val="clear" w:color="auto" w:fill="auto"/>
            <w:vAlign w:val="center"/>
          </w:tcPr>
          <w:p w:rsidR="00B13D6F" w:rsidRPr="00C74E68" w:rsidRDefault="00370FC0" w:rsidP="00C85D0F">
            <w:pPr>
              <w:pStyle w:val="EPName"/>
            </w:pPr>
            <w:bookmarkStart w:id="0" w:name="_GoBack"/>
            <w:bookmarkEnd w:id="0"/>
            <w:r>
              <w:t>Evropský parlament</w:t>
            </w:r>
          </w:p>
          <w:p w:rsidR="00B13D6F" w:rsidRPr="00C74E68" w:rsidRDefault="00370FC0" w:rsidP="00AB1B30">
            <w:pPr>
              <w:pStyle w:val="EPTerm"/>
            </w:pPr>
            <w:r>
              <w:t>2019-2024</w:t>
            </w:r>
          </w:p>
        </w:tc>
        <w:tc>
          <w:tcPr>
            <w:tcW w:w="2268" w:type="dxa"/>
            <w:shd w:val="clear" w:color="auto" w:fill="auto"/>
          </w:tcPr>
          <w:p w:rsidR="00B13D6F" w:rsidRPr="00C74E68" w:rsidRDefault="00370FC0" w:rsidP="00C85D0F">
            <w:pPr>
              <w:pStyle w:val="EPLogo"/>
            </w:pPr>
            <w:r w:rsidRPr="00C74E68">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461601" w:rsidRPr="00C74E68" w:rsidRDefault="00461601" w:rsidP="00461601">
      <w:pPr>
        <w:pStyle w:val="LineTop"/>
      </w:pPr>
    </w:p>
    <w:p w:rsidR="00461601" w:rsidRPr="00C74E68" w:rsidRDefault="0021773F" w:rsidP="00461601">
      <w:pPr>
        <w:pStyle w:val="EPBody"/>
      </w:pPr>
      <w:r>
        <w:t>Dokument ze zasedání</w:t>
      </w:r>
    </w:p>
    <w:p w:rsidR="00461601" w:rsidRPr="00C74E68" w:rsidRDefault="00461601" w:rsidP="00461601">
      <w:pPr>
        <w:pStyle w:val="LineBottom"/>
      </w:pPr>
    </w:p>
    <w:p w:rsidR="00AB1B30" w:rsidRPr="00C74E68" w:rsidRDefault="0021773F" w:rsidP="00AB1B30">
      <w:pPr>
        <w:pStyle w:val="CoverReference"/>
      </w:pPr>
      <w:r>
        <w:rPr>
          <w:rStyle w:val="HideTWBExt"/>
        </w:rPr>
        <w:t>&lt;NoDocSe&gt;</w:t>
      </w:r>
      <w:r>
        <w:t>A9</w:t>
      </w:r>
      <w:r>
        <w:noBreakHyphen/>
        <w:t>0399/2023</w:t>
      </w:r>
      <w:r>
        <w:rPr>
          <w:rStyle w:val="HideTWBExt"/>
        </w:rPr>
        <w:t>&lt;/NoDocSe&gt;</w:t>
      </w:r>
    </w:p>
    <w:p w:rsidR="00AB1B30" w:rsidRPr="00C74E68" w:rsidRDefault="00370FC0" w:rsidP="00AB1B30">
      <w:pPr>
        <w:pStyle w:val="CoverDate"/>
      </w:pPr>
      <w:r>
        <w:rPr>
          <w:rStyle w:val="HideTWBExt"/>
        </w:rPr>
        <w:t>&lt;Date&gt;</w:t>
      </w:r>
      <w:r>
        <w:rPr>
          <w:rStyle w:val="HideTWBInt"/>
        </w:rPr>
        <w:t>{05/12/2023}</w:t>
      </w:r>
      <w:r>
        <w:t>5.12.2023</w:t>
      </w:r>
      <w:r>
        <w:rPr>
          <w:rStyle w:val="HideTWBExt"/>
        </w:rPr>
        <w:t>&lt;/Date&gt;</w:t>
      </w:r>
    </w:p>
    <w:p w:rsidR="00793EA9" w:rsidRPr="00C74E68" w:rsidRDefault="00370FC0">
      <w:pPr>
        <w:pStyle w:val="CoverDocType"/>
      </w:pPr>
      <w:r>
        <w:rPr>
          <w:rStyle w:val="HideTWBExt"/>
          <w:b w:val="0"/>
        </w:rPr>
        <w:t>&lt;RefProcLect&gt;</w:t>
      </w:r>
      <w:r>
        <w:t>***I</w:t>
      </w:r>
      <w:r>
        <w:rPr>
          <w:rStyle w:val="HideTWBExt"/>
          <w:b w:val="0"/>
        </w:rPr>
        <w:t>&lt;/RefProcLect&gt;</w:t>
      </w:r>
    </w:p>
    <w:p w:rsidR="00793EA9" w:rsidRPr="00C74E68" w:rsidRDefault="00370FC0">
      <w:pPr>
        <w:pStyle w:val="CoverDocType24a"/>
      </w:pPr>
      <w:r>
        <w:rPr>
          <w:rStyle w:val="HideTWBExt"/>
          <w:b w:val="0"/>
        </w:rPr>
        <w:t>&lt;TitreType&gt;</w:t>
      </w:r>
      <w:r>
        <w:t>ZPRÁVA</w:t>
      </w:r>
      <w:r>
        <w:rPr>
          <w:rStyle w:val="HideTWBExt"/>
          <w:b w:val="0"/>
        </w:rPr>
        <w:t>&lt;/TitreType&gt;</w:t>
      </w:r>
    </w:p>
    <w:p w:rsidR="00AB1B30" w:rsidRPr="00C74E68" w:rsidRDefault="00370FC0" w:rsidP="00AB1B30">
      <w:pPr>
        <w:pStyle w:val="CoverNormal"/>
      </w:pPr>
      <w:r>
        <w:rPr>
          <w:rStyle w:val="HideTWBExt"/>
        </w:rPr>
        <w:t>&lt;Titre&gt;</w:t>
      </w:r>
      <w:r>
        <w:t>o návrhu směrnice Evropského parlamentu a Rady, kterou se mění směrnice 2009/65/EU, 2013/36/EU a (EU) 2019/2034, pokud jde o přístup k riziku koncentrace vůči ústředním protistranám a k riziku selhání protistrany u derivátových transakcí, jejichž clearing provádí ústřední protistrana</w:t>
      </w:r>
      <w:r>
        <w:rPr>
          <w:rStyle w:val="HideTWBExt"/>
        </w:rPr>
        <w:t>&lt;/Titre&gt;</w:t>
      </w:r>
    </w:p>
    <w:p w:rsidR="00793EA9" w:rsidRPr="00C74E68" w:rsidRDefault="00370FC0" w:rsidP="00AB1B30">
      <w:pPr>
        <w:pStyle w:val="CoverNormal24a"/>
      </w:pPr>
      <w:r>
        <w:rPr>
          <w:rStyle w:val="HideTWBExt"/>
        </w:rPr>
        <w:t>&lt;DocRef&gt;</w:t>
      </w:r>
      <w:r>
        <w:t>(COM(2022)0698 – C9</w:t>
      </w:r>
      <w:r>
        <w:noBreakHyphen/>
        <w:t>0411/2022 – 2022/0404(COD))</w:t>
      </w:r>
      <w:r>
        <w:rPr>
          <w:rStyle w:val="HideTWBExt"/>
        </w:rPr>
        <w:t>&lt;/DocRef&gt;</w:t>
      </w:r>
    </w:p>
    <w:p w:rsidR="00793EA9" w:rsidRPr="00C74E68" w:rsidRDefault="00370FC0">
      <w:pPr>
        <w:pStyle w:val="CoverNormal24a"/>
      </w:pPr>
      <w:r>
        <w:rPr>
          <w:rStyle w:val="HideTWBExt"/>
        </w:rPr>
        <w:t>&lt;Commission&gt;</w:t>
      </w:r>
      <w:r>
        <w:rPr>
          <w:rStyle w:val="HideTWBInt"/>
          <w:color w:val="auto"/>
        </w:rPr>
        <w:t>{ECON}</w:t>
      </w:r>
      <w:r>
        <w:t>Hospodářský a měnový výbor</w:t>
      </w:r>
      <w:r>
        <w:rPr>
          <w:rStyle w:val="HideTWBExt"/>
        </w:rPr>
        <w:t>&lt;/Commission&gt;</w:t>
      </w:r>
    </w:p>
    <w:p w:rsidR="00793EA9" w:rsidRPr="00C74E68" w:rsidRDefault="00370FC0">
      <w:pPr>
        <w:pStyle w:val="CoverNormal24a"/>
      </w:pPr>
      <w:r>
        <w:t xml:space="preserve">Zpravodajka: </w:t>
      </w:r>
      <w:r>
        <w:rPr>
          <w:rStyle w:val="HideTWBExt"/>
        </w:rPr>
        <w:t>&lt;Depute&gt;</w:t>
      </w:r>
      <w:r>
        <w:t>Danuta Maria Hübner</w:t>
      </w:r>
      <w:r>
        <w:rPr>
          <w:rStyle w:val="HideTWBExt"/>
        </w:rPr>
        <w:t>&lt;/Depute&gt;</w:t>
      </w:r>
    </w:p>
    <w:p w:rsidR="001C5B44" w:rsidRPr="00C74E68" w:rsidRDefault="001C5B44" w:rsidP="001C5B44">
      <w:pPr>
        <w:pStyle w:val="CoverNormal"/>
      </w:pPr>
    </w:p>
    <w:p w:rsidR="00AB1B30" w:rsidRPr="00C74E68" w:rsidRDefault="00370FC0" w:rsidP="00894923">
      <w:r>
        <w:br w:type="page"/>
      </w:r>
      <w:fldSimple w:instr=" TITLE  \* MERGEFORMAT ">
        <w:r w:rsidR="00223397">
          <w:t>PR_COD_1amCom</w:t>
        </w:r>
      </w:fldSimple>
    </w:p>
    <w:p w:rsidR="00AB1B30" w:rsidRPr="00C74E68" w:rsidRDefault="00AB1B30" w:rsidP="00894923"/>
    <w:p w:rsidR="00AB1B30" w:rsidRPr="00C74E68" w:rsidRDefault="00AB1B30" w:rsidP="00894923"/>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9A0495" w:rsidRPr="00C74E68">
        <w:tc>
          <w:tcPr>
            <w:tcW w:w="5811" w:type="dxa"/>
          </w:tcPr>
          <w:p w:rsidR="00AB1B30" w:rsidRPr="00C74E68" w:rsidRDefault="00370FC0" w:rsidP="00894923">
            <w:pPr>
              <w:pStyle w:val="Lgendetitre"/>
            </w:pPr>
            <w:r>
              <w:t>Vysvětlivky</w:t>
            </w:r>
          </w:p>
        </w:tc>
      </w:tr>
      <w:tr w:rsidR="009A0495" w:rsidRPr="00C74E68" w:rsidTr="00D60247">
        <w:trPr>
          <w:cantSplit/>
          <w:trHeight w:val="1807"/>
        </w:trPr>
        <w:tc>
          <w:tcPr>
            <w:tcW w:w="5811" w:type="dxa"/>
            <w:tcBorders>
              <w:bottom w:val="single" w:sz="4" w:space="0" w:color="auto"/>
            </w:tcBorders>
          </w:tcPr>
          <w:p w:rsidR="00AB1B30" w:rsidRPr="00C74E68" w:rsidRDefault="00370FC0" w:rsidP="00291397">
            <w:pPr>
              <w:pStyle w:val="Lgendesigne"/>
            </w:pPr>
            <w:r>
              <w:tab/>
              <w:t>*</w:t>
            </w:r>
            <w:r>
              <w:tab/>
              <w:t>Postup konzultace</w:t>
            </w:r>
          </w:p>
          <w:p w:rsidR="00AB1B30" w:rsidRPr="00C74E68" w:rsidRDefault="00370FC0" w:rsidP="00291397">
            <w:pPr>
              <w:pStyle w:val="Lgendesigne"/>
            </w:pPr>
            <w:r>
              <w:tab/>
              <w:t>***</w:t>
            </w:r>
            <w:r>
              <w:tab/>
              <w:t>Postup souhlasu</w:t>
            </w:r>
          </w:p>
          <w:p w:rsidR="00AB1B30" w:rsidRPr="00C74E68" w:rsidRDefault="00370FC0" w:rsidP="00291397">
            <w:pPr>
              <w:pStyle w:val="Lgendesigne"/>
            </w:pPr>
            <w:r>
              <w:tab/>
              <w:t>***I</w:t>
            </w:r>
            <w:r>
              <w:tab/>
              <w:t>Řádný legislativní postup (první čtení)</w:t>
            </w:r>
          </w:p>
          <w:p w:rsidR="00AB1B30" w:rsidRPr="00C74E68" w:rsidRDefault="00370FC0" w:rsidP="00291397">
            <w:pPr>
              <w:pStyle w:val="Lgendesigne"/>
            </w:pPr>
            <w:r>
              <w:tab/>
              <w:t>***II</w:t>
            </w:r>
            <w:r>
              <w:tab/>
              <w:t>Řádný legislativní postup (druhé čtení)</w:t>
            </w:r>
          </w:p>
          <w:p w:rsidR="00AB1B30" w:rsidRPr="00C74E68" w:rsidRDefault="00370FC0" w:rsidP="00291397">
            <w:pPr>
              <w:pStyle w:val="Lgendesigne"/>
            </w:pPr>
            <w:r>
              <w:tab/>
              <w:t>***III</w:t>
            </w:r>
            <w:r>
              <w:tab/>
              <w:t>Řádný legislativní postup (třetí čtení)</w:t>
            </w:r>
          </w:p>
          <w:p w:rsidR="00AB1B30" w:rsidRPr="00C74E68" w:rsidRDefault="00AB1B30" w:rsidP="0069092A">
            <w:pPr>
              <w:pStyle w:val="Lgendestandard"/>
            </w:pPr>
          </w:p>
          <w:p w:rsidR="00AB1B30" w:rsidRPr="00C74E68" w:rsidRDefault="00370FC0" w:rsidP="0069092A">
            <w:pPr>
              <w:pStyle w:val="Lgendestandard"/>
            </w:pPr>
            <w:r>
              <w:t>(Druh postupu závisí na právním základu navrženém v návrhu aktu.)</w:t>
            </w:r>
          </w:p>
          <w:p w:rsidR="00AB1B30" w:rsidRPr="00C74E68" w:rsidRDefault="00AB1B30" w:rsidP="008F1BC6">
            <w:pPr>
              <w:pStyle w:val="Lgendestandard"/>
            </w:pPr>
          </w:p>
        </w:tc>
      </w:tr>
    </w:tbl>
    <w:p w:rsidR="00AB1B30" w:rsidRPr="00C74E68" w:rsidRDefault="00AB1B30" w:rsidP="00894923"/>
    <w:p w:rsidR="00AB1B30" w:rsidRPr="00C74E68" w:rsidRDefault="00AB1B30" w:rsidP="00894923"/>
    <w:p w:rsidR="00AB1B30" w:rsidRPr="00C74E68" w:rsidRDefault="00AB1B30" w:rsidP="00894923"/>
    <w:p w:rsidR="00AB1B30" w:rsidRPr="00C74E68" w:rsidRDefault="00AB1B30" w:rsidP="00291397"/>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9A0495" w:rsidRPr="00C74E68" w:rsidTr="00740116">
        <w:tc>
          <w:tcPr>
            <w:tcW w:w="5811" w:type="dxa"/>
          </w:tcPr>
          <w:p w:rsidR="00AB1B30" w:rsidRPr="00C74E68" w:rsidRDefault="00370FC0" w:rsidP="00740116">
            <w:pPr>
              <w:pStyle w:val="Lgendetitre"/>
            </w:pPr>
            <w:r>
              <w:t>Pozměňovací návrhy k návrhu aktu</w:t>
            </w:r>
          </w:p>
        </w:tc>
      </w:tr>
      <w:tr w:rsidR="009A0495" w:rsidRPr="00C74E68" w:rsidTr="00D60247">
        <w:trPr>
          <w:trHeight w:val="4213"/>
        </w:trPr>
        <w:tc>
          <w:tcPr>
            <w:tcW w:w="5811" w:type="dxa"/>
          </w:tcPr>
          <w:p w:rsidR="00AB1B30" w:rsidRPr="00C74E68" w:rsidRDefault="00370FC0" w:rsidP="00740116">
            <w:pPr>
              <w:pStyle w:val="Lgendestandard"/>
              <w:rPr>
                <w:szCs w:val="18"/>
              </w:rPr>
            </w:pPr>
            <w:r>
              <w:rPr>
                <w:b/>
              </w:rPr>
              <w:t>Pozměňovacích návrhy Parlamentu předložené ve dvou sloupcích</w:t>
            </w:r>
          </w:p>
          <w:p w:rsidR="00AB1B30" w:rsidRPr="00C74E68" w:rsidRDefault="00AB1B30" w:rsidP="00740116">
            <w:pPr>
              <w:pStyle w:val="Lgendestandard"/>
              <w:rPr>
                <w:szCs w:val="18"/>
              </w:rPr>
            </w:pPr>
          </w:p>
          <w:p w:rsidR="00AB1B30" w:rsidRPr="00C74E68" w:rsidRDefault="00370FC0" w:rsidP="00740116">
            <w:pPr>
              <w:pStyle w:val="Lgendestandard"/>
              <w:rPr>
                <w:szCs w:val="18"/>
              </w:rPr>
            </w:pPr>
            <w:r>
              <w:t xml:space="preserve">Vypuštění textu je označeno </w:t>
            </w:r>
            <w:r>
              <w:rPr>
                <w:b/>
                <w:i/>
              </w:rPr>
              <w:t xml:space="preserve">tučnou kurzivou </w:t>
            </w:r>
            <w:r>
              <w:t xml:space="preserve">v levém sloupci. Nahrazení je označeno </w:t>
            </w:r>
            <w:r>
              <w:rPr>
                <w:b/>
                <w:i/>
              </w:rPr>
              <w:t>tučnou kurzivou</w:t>
            </w:r>
            <w:r>
              <w:t xml:space="preserve"> v obou sloupcích. Nový text je označen </w:t>
            </w:r>
            <w:r>
              <w:rPr>
                <w:b/>
                <w:i/>
              </w:rPr>
              <w:t>tučnou kurzivou</w:t>
            </w:r>
            <w:r>
              <w:t xml:space="preserve"> v pravém sloupci.</w:t>
            </w:r>
          </w:p>
          <w:p w:rsidR="00AB1B30" w:rsidRPr="00C74E68" w:rsidRDefault="00AB1B30" w:rsidP="00740116">
            <w:pPr>
              <w:pStyle w:val="Lgendestandard"/>
            </w:pPr>
          </w:p>
          <w:p w:rsidR="00AB1B30" w:rsidRPr="00C74E68" w:rsidRDefault="00370FC0" w:rsidP="00740116">
            <w:pPr>
              <w:pStyle w:val="Lgendestandard"/>
            </w:pPr>
            <w:r>
              <w:t xml:space="preserve">První a druhý řádek záhlaví každého pozměňovacího návrhu označují příslušnou část projednávaného návrhu aktu. Pokud se pozměňovací návrh týká existujícího aktu, který má být návrhem aktu pozměněn, je v záhlaví mimo to na třetím řádku uveden existující akt a na čtvrtém řádku ustanovení existujícího aktu, kterého se pozměňovací návrh týká. </w:t>
            </w:r>
          </w:p>
          <w:p w:rsidR="00AB1B30" w:rsidRPr="00C74E68" w:rsidRDefault="00AB1B30" w:rsidP="00740116">
            <w:pPr>
              <w:pStyle w:val="Lgendestandard"/>
            </w:pPr>
          </w:p>
          <w:p w:rsidR="00AB1B30" w:rsidRPr="00C74E68" w:rsidRDefault="00370FC0" w:rsidP="00740116">
            <w:pPr>
              <w:pStyle w:val="Lgendestandard"/>
              <w:rPr>
                <w:b/>
                <w:szCs w:val="18"/>
              </w:rPr>
            </w:pPr>
            <w:r>
              <w:rPr>
                <w:b/>
              </w:rPr>
              <w:t>Pozměňovací návrhy Parlamentu v podobě konsolidovaného textu</w:t>
            </w:r>
          </w:p>
          <w:p w:rsidR="00AB1B30" w:rsidRPr="00C74E68" w:rsidRDefault="00AB1B30" w:rsidP="00740116">
            <w:pPr>
              <w:pStyle w:val="Lgendestandard"/>
              <w:rPr>
                <w:szCs w:val="18"/>
              </w:rPr>
            </w:pPr>
          </w:p>
          <w:p w:rsidR="00AB1B30" w:rsidRPr="00C74E68" w:rsidRDefault="00370FC0" w:rsidP="00740116">
            <w:pPr>
              <w:pStyle w:val="Lgendestandard"/>
            </w:pPr>
            <w:r>
              <w:t xml:space="preserve">Nové části textu jsou označeny </w:t>
            </w:r>
            <w:r>
              <w:rPr>
                <w:b/>
                <w:i/>
              </w:rPr>
              <w:t>tučnou kurzivou</w:t>
            </w:r>
            <w:r>
              <w:t xml:space="preserve">. Vypuštěné části textu jsou označeny symbolem ▌nebo přeškrtnuty. Nahrazení se vyznačují tak, že nový text se označí </w:t>
            </w:r>
            <w:r>
              <w:rPr>
                <w:b/>
                <w:i/>
              </w:rPr>
              <w:t>tučnou kurzivou</w:t>
            </w:r>
            <w:r>
              <w:t xml:space="preserve"> a nahrazený text se vymaže nebo přeškrtne. Výjimečně se neoznačují změny výlučně technické povahy, které provedly příslušné útvary za účelem vypracování konečného znění.</w:t>
            </w:r>
          </w:p>
          <w:p w:rsidR="00AB1B30" w:rsidRPr="00C74E68" w:rsidRDefault="00AB1B30" w:rsidP="00740116">
            <w:pPr>
              <w:pStyle w:val="Lgendestandard"/>
            </w:pPr>
          </w:p>
        </w:tc>
      </w:tr>
    </w:tbl>
    <w:p w:rsidR="00AB1B30" w:rsidRPr="00C74E68" w:rsidRDefault="00AB1B30" w:rsidP="00291397"/>
    <w:p w:rsidR="00AB1B30" w:rsidRPr="00C74E68" w:rsidRDefault="00AB1B30" w:rsidP="00291397"/>
    <w:p w:rsidR="00793EA9" w:rsidRPr="00C74E68" w:rsidRDefault="00793EA9" w:rsidP="00012351">
      <w:pPr>
        <w:widowControl/>
        <w:tabs>
          <w:tab w:val="center" w:pos="4677"/>
        </w:tabs>
      </w:pPr>
    </w:p>
    <w:p w:rsidR="00793EA9" w:rsidRPr="00C74E68" w:rsidRDefault="00370FC0">
      <w:pPr>
        <w:pStyle w:val="TOCHeading"/>
      </w:pPr>
      <w:r>
        <w:br w:type="page"/>
      </w:r>
      <w:r>
        <w:lastRenderedPageBreak/>
        <w:t>OBSAH</w:t>
      </w:r>
    </w:p>
    <w:p w:rsidR="00793EA9" w:rsidRPr="00C74E68" w:rsidRDefault="00370FC0">
      <w:pPr>
        <w:pStyle w:val="TOCPage"/>
      </w:pPr>
      <w:r>
        <w:t>Strana</w:t>
      </w:r>
    </w:p>
    <w:p w:rsidR="00223397" w:rsidRDefault="00370FC0">
      <w:pPr>
        <w:pStyle w:val="TOC1"/>
        <w:tabs>
          <w:tab w:val="right" w:leader="dot" w:pos="9060"/>
        </w:tabs>
        <w:rPr>
          <w:rFonts w:asciiTheme="minorHAnsi" w:eastAsiaTheme="minorEastAsia" w:hAnsiTheme="minorHAnsi" w:cstheme="minorBidi"/>
          <w:noProof/>
          <w:sz w:val="22"/>
          <w:szCs w:val="22"/>
          <w:lang w:val="en-GB"/>
        </w:rPr>
      </w:pPr>
      <w:r w:rsidRPr="00C74E68">
        <w:rPr>
          <w:b/>
        </w:rPr>
        <w:fldChar w:fldCharType="begin"/>
      </w:r>
      <w:r w:rsidRPr="00C74E68">
        <w:rPr>
          <w:b/>
        </w:rPr>
        <w:instrText xml:space="preserve"> TOC \t "PageHeading</w:instrText>
      </w:r>
      <w:r w:rsidR="00223397">
        <w:rPr>
          <w:b/>
        </w:rPr>
        <w:instrText>;</w:instrText>
      </w:r>
      <w:r w:rsidRPr="00C74E68">
        <w:rPr>
          <w:b/>
        </w:rPr>
        <w:instrText xml:space="preserve">1" </w:instrText>
      </w:r>
      <w:r w:rsidRPr="00C74E68">
        <w:rPr>
          <w:b/>
        </w:rPr>
        <w:fldChar w:fldCharType="separate"/>
      </w:r>
      <w:r w:rsidR="00223397">
        <w:rPr>
          <w:noProof/>
        </w:rPr>
        <w:t>NÁVRH LEGISLATIVNÍHO USNESENÍ EVROPSKÉHO PARLAMENTU</w:t>
      </w:r>
      <w:r w:rsidR="00223397">
        <w:rPr>
          <w:noProof/>
        </w:rPr>
        <w:tab/>
      </w:r>
      <w:r w:rsidR="00223397">
        <w:rPr>
          <w:noProof/>
        </w:rPr>
        <w:fldChar w:fldCharType="begin"/>
      </w:r>
      <w:r w:rsidR="00223397">
        <w:rPr>
          <w:noProof/>
        </w:rPr>
        <w:instrText xml:space="preserve"> PAGEREF _Toc155686309 \h </w:instrText>
      </w:r>
      <w:r w:rsidR="00223397">
        <w:rPr>
          <w:noProof/>
        </w:rPr>
      </w:r>
      <w:r w:rsidR="00223397">
        <w:rPr>
          <w:noProof/>
        </w:rPr>
        <w:fldChar w:fldCharType="separate"/>
      </w:r>
      <w:r w:rsidR="00223397">
        <w:rPr>
          <w:noProof/>
        </w:rPr>
        <w:t>4</w:t>
      </w:r>
      <w:r w:rsidR="00223397">
        <w:rPr>
          <w:noProof/>
        </w:rPr>
        <w:fldChar w:fldCharType="end"/>
      </w:r>
    </w:p>
    <w:p w:rsidR="00223397" w:rsidRDefault="00223397">
      <w:pPr>
        <w:pStyle w:val="TOC1"/>
        <w:tabs>
          <w:tab w:val="right" w:leader="dot" w:pos="9060"/>
        </w:tabs>
        <w:rPr>
          <w:rFonts w:asciiTheme="minorHAnsi" w:eastAsiaTheme="minorEastAsia" w:hAnsiTheme="minorHAnsi" w:cstheme="minorBidi"/>
          <w:noProof/>
          <w:sz w:val="22"/>
          <w:szCs w:val="22"/>
          <w:lang w:val="en-GB"/>
        </w:rPr>
      </w:pPr>
      <w:r>
        <w:rPr>
          <w:noProof/>
        </w:rPr>
        <w:t>PŘÍLOHA: SUBJEKTY NEBO OSOBY, OD NICHŽ ZPRAVODAJKA OBDRŽELA PODNĚTY</w:t>
      </w:r>
      <w:r>
        <w:rPr>
          <w:noProof/>
        </w:rPr>
        <w:tab/>
      </w:r>
      <w:r>
        <w:rPr>
          <w:noProof/>
        </w:rPr>
        <w:fldChar w:fldCharType="begin"/>
      </w:r>
      <w:r>
        <w:rPr>
          <w:noProof/>
        </w:rPr>
        <w:instrText xml:space="preserve"> PAGEREF _Toc155686310 \h </w:instrText>
      </w:r>
      <w:r>
        <w:rPr>
          <w:noProof/>
        </w:rPr>
      </w:r>
      <w:r>
        <w:rPr>
          <w:noProof/>
        </w:rPr>
        <w:fldChar w:fldCharType="separate"/>
      </w:r>
      <w:r>
        <w:rPr>
          <w:noProof/>
        </w:rPr>
        <w:t>10</w:t>
      </w:r>
      <w:r>
        <w:rPr>
          <w:noProof/>
        </w:rPr>
        <w:fldChar w:fldCharType="end"/>
      </w:r>
    </w:p>
    <w:p w:rsidR="00223397" w:rsidRDefault="00223397">
      <w:pPr>
        <w:pStyle w:val="TOC1"/>
        <w:tabs>
          <w:tab w:val="right" w:leader="dot" w:pos="9060"/>
        </w:tabs>
        <w:rPr>
          <w:rFonts w:asciiTheme="minorHAnsi" w:eastAsiaTheme="minorEastAsia" w:hAnsiTheme="minorHAnsi" w:cstheme="minorBidi"/>
          <w:noProof/>
          <w:sz w:val="22"/>
          <w:szCs w:val="22"/>
          <w:lang w:val="en-GB"/>
        </w:rPr>
      </w:pPr>
      <w:r>
        <w:rPr>
          <w:noProof/>
        </w:rPr>
        <w:t>POSTUP V PŘÍSLUŠNÉM VÝBORU</w:t>
      </w:r>
      <w:r>
        <w:rPr>
          <w:noProof/>
        </w:rPr>
        <w:tab/>
      </w:r>
      <w:r>
        <w:rPr>
          <w:noProof/>
        </w:rPr>
        <w:fldChar w:fldCharType="begin"/>
      </w:r>
      <w:r>
        <w:rPr>
          <w:noProof/>
        </w:rPr>
        <w:instrText xml:space="preserve"> PAGEREF _Toc155686311 \h </w:instrText>
      </w:r>
      <w:r>
        <w:rPr>
          <w:noProof/>
        </w:rPr>
      </w:r>
      <w:r>
        <w:rPr>
          <w:noProof/>
        </w:rPr>
        <w:fldChar w:fldCharType="separate"/>
      </w:r>
      <w:r>
        <w:rPr>
          <w:noProof/>
        </w:rPr>
        <w:t>12</w:t>
      </w:r>
      <w:r>
        <w:rPr>
          <w:noProof/>
        </w:rPr>
        <w:fldChar w:fldCharType="end"/>
      </w:r>
    </w:p>
    <w:p w:rsidR="00223397" w:rsidRDefault="00223397">
      <w:pPr>
        <w:pStyle w:val="TOC1"/>
        <w:tabs>
          <w:tab w:val="right" w:leader="dot" w:pos="9060"/>
        </w:tabs>
        <w:rPr>
          <w:rFonts w:asciiTheme="minorHAnsi" w:eastAsiaTheme="minorEastAsia" w:hAnsiTheme="minorHAnsi" w:cstheme="minorBidi"/>
          <w:noProof/>
          <w:sz w:val="22"/>
          <w:szCs w:val="22"/>
          <w:lang w:val="en-GB"/>
        </w:rPr>
      </w:pPr>
      <w:r>
        <w:rPr>
          <w:noProof/>
        </w:rPr>
        <w:t>JMENOVITÉ KONEČNÉ HLASOVÁNÍ V PŘÍSLUŠNÉM VÝBORU</w:t>
      </w:r>
      <w:r>
        <w:rPr>
          <w:noProof/>
        </w:rPr>
        <w:tab/>
      </w:r>
      <w:r>
        <w:rPr>
          <w:noProof/>
        </w:rPr>
        <w:fldChar w:fldCharType="begin"/>
      </w:r>
      <w:r>
        <w:rPr>
          <w:noProof/>
        </w:rPr>
        <w:instrText xml:space="preserve"> PAGEREF _Toc155686312 \h </w:instrText>
      </w:r>
      <w:r>
        <w:rPr>
          <w:noProof/>
        </w:rPr>
      </w:r>
      <w:r>
        <w:rPr>
          <w:noProof/>
        </w:rPr>
        <w:fldChar w:fldCharType="separate"/>
      </w:r>
      <w:r>
        <w:rPr>
          <w:noProof/>
        </w:rPr>
        <w:t>13</w:t>
      </w:r>
      <w:r>
        <w:rPr>
          <w:noProof/>
        </w:rPr>
        <w:fldChar w:fldCharType="end"/>
      </w:r>
    </w:p>
    <w:p w:rsidR="002346B0" w:rsidRPr="00C74E68" w:rsidRDefault="00370FC0" w:rsidP="00C23324">
      <w:r w:rsidRPr="00C74E68">
        <w:rPr>
          <w:b/>
        </w:rPr>
        <w:fldChar w:fldCharType="end"/>
      </w:r>
    </w:p>
    <w:p w:rsidR="00793EA9" w:rsidRPr="00C74E68" w:rsidRDefault="00370FC0">
      <w:pPr>
        <w:pStyle w:val="PageHeading"/>
      </w:pPr>
      <w:r>
        <w:br w:type="page"/>
      </w:r>
      <w:bookmarkStart w:id="1" w:name="_Toc155686309"/>
      <w:r>
        <w:lastRenderedPageBreak/>
        <w:t>NÁVRH LEGISLATIVNÍHO USNESENÍ EVROPSKÉHO PARLAMENTU</w:t>
      </w:r>
      <w:bookmarkEnd w:id="1"/>
    </w:p>
    <w:p w:rsidR="00AB1B30" w:rsidRPr="00C74E68" w:rsidRDefault="00370FC0" w:rsidP="00AB1B30">
      <w:pPr>
        <w:pStyle w:val="NormalBold"/>
      </w:pPr>
      <w:r>
        <w:t>o návrhu směrnice Evropského parlamentu a Rady, kterou se mění směrnice 2009/65/EU, 2013/36/EU a (EU) 2019/2034, pokud jde o přístup k riziku koncentrace vůči ústředním protistranám a k riziku selhání protistrany u derivátových transakcí, jejichž clearing provádí ústřední protistrana</w:t>
      </w:r>
    </w:p>
    <w:p w:rsidR="00793EA9" w:rsidRPr="00C74E68" w:rsidRDefault="00370FC0" w:rsidP="00AB1B30">
      <w:pPr>
        <w:pStyle w:val="NormalBold12a"/>
      </w:pPr>
      <w:r>
        <w:t>(COM(2022)0698 – C9</w:t>
      </w:r>
      <w:r>
        <w:noBreakHyphen/>
        <w:t>0411/2022 – 2022/0404(COD))</w:t>
      </w:r>
    </w:p>
    <w:p w:rsidR="00793EA9" w:rsidRPr="00C74E68" w:rsidRDefault="00370FC0" w:rsidP="00A910C9">
      <w:pPr>
        <w:pStyle w:val="NormalBold"/>
      </w:pPr>
      <w:r>
        <w:t>(Řádný legislativní postup: první čtení)</w:t>
      </w:r>
    </w:p>
    <w:p w:rsidR="00793EA9" w:rsidRPr="00C74E68" w:rsidRDefault="00370FC0" w:rsidP="00A910C9">
      <w:pPr>
        <w:pStyle w:val="EPComma"/>
      </w:pPr>
      <w:r>
        <w:rPr>
          <w:i/>
        </w:rPr>
        <w:t>Evropský parlament</w:t>
      </w:r>
      <w:r>
        <w:t>,</w:t>
      </w:r>
    </w:p>
    <w:p w:rsidR="00793EA9" w:rsidRPr="00C74E68" w:rsidRDefault="00370FC0">
      <w:pPr>
        <w:pStyle w:val="NormalHanging12a"/>
      </w:pPr>
      <w:r>
        <w:t>–</w:t>
      </w:r>
      <w:r>
        <w:tab/>
        <w:t>s ohledem na návrh Komise předložený Evropskému parlamentu a Radě (COM(2022)0698),</w:t>
      </w:r>
    </w:p>
    <w:p w:rsidR="00793EA9" w:rsidRPr="00C74E68" w:rsidRDefault="00370FC0">
      <w:pPr>
        <w:pStyle w:val="NormalHanging12a"/>
      </w:pPr>
      <w:r>
        <w:t>–</w:t>
      </w:r>
      <w:r>
        <w:tab/>
        <w:t>s ohledem na čl. 294 odst. 2 a čl. 53 odst. 1  Smlouvy o fungování Evropské unie, v souladu s nimiž Komise předložila svůj návrh Parlamentu (C9</w:t>
      </w:r>
      <w:r>
        <w:noBreakHyphen/>
        <w:t>0411/2022),</w:t>
      </w:r>
    </w:p>
    <w:p w:rsidR="00A26F46" w:rsidRPr="00C74E68" w:rsidRDefault="00370FC0" w:rsidP="00A26F46">
      <w:pPr>
        <w:pStyle w:val="NormalHanging12a"/>
      </w:pPr>
      <w:r>
        <w:t>–</w:t>
      </w:r>
      <w:r>
        <w:tab/>
        <w:t>s ohledem na čl. 294 odst. 3 Smlouvy o fungování Evropské unie,</w:t>
      </w:r>
    </w:p>
    <w:p w:rsidR="00793EA9" w:rsidRPr="00C74E68" w:rsidRDefault="00370FC0">
      <w:pPr>
        <w:pStyle w:val="NormalHanging12a"/>
      </w:pPr>
      <w:r>
        <w:t>–</w:t>
      </w:r>
      <w:r>
        <w:tab/>
        <w:t>s ohledem na článek 59 jednacího řádu,</w:t>
      </w:r>
    </w:p>
    <w:p w:rsidR="006A2F5D" w:rsidRPr="00C74E68" w:rsidRDefault="00370FC0" w:rsidP="006A2F5D">
      <w:pPr>
        <w:pStyle w:val="NormalHanging12a"/>
      </w:pPr>
      <w:r>
        <w:t>–</w:t>
      </w:r>
      <w:r>
        <w:tab/>
        <w:t>s ohledem na zprávu Hospodářského a měnového výboru (A9</w:t>
      </w:r>
      <w:r>
        <w:noBreakHyphen/>
        <w:t>0399/2023),</w:t>
      </w:r>
    </w:p>
    <w:p w:rsidR="009F6C2F" w:rsidRPr="00C74E68" w:rsidRDefault="00370FC0" w:rsidP="009F6C2F">
      <w:pPr>
        <w:pStyle w:val="NormalHanging12a"/>
      </w:pPr>
      <w:r>
        <w:t>1.</w:t>
      </w:r>
      <w:r>
        <w:tab/>
        <w:t>přijímá níže uvedený postoj v prvním čtení;</w:t>
      </w:r>
    </w:p>
    <w:p w:rsidR="009F6C2F" w:rsidRPr="00C74E68" w:rsidRDefault="00370FC0" w:rsidP="00AB1B30">
      <w:pPr>
        <w:pStyle w:val="NormalHanging12a"/>
      </w:pPr>
      <w:r>
        <w:t>2.</w:t>
      </w:r>
      <w:r>
        <w:tab/>
        <w:t>vyzývá Komisi, aby věc znovu postoupila Parlamentu, jestliže svůj návrh nahradí jiným textem, podstatně jej změní nebo má v úmyslu jej podstatně změnit;</w:t>
      </w:r>
    </w:p>
    <w:p w:rsidR="009F6C2F" w:rsidRPr="00C74E68" w:rsidRDefault="00370FC0" w:rsidP="009F6C2F">
      <w:pPr>
        <w:pStyle w:val="NormalHanging12a"/>
      </w:pPr>
      <w:r>
        <w:t>3.</w:t>
      </w:r>
      <w:r>
        <w:tab/>
        <w:t>pověřuje svou předsedkyni, aby předala postoj Parlamentu Radě a Komisi, jakož i vnitrostátním parlamentům.</w:t>
      </w:r>
    </w:p>
    <w:p w:rsidR="00D30DE2" w:rsidRPr="00C74E68" w:rsidRDefault="00D30DE2" w:rsidP="00D30DE2"/>
    <w:p w:rsidR="00C74E68" w:rsidRPr="00C74E68" w:rsidRDefault="00DC1323" w:rsidP="00C74E68">
      <w:pPr>
        <w:pStyle w:val="AmNumberTabs"/>
        <w:keepNext/>
      </w:pPr>
      <w:r>
        <w:t>Pozměňovací návrh</w:t>
      </w:r>
      <w:r>
        <w:tab/>
      </w:r>
      <w:r>
        <w:tab/>
        <w:t>1</w:t>
      </w:r>
    </w:p>
    <w:p w:rsidR="00DC1323" w:rsidRDefault="00DC1323" w:rsidP="00DC1323">
      <w:pPr>
        <w:spacing w:after="240"/>
        <w:jc w:val="center"/>
        <w:rPr>
          <w:szCs w:val="24"/>
        </w:rPr>
      </w:pPr>
    </w:p>
    <w:p w:rsidR="00DC1323" w:rsidRPr="00DF38E1" w:rsidRDefault="00DC1323" w:rsidP="00DC1323">
      <w:pPr>
        <w:spacing w:after="240"/>
        <w:jc w:val="center"/>
        <w:rPr>
          <w:szCs w:val="24"/>
        </w:rPr>
      </w:pPr>
      <w:r>
        <w:t>POZMĚŇOVACÍ NÁVRHY EVROPSKÉHO PARLAMENTU*</w:t>
      </w:r>
    </w:p>
    <w:p w:rsidR="00C74E68" w:rsidRPr="00C74E68" w:rsidRDefault="00DC1323" w:rsidP="00DC1323">
      <w:pPr>
        <w:pStyle w:val="NormalCenter12a"/>
      </w:pPr>
      <w:r>
        <w:t>k návrhu Komise</w:t>
      </w:r>
    </w:p>
    <w:p w:rsidR="00C74E68" w:rsidRPr="00C74E68" w:rsidRDefault="00C74E68" w:rsidP="00C74E68">
      <w:pPr>
        <w:pStyle w:val="NormalCenter12a"/>
      </w:pPr>
      <w:r>
        <w:t>---------------------------------------------------------</w:t>
      </w:r>
    </w:p>
    <w:p w:rsidR="00C74E68" w:rsidRPr="00C74E68" w:rsidRDefault="00C74E68" w:rsidP="00C74E68">
      <w:pPr>
        <w:pStyle w:val="Rfrenceinterinstitutionnelle"/>
        <w:rPr>
          <w:noProof/>
        </w:rPr>
      </w:pPr>
      <w:r>
        <w:t>2022/0404 (COD)</w:t>
      </w:r>
    </w:p>
    <w:p w:rsidR="00C74E68" w:rsidRPr="00C74E68" w:rsidRDefault="00DC1323" w:rsidP="00C74E68">
      <w:pPr>
        <w:pStyle w:val="Statut"/>
        <w:rPr>
          <w:noProof/>
        </w:rPr>
      </w:pPr>
      <w:r>
        <w:t>Návrh</w:t>
      </w:r>
    </w:p>
    <w:p w:rsidR="00C74E68" w:rsidRPr="00C74E68" w:rsidRDefault="00DC1323" w:rsidP="00C74E68">
      <w:pPr>
        <w:pStyle w:val="Typedudocument"/>
        <w:rPr>
          <w:noProof/>
        </w:rPr>
      </w:pPr>
      <w:r>
        <w:t>SMĚRNICE EVROPSKÉHO PARLAMENTU A RADY,</w:t>
      </w:r>
    </w:p>
    <w:p w:rsidR="00C74E68" w:rsidRPr="00C74E68" w:rsidRDefault="00C74E68" w:rsidP="00C74E68">
      <w:pPr>
        <w:pStyle w:val="Titreobjet"/>
        <w:rPr>
          <w:noProof/>
        </w:rPr>
      </w:pPr>
      <w:r>
        <w:lastRenderedPageBreak/>
        <w:t>kterou se mění směrnice 2009/65/EU, 2013/36/EU a (EU) 2019/2034, pokud jde o přístup k riziku koncentrace vůči ústředním protistranám a k riziku selhání protistrany u derivátových transakcí, jejichž clearing provádí ústřední protistrana</w:t>
      </w:r>
    </w:p>
    <w:p w:rsidR="00C74E68" w:rsidRPr="00C74E68" w:rsidRDefault="00C74E68" w:rsidP="00C74E68">
      <w:pPr>
        <w:pStyle w:val="IntrtEEE"/>
        <w:rPr>
          <w:noProof/>
        </w:rPr>
      </w:pPr>
      <w:r>
        <w:t>(Text s významem pro EHP)</w:t>
      </w:r>
    </w:p>
    <w:p w:rsidR="00C74E68" w:rsidRPr="00C74E68" w:rsidRDefault="00DC1323" w:rsidP="00C74E68">
      <w:pPr>
        <w:pStyle w:val="Institutionquiagit"/>
        <w:rPr>
          <w:noProof/>
        </w:rPr>
      </w:pPr>
      <w:r>
        <w:t>EVROPSKÝ PARLAMENT A RADA EVROPSKÉ UNIE,</w:t>
      </w:r>
    </w:p>
    <w:p w:rsidR="00C74E68" w:rsidRPr="00C74E68" w:rsidRDefault="00C74E68" w:rsidP="006E11D3">
      <w:pPr>
        <w:shd w:val="clear" w:color="auto" w:fill="FFFFFF" w:themeFill="background1"/>
        <w:spacing w:line="360" w:lineRule="auto"/>
        <w:rPr>
          <w:noProof/>
          <w:color w:val="333333"/>
          <w:szCs w:val="24"/>
        </w:rPr>
      </w:pPr>
      <w:r>
        <w:rPr>
          <w:color w:val="333333"/>
        </w:rPr>
        <w:t>s ohledem na Smlouvu o fungování Evropské unie, a zejména na čl. 53 odst. 1 této smlouvy,</w:t>
      </w:r>
    </w:p>
    <w:p w:rsidR="00C74E68" w:rsidRPr="00C74E68" w:rsidRDefault="00DC1323" w:rsidP="006E11D3">
      <w:pPr>
        <w:shd w:val="clear" w:color="auto" w:fill="FFFFFF" w:themeFill="background1"/>
        <w:spacing w:line="360" w:lineRule="auto"/>
        <w:rPr>
          <w:noProof/>
          <w:color w:val="333333"/>
          <w:szCs w:val="24"/>
        </w:rPr>
      </w:pPr>
      <w:r>
        <w:t>s ohledem na návrh Evropské komise,</w:t>
      </w:r>
    </w:p>
    <w:p w:rsidR="00C74E68" w:rsidRPr="00C74E68" w:rsidRDefault="00DC1323" w:rsidP="006E11D3">
      <w:pPr>
        <w:shd w:val="clear" w:color="auto" w:fill="FFFFFF" w:themeFill="background1"/>
        <w:spacing w:line="360" w:lineRule="auto"/>
        <w:rPr>
          <w:noProof/>
          <w:color w:val="333333"/>
          <w:szCs w:val="24"/>
        </w:rPr>
      </w:pPr>
      <w:r>
        <w:t>po postoupení návrhu legislativního aktu vnitrostátním parlamentům,</w:t>
      </w:r>
    </w:p>
    <w:p w:rsidR="00C74E68" w:rsidRPr="00C74E68" w:rsidRDefault="00C74E68" w:rsidP="006E11D3">
      <w:pPr>
        <w:shd w:val="clear" w:color="auto" w:fill="FFFFFF" w:themeFill="background1"/>
        <w:spacing w:line="360" w:lineRule="auto"/>
        <w:rPr>
          <w:noProof/>
          <w:color w:val="333333"/>
          <w:szCs w:val="24"/>
        </w:rPr>
      </w:pPr>
      <w:r>
        <w:rPr>
          <w:color w:val="333333"/>
        </w:rPr>
        <w:t>s ohledem na stanovisko Evropské centrální banky</w:t>
      </w:r>
      <w:r w:rsidRPr="00C74E68">
        <w:rPr>
          <w:rStyle w:val="FootnoteReference"/>
          <w:noProof/>
          <w:color w:val="333333"/>
          <w:szCs w:val="24"/>
        </w:rPr>
        <w:footnoteReference w:id="1"/>
      </w:r>
      <w:r>
        <w:rPr>
          <w:color w:val="333333"/>
        </w:rPr>
        <w:t>,</w:t>
      </w:r>
    </w:p>
    <w:p w:rsidR="00C74E68" w:rsidRPr="00C74E68" w:rsidRDefault="00DC1323" w:rsidP="006E11D3">
      <w:pPr>
        <w:shd w:val="clear" w:color="auto" w:fill="FFFFFF" w:themeFill="background1"/>
        <w:spacing w:line="360" w:lineRule="auto"/>
        <w:rPr>
          <w:noProof/>
          <w:color w:val="333333"/>
          <w:szCs w:val="24"/>
        </w:rPr>
      </w:pPr>
      <w:r>
        <w:t>v souladu s řádným legislativním postupem</w:t>
      </w:r>
      <w:r w:rsidR="00C74E68" w:rsidRPr="00C74E68">
        <w:rPr>
          <w:rStyle w:val="FootnoteReference"/>
          <w:noProof/>
          <w:color w:val="333333"/>
          <w:szCs w:val="24"/>
        </w:rPr>
        <w:footnoteReference w:id="2"/>
      </w:r>
      <w:r>
        <w:rPr>
          <w:color w:val="333333"/>
        </w:rPr>
        <w:t>,</w:t>
      </w:r>
    </w:p>
    <w:p w:rsidR="00C74E68" w:rsidRPr="00C74E68" w:rsidRDefault="00DC1323" w:rsidP="006E11D3">
      <w:pPr>
        <w:spacing w:line="360" w:lineRule="auto"/>
        <w:rPr>
          <w:rFonts w:eastAsiaTheme="minorHAnsi"/>
          <w:noProof/>
          <w:szCs w:val="22"/>
        </w:rPr>
      </w:pPr>
      <w:r>
        <w:t>vzhledem k těmto důvodům:</w:t>
      </w:r>
    </w:p>
    <w:p w:rsidR="00C74E68" w:rsidRPr="00C74E68" w:rsidRDefault="00C74E68" w:rsidP="00C74E68">
      <w:pPr>
        <w:pStyle w:val="ManualConsidrant"/>
        <w:rPr>
          <w:noProof/>
        </w:rPr>
      </w:pPr>
      <w:r>
        <w:t>(1)</w:t>
      </w:r>
      <w:r>
        <w:tab/>
        <w:t>Aby byl zajištěn soulad s nařízením (EU) č. 648/2012 a řádné fungování vnitřního trhu, je nutné ve směrnici 2009/65/EU stanovit jednotný soubor pravidel pro řešení rizika selhání protistrany při derivátových transakcích prováděných subjekty kolektivního investování do převoditelných cenných papírů (SKIPCP) pokud clearing těchto obchodů provedla ústřední protistrana, která je povolena nebo uznána podle uvedeného nařízení. Směrnice 2009/65/EU ukládá regulační limity rizika protistrany pouze pro obchody s OTC deriváty bez ohledu na to, zda byl proveden clearing těchto derivátů ústřední protistranou. Vzhledem k tomu, že ujednání o centrálním clearingu zmírňují riziko selhání protistrany, které je derivátovým smlouvám vlastní, je při určování použitelných limitů rizika selhání protistrany nutno zohlednit to, zda ústřední clearing derivátu provádí ústřední protistrana, která je povolena nebo uznána podle uvedeného nařízení, a vytvořit rovné podmínky pro deriváty obchodované na burze a OTC deriváty. Pro účely regulace a harmonizace je rovněž nezbytné zrušit limity rizika selhání protistrany pouze v případě, že smluvní strany využívají k poskytování clearingových služeb členům clearingového systému a jejich klientům ústřední protistrany, které jsou povoleny v určitém členském státě nebo uznány v souladu s nařízením (EU) č. 648/2012.</w:t>
      </w:r>
    </w:p>
    <w:p w:rsidR="00C74E68" w:rsidRPr="00C74E68" w:rsidRDefault="00C74E68" w:rsidP="00C74E68">
      <w:pPr>
        <w:pStyle w:val="ManualConsidrant"/>
        <w:rPr>
          <w:noProof/>
          <w:color w:val="333333"/>
        </w:rPr>
      </w:pPr>
      <w:r>
        <w:t>(2)</w:t>
      </w:r>
      <w:r>
        <w:tab/>
        <w:t>Pro účely přispění k plnění cílů unie kapitálových trhů je v zájmu účinného využívání ústředních protistran nezbytné řešit některé překážky používání centrálního clearingu ve směrnici 2009/65/EU a poskytnout objasnění ve směrnicích 2013/36/EU a (EU) 2019/2034.</w:t>
      </w:r>
      <w:r>
        <w:rPr>
          <w:color w:val="333333"/>
        </w:rPr>
        <w:t xml:space="preserve"> Nadměrná závislost finančního systému Unie na systémově významných ústředních protistranách ze třetích zemí (ústřední protistrany tier 2) by mohla vyvolat obavy o finanční stabilitu, které je třeba náležitě řešit. V zájmu zajištění finanční stability v Unii a přiměřeného zmírnění potenciálních rizik rychlého rozšíření do celého finančního systému Unie by proto měla být zavedena vhodná opatření na podporu identifikace, řízení a monitorování rizika koncentrace vyplývajícího z expozic vůči </w:t>
      </w:r>
      <w:r>
        <w:rPr>
          <w:color w:val="333333"/>
        </w:rPr>
        <w:lastRenderedPageBreak/>
        <w:t xml:space="preserve">ústředním protistranám. V této souvislosti by měly být změněny směrnice 2013/36/EU a (EU) 2019/2034 s cílem podpořit instituce a investiční podniky v přijímání kroků nezbytných k úpravě jejich obchodního modelu s cílem zajistit soulad s novými požadavky na clearing zavedenými revizí nařízení (EU) č. 648/2012 a celkově zlepšit jejich postupy řízení rizik, a to i s ohledem na povahu, rozsah a složitost jejich činností na trhu. </w:t>
      </w:r>
      <w:r>
        <w:rPr>
          <w:b/>
          <w:bCs/>
          <w:i/>
          <w:iCs/>
        </w:rPr>
        <w:t>Směrnice 2013/36/EU a (EU) 2019/2034 by měly být dále změněny tak, aby přesněji vyjasnily úlohu příslušných orgánů při řešení nadměrného rizika koncentrace, které by mohlo vzniknout v důsledku expozice úvěrových institucí a investičních podniků podléhajících jejich dohledu vůči ústředním protistranám, zejména vůči ústředním protistranám ze třetích zemí, které mají pro Unii nebo jeden či více jejích členských států značný systémový význam a které nabízejí služby, jež Evropský orgán pro cenné papíry a trhy (ESMA) označil za služby podstatného systémového významu.</w:t>
      </w:r>
      <w:r>
        <w:rPr>
          <w:b/>
          <w:i/>
        </w:rPr>
        <w:t xml:space="preserve"> </w:t>
      </w:r>
      <w:r>
        <w:rPr>
          <w:b/>
          <w:bCs/>
          <w:i/>
          <w:iCs/>
        </w:rPr>
        <w:t xml:space="preserve">Kromě toho by </w:t>
      </w:r>
      <w:r>
        <w:t>příslušné orgány</w:t>
      </w:r>
      <w:r>
        <w:rPr>
          <w:b/>
          <w:bCs/>
          <w:i/>
          <w:iCs/>
        </w:rPr>
        <w:t xml:space="preserve"> měly být v rámci pilíře 2</w:t>
      </w:r>
      <w:r>
        <w:t xml:space="preserve"> lépe vybaveny dalšími podrobnějšími nástroji a pravomocemi, aby mohly přijímat vhodná opatření na základě závěrů posouzení svých orgánů dohledu.</w:t>
      </w:r>
    </w:p>
    <w:p w:rsidR="00C74E68" w:rsidRPr="00C74E68" w:rsidRDefault="00C74E68" w:rsidP="00C74E68">
      <w:pPr>
        <w:pStyle w:val="ManualConsidrant"/>
        <w:rPr>
          <w:b/>
          <w:i/>
          <w:noProof/>
          <w:color w:val="333333"/>
        </w:rPr>
      </w:pPr>
      <w:r>
        <w:rPr>
          <w:b/>
          <w:i/>
        </w:rPr>
        <w:t>(2a)</w:t>
      </w:r>
      <w:r>
        <w:rPr>
          <w:b/>
          <w:i/>
        </w:rPr>
        <w:tab/>
        <w:t>Příslušné orgány by měly být zmocněny k přezkumu plánů, které musejí vypracovat úvěrové instituce a investiční podniky, přičemž přihlížejí k metodice pro kalibraci požadavku na aktivní účet. Za účelem náležitého přezkumu těchto plánů by měly mít příslušné orgány k dispozici podrobné informace o úrovni clearingových služeb, jež byly označeny za služby podstatného systémového významu, které mají finanční a nefinanční smluvní strany podléhající povinnosti clearingu podle čl. 7a odst. 5 nařízení (EU) č. 648/2012 udržovat na aktivních účtech ústředních protistran z Unie.</w:t>
      </w:r>
    </w:p>
    <w:p w:rsidR="00C74E68" w:rsidRPr="00C74E68" w:rsidRDefault="00C74E68" w:rsidP="00C74E68">
      <w:pPr>
        <w:pStyle w:val="ManualConsidrant"/>
        <w:rPr>
          <w:noProof/>
        </w:rPr>
      </w:pPr>
      <w:r>
        <w:t>(3)</w:t>
      </w:r>
      <w:r>
        <w:tab/>
        <w:t xml:space="preserve">Směrnice 2009/65/EU, 2013/36/EU a (EU) 2019/2034 by proto měly být odpovídajícím způsobem změněny. </w:t>
      </w:r>
    </w:p>
    <w:p w:rsidR="00C74E68" w:rsidRPr="00C74E68" w:rsidRDefault="00C74E68" w:rsidP="00C74E68">
      <w:pPr>
        <w:pStyle w:val="ManualConsidrant"/>
        <w:rPr>
          <w:noProof/>
        </w:rPr>
      </w:pPr>
      <w:r>
        <w:t>(4)</w:t>
      </w:r>
      <w:r>
        <w:tab/>
        <w:t>Vzhledem k tomu, že cílů této směrnice, totiž zajistit, aby úvěrové instituce, investiční podniky a jejich příslušné orgány náležitě sledovaly a zmírňovaly riziko koncentrace vyplývající z expozic vůči ústředním protistranám tier 2, které poskytují služby podstatného systémového významu, a odstranit limity rizika selhání protistrany pro derivátové transakce, jejichž clearing provádí ústřední protistrana povolená nebo uznaná v souladu s nařízením (EU) č. 648/2012, nemůže být uspokojivě dosaženo na úrovni členských států, nýbrž jich může být z důvodu jejich rozsahu a účinků lépe dosaženo na úrovni Unie, může Unie přijmout opatření v souladu se zásadou subsidiarity stanovenou v článku 5 Smlouvy o Evropské unii. V souladu se zásadou proporcionality stanovenou v uvedeném článku nepřekračuje tato směrnice rámec toho, co je nezbytné pro dosažení těchto cílů,</w:t>
      </w:r>
    </w:p>
    <w:p w:rsidR="00C74E68" w:rsidRPr="00C74E68" w:rsidRDefault="00C74E68" w:rsidP="00C74E68">
      <w:pPr>
        <w:pStyle w:val="ManualConsidrant"/>
        <w:rPr>
          <w:noProof/>
        </w:rPr>
      </w:pPr>
    </w:p>
    <w:p w:rsidR="00C74E68" w:rsidRPr="00C74E68" w:rsidRDefault="00C74E68" w:rsidP="00C74E68">
      <w:pPr>
        <w:pStyle w:val="Formuledadoption"/>
        <w:rPr>
          <w:noProof/>
        </w:rPr>
      </w:pPr>
      <w:r>
        <w:t>PŘIJALY TUTO SMĚRNICI:</w:t>
      </w:r>
    </w:p>
    <w:p w:rsidR="00C74E68" w:rsidRPr="00C74E68" w:rsidRDefault="006E11D3" w:rsidP="00C74E68">
      <w:pPr>
        <w:pStyle w:val="Titrearticle"/>
        <w:rPr>
          <w:noProof/>
        </w:rPr>
      </w:pPr>
      <w:r>
        <w:t>Článek 1</w:t>
      </w:r>
    </w:p>
    <w:p w:rsidR="00C74E68" w:rsidRPr="00C74E68" w:rsidRDefault="00C74E68" w:rsidP="00C74E68">
      <w:pPr>
        <w:pStyle w:val="Titrearticle"/>
        <w:spacing w:before="120"/>
        <w:rPr>
          <w:noProof/>
        </w:rPr>
      </w:pPr>
      <w:r>
        <w:rPr>
          <w:b/>
          <w:i w:val="0"/>
        </w:rPr>
        <w:t>Změny směrnice 2009/65/ES</w:t>
      </w:r>
      <w:r>
        <w:t xml:space="preserve"> </w:t>
      </w:r>
    </w:p>
    <w:p w:rsidR="00C74E68" w:rsidRPr="00C74E68" w:rsidRDefault="00C74E68" w:rsidP="00C74E68">
      <w:pPr>
        <w:pStyle w:val="NoSpacing"/>
        <w:rPr>
          <w:rFonts w:eastAsia="Times New Roman"/>
          <w:b/>
          <w:noProof/>
          <w:szCs w:val="24"/>
        </w:rPr>
      </w:pPr>
      <w:r>
        <w:t>Směrnice 2009/65/ES se mění takto:</w:t>
      </w:r>
    </w:p>
    <w:p w:rsidR="00C74E68" w:rsidRPr="00C74E68" w:rsidRDefault="00C74E68" w:rsidP="00C74E68">
      <w:pPr>
        <w:shd w:val="clear" w:color="auto" w:fill="FFFFFF" w:themeFill="background1"/>
        <w:tabs>
          <w:tab w:val="left" w:pos="567"/>
        </w:tabs>
        <w:spacing w:line="312" w:lineRule="atLeast"/>
        <w:rPr>
          <w:noProof/>
          <w:color w:val="333333"/>
          <w:szCs w:val="24"/>
        </w:rPr>
      </w:pPr>
      <w:r>
        <w:rPr>
          <w:color w:val="333333"/>
        </w:rPr>
        <w:t>1)</w:t>
      </w:r>
      <w:r>
        <w:rPr>
          <w:color w:val="333333"/>
        </w:rPr>
        <w:tab/>
        <w:t>v čl. 2 odst. 1 se doplňuje nové písmeno u), které zní:</w:t>
      </w:r>
    </w:p>
    <w:p w:rsidR="00C74E68" w:rsidRPr="00C74E68" w:rsidRDefault="006E11D3" w:rsidP="00C74E68">
      <w:pPr>
        <w:shd w:val="clear" w:color="auto" w:fill="FFFFFF" w:themeFill="background1"/>
        <w:spacing w:line="312" w:lineRule="atLeast"/>
        <w:ind w:left="1134" w:hanging="567"/>
        <w:rPr>
          <w:noProof/>
          <w:color w:val="333333"/>
          <w:szCs w:val="24"/>
        </w:rPr>
      </w:pPr>
      <w:r>
        <w:rPr>
          <w:color w:val="333333"/>
        </w:rPr>
        <w:t>„</w:t>
      </w:r>
      <w:r>
        <w:t>u</w:t>
      </w:r>
      <w:r>
        <w:rPr>
          <w:color w:val="333333"/>
        </w:rPr>
        <w:t>)</w:t>
      </w:r>
      <w:r>
        <w:rPr>
          <w:color w:val="333333"/>
        </w:rPr>
        <w:tab/>
      </w:r>
      <w:r>
        <w:t>„ústřední protistranou“ ústřední protistrana ve smyslu čl. 2 bodu 1 nařízení Evropského parlamentu a Rady (EU) č. 648/2012*</w:t>
      </w:r>
      <w:r>
        <w:rPr>
          <w:vertAlign w:val="superscript"/>
        </w:rPr>
        <w:t>2</w:t>
      </w:r>
      <w:r>
        <w:t>.</w:t>
      </w:r>
    </w:p>
    <w:p w:rsidR="00C74E68" w:rsidRPr="00C74E68" w:rsidRDefault="00C74E68" w:rsidP="00C74E68">
      <w:pPr>
        <w:ind w:left="1134"/>
        <w:rPr>
          <w:rFonts w:eastAsiaTheme="minorHAnsi"/>
          <w:noProof/>
          <w:szCs w:val="24"/>
        </w:rPr>
      </w:pPr>
      <w:r>
        <w:lastRenderedPageBreak/>
        <w:t>___________</w:t>
      </w:r>
    </w:p>
    <w:p w:rsidR="00C74E68" w:rsidRPr="00C74E68" w:rsidRDefault="00C74E68" w:rsidP="00C74E68">
      <w:pPr>
        <w:shd w:val="clear" w:color="auto" w:fill="FFFFFF" w:themeFill="background1"/>
        <w:spacing w:line="312" w:lineRule="atLeast"/>
        <w:ind w:left="1701" w:hanging="555"/>
        <w:rPr>
          <w:noProof/>
          <w:color w:val="333333"/>
          <w:sz w:val="20"/>
        </w:rPr>
      </w:pPr>
      <w:r>
        <w:rPr>
          <w:sz w:val="20"/>
          <w:vertAlign w:val="superscript"/>
        </w:rPr>
        <w:t>*2</w:t>
      </w:r>
      <w:r>
        <w:rPr>
          <w:sz w:val="20"/>
          <w:vertAlign w:val="superscript"/>
        </w:rPr>
        <w:tab/>
      </w:r>
      <w:r>
        <w:rPr>
          <w:sz w:val="20"/>
        </w:rPr>
        <w:t>Nařízení Evropského parlamentu a Rady (EU) č. 648/2012 ze dne 4. července 2012 o OTC derivátech, ústředních protistranách a registrech obchodních údajů (Úř. věst. L 201, 27.7.2012, s. 1).“;</w:t>
      </w:r>
    </w:p>
    <w:p w:rsidR="00C74E68" w:rsidRPr="00C74E68" w:rsidRDefault="00C74E68" w:rsidP="00C74E68">
      <w:pPr>
        <w:shd w:val="clear" w:color="auto" w:fill="FFFFFF" w:themeFill="background1"/>
        <w:tabs>
          <w:tab w:val="left" w:pos="567"/>
        </w:tabs>
        <w:spacing w:line="312" w:lineRule="atLeast"/>
        <w:rPr>
          <w:noProof/>
          <w:color w:val="333333"/>
          <w:szCs w:val="24"/>
        </w:rPr>
      </w:pPr>
      <w:r>
        <w:rPr>
          <w:color w:val="333333"/>
        </w:rPr>
        <w:t>2)</w:t>
      </w:r>
      <w:r>
        <w:rPr>
          <w:color w:val="333333"/>
        </w:rPr>
        <w:tab/>
        <w:t>článek 52 se mění takto:</w:t>
      </w:r>
    </w:p>
    <w:p w:rsidR="00C74E68" w:rsidRPr="00C74E68" w:rsidRDefault="00C74E68" w:rsidP="00C74E68">
      <w:pPr>
        <w:shd w:val="clear" w:color="auto" w:fill="FFFFFF" w:themeFill="background1"/>
        <w:spacing w:line="312" w:lineRule="atLeast"/>
        <w:ind w:left="1134" w:hanging="567"/>
        <w:rPr>
          <w:noProof/>
          <w:szCs w:val="24"/>
        </w:rPr>
      </w:pPr>
      <w:r>
        <w:rPr>
          <w:color w:val="333333"/>
        </w:rPr>
        <w:t>a)</w:t>
      </w:r>
      <w:r>
        <w:rPr>
          <w:color w:val="333333"/>
        </w:rPr>
        <w:tab/>
      </w:r>
      <w:r>
        <w:t>v druhém pododstavci odstavce 1 se uvozující věta nahrazuje tímto:</w:t>
      </w:r>
    </w:p>
    <w:p w:rsidR="00C74E68" w:rsidRPr="00C74E68" w:rsidRDefault="00C74E68" w:rsidP="00C74E68">
      <w:pPr>
        <w:shd w:val="clear" w:color="auto" w:fill="FFFFFF" w:themeFill="background1"/>
        <w:spacing w:line="312" w:lineRule="atLeast"/>
        <w:ind w:left="1134"/>
        <w:rPr>
          <w:rFonts w:eastAsiaTheme="minorHAnsi"/>
          <w:noProof/>
          <w:szCs w:val="24"/>
        </w:rPr>
      </w:pPr>
      <w:r>
        <w:t>„Riziko selhání protistrany při transakcích SKIPCP s deriváty, jejichž clearing neprovádí ústřední protistrana, jíž bylo vydáno povolení v souladu s článkem 14 nařízení (EU) č. 648/2012 nebo která je uznána v souladu s článkem 25 uvedeného nařízení, nesmí překročit ani jeden z těchto procentních podílů:“;</w:t>
      </w:r>
    </w:p>
    <w:p w:rsidR="00C74E68" w:rsidRPr="00C74E68" w:rsidRDefault="00C74E68" w:rsidP="00C74E68">
      <w:pPr>
        <w:shd w:val="clear" w:color="auto" w:fill="FFFFFF" w:themeFill="background1"/>
        <w:spacing w:line="276" w:lineRule="auto"/>
        <w:ind w:left="1134" w:hanging="567"/>
        <w:rPr>
          <w:noProof/>
          <w:szCs w:val="24"/>
        </w:rPr>
      </w:pPr>
      <w:r>
        <w:t>b)</w:t>
      </w:r>
      <w:r>
        <w:tab/>
        <w:t>odstavec 2 se mění takto:</w:t>
      </w:r>
    </w:p>
    <w:p w:rsidR="00C74E68" w:rsidRPr="00C74E68" w:rsidRDefault="00C74E68" w:rsidP="00C74E68">
      <w:pPr>
        <w:shd w:val="clear" w:color="auto" w:fill="FFFFFF" w:themeFill="background1"/>
        <w:spacing w:line="276" w:lineRule="auto"/>
        <w:ind w:left="1701" w:hanging="567"/>
        <w:rPr>
          <w:noProof/>
          <w:szCs w:val="24"/>
        </w:rPr>
      </w:pPr>
      <w:r>
        <w:t>i)</w:t>
      </w:r>
      <w:r>
        <w:tab/>
        <w:t>první pododstavec se nahrazuje tímto:</w:t>
      </w:r>
    </w:p>
    <w:p w:rsidR="00C74E68" w:rsidRPr="00C74E68" w:rsidRDefault="00C74E68" w:rsidP="00C74E68">
      <w:pPr>
        <w:spacing w:line="276" w:lineRule="auto"/>
        <w:ind w:left="1701"/>
        <w:rPr>
          <w:noProof/>
          <w:szCs w:val="24"/>
        </w:rPr>
      </w:pPr>
      <w:r>
        <w:t>„Členské státy mohou limit ve výši 5 % stanovený v odst. 1 prvním pododstavci zvýšit nejvýše na 10 %. Pokud tak učiní, nesmí celková hodnota převoditelných cenných papírů a nástrojů peněžního trhu, které SKIPCP drží v emitentech, do nichž investuje více než 5 % svých aktiv, překročit 40 % hodnoty jeho aktiv. Toto omezení se netýká vkladů nebo transakcí s OTC deriváty, které se realizují s finančními institucemi podléhajícími obezřetnostnímu dohledu.“</w:t>
      </w:r>
    </w:p>
    <w:p w:rsidR="00C74E68" w:rsidRPr="00C74E68" w:rsidRDefault="00C74E68" w:rsidP="00C74E68">
      <w:pPr>
        <w:ind w:left="1701" w:hanging="567"/>
        <w:rPr>
          <w:noProof/>
          <w:szCs w:val="24"/>
        </w:rPr>
      </w:pPr>
      <w:r>
        <w:t>ii)</w:t>
      </w:r>
      <w:r>
        <w:tab/>
        <w:t>ve druhém pododstavci se písmeno c) nahrazuje tímto:</w:t>
      </w:r>
    </w:p>
    <w:p w:rsidR="00C74E68" w:rsidRPr="00C74E68" w:rsidRDefault="00C74E68" w:rsidP="00C74E68">
      <w:pPr>
        <w:ind w:left="1701"/>
        <w:rPr>
          <w:noProof/>
          <w:szCs w:val="24"/>
        </w:rPr>
      </w:pPr>
      <w:r>
        <w:t>„c) rizika vyplývající z transakcí s deriváty s tímto subjektem, jejichž clearing neprovádí ústřední protistrana, jíž bylo vydáno povolení v souladu s článkem 14 nařízení (EU) č. 648/2012 nebo která je uznána v souladu s článkem 25 uvedeného nařízení.“</w:t>
      </w:r>
    </w:p>
    <w:p w:rsidR="00C74E68" w:rsidRPr="00C74E68" w:rsidRDefault="006E11D3" w:rsidP="00C74E68">
      <w:pPr>
        <w:pStyle w:val="Titrearticle"/>
        <w:rPr>
          <w:noProof/>
        </w:rPr>
      </w:pPr>
      <w:r>
        <w:t>Článek 2</w:t>
      </w:r>
    </w:p>
    <w:p w:rsidR="00C74E68" w:rsidRPr="00C74E68" w:rsidRDefault="00C74E68" w:rsidP="00C74E68">
      <w:pPr>
        <w:pStyle w:val="Titrearticle"/>
        <w:rPr>
          <w:noProof/>
        </w:rPr>
      </w:pPr>
      <w:bookmarkStart w:id="2" w:name="_Hlk116294275"/>
      <w:r>
        <w:rPr>
          <w:b/>
          <w:i w:val="0"/>
        </w:rPr>
        <w:t>Změny směrnice 2013/36/EU</w:t>
      </w:r>
      <w:r>
        <w:t xml:space="preserve"> </w:t>
      </w:r>
      <w:bookmarkEnd w:id="2"/>
    </w:p>
    <w:p w:rsidR="00C74E68" w:rsidRPr="00C74E68" w:rsidRDefault="00C74E68" w:rsidP="00C74E68">
      <w:pPr>
        <w:keepNext/>
        <w:keepLines/>
        <w:spacing w:before="240"/>
        <w:outlineLvl w:val="0"/>
        <w:rPr>
          <w:noProof/>
          <w:szCs w:val="24"/>
        </w:rPr>
      </w:pPr>
      <w:r>
        <w:t xml:space="preserve">Směrnice 2013/36/EU se mění takto: </w:t>
      </w:r>
    </w:p>
    <w:p w:rsidR="00C74E68" w:rsidRPr="00C74E68" w:rsidRDefault="00C74E68" w:rsidP="00C74E68">
      <w:pPr>
        <w:tabs>
          <w:tab w:val="left" w:pos="567"/>
        </w:tabs>
        <w:rPr>
          <w:rFonts w:eastAsiaTheme="minorHAnsi"/>
          <w:noProof/>
          <w:szCs w:val="24"/>
        </w:rPr>
      </w:pPr>
      <w:r>
        <w:t>1)</w:t>
      </w:r>
      <w:r>
        <w:tab/>
        <w:t>v čl. 74 odst. 1 se [písm. b)] nahrazuje tímto:</w:t>
      </w:r>
    </w:p>
    <w:p w:rsidR="00C74E68" w:rsidRPr="00C74E68" w:rsidRDefault="00C74E68" w:rsidP="00C74E68">
      <w:pPr>
        <w:rPr>
          <w:noProof/>
          <w:szCs w:val="22"/>
        </w:rPr>
      </w:pPr>
      <w:r>
        <w:t>„[b)] účinnými postupy pro identifikaci, řízení, sledování a hlášení rizik, jimž instituce je nebo může být vystavena v krátkodobém, střednědobém a dlouhodobém časovém horizontu, včetně environmentálních a sociálních rizik a rizik v oblasti správy a řízení, jakož i rizika koncentrace vyplývajícího z expozic vůči ústředním protistranám, s přihlédnutím k podmínkám stanoveným v článku 7a nařízení Evropského parlamentu a Rady (EU) č. 648/2012</w:t>
      </w:r>
      <w:r>
        <w:rPr>
          <w:vertAlign w:val="superscript"/>
        </w:rPr>
        <w:t>*1</w:t>
      </w:r>
      <w:r>
        <w:t>.”</w:t>
      </w:r>
    </w:p>
    <w:p w:rsidR="00C74E68" w:rsidRPr="00C74E68" w:rsidRDefault="00C74E68" w:rsidP="00C74E68">
      <w:pPr>
        <w:ind w:left="1134" w:hanging="567"/>
        <w:rPr>
          <w:noProof/>
          <w:sz w:val="20"/>
        </w:rPr>
      </w:pPr>
      <w:r>
        <w:rPr>
          <w:sz w:val="20"/>
        </w:rPr>
        <w:t>___________</w:t>
      </w:r>
    </w:p>
    <w:p w:rsidR="00C74E68" w:rsidRPr="00C74E68" w:rsidRDefault="00C74E68" w:rsidP="00C74E68">
      <w:pPr>
        <w:ind w:left="1134" w:hanging="567"/>
        <w:rPr>
          <w:noProof/>
          <w:sz w:val="20"/>
        </w:rPr>
      </w:pPr>
      <w:r>
        <w:rPr>
          <w:sz w:val="20"/>
          <w:vertAlign w:val="superscript"/>
        </w:rPr>
        <w:t>*1</w:t>
      </w:r>
      <w:r>
        <w:rPr>
          <w:sz w:val="20"/>
          <w:vertAlign w:val="superscript"/>
        </w:rPr>
        <w:tab/>
      </w:r>
      <w:r>
        <w:rPr>
          <w:sz w:val="20"/>
        </w:rPr>
        <w:t>Nařízení Evropského parlamentu a Rady (EU) č. 648/2012 ze dne 4. července 2012 o OTC derivátech, ústředních protistranách a registrech obchodních údajů (Úř. věst. L 201, 27.7.2012, s. 1).“;</w:t>
      </w:r>
    </w:p>
    <w:p w:rsidR="00C74E68" w:rsidRPr="00C74E68" w:rsidRDefault="00C74E68" w:rsidP="00C74E68">
      <w:pPr>
        <w:tabs>
          <w:tab w:val="left" w:pos="567"/>
        </w:tabs>
        <w:rPr>
          <w:noProof/>
          <w:szCs w:val="24"/>
        </w:rPr>
      </w:pPr>
      <w:r>
        <w:t>2)</w:t>
      </w:r>
      <w:r>
        <w:tab/>
        <w:t>v čl. 76 odst. 2 se doplňuje nový pododstavec, který zní:</w:t>
      </w:r>
    </w:p>
    <w:p w:rsidR="00C74E68" w:rsidRPr="00C74E68" w:rsidRDefault="00C74E68" w:rsidP="00C74E68">
      <w:pPr>
        <w:ind w:left="567"/>
        <w:rPr>
          <w:noProof/>
          <w:szCs w:val="24"/>
        </w:rPr>
      </w:pPr>
      <w:r>
        <w:t xml:space="preserve">„Členské státy zajistí, aby vedoucí orgán vypracoval konkrétní plány a kvantifikovatelné cíle v souladu s poměry stanovenými podle článku 7a nařízení (EU) č. 648/2012 ke sledování a řešení rizika koncentrace vyplývajícího z expozic vůči </w:t>
      </w:r>
      <w:r>
        <w:lastRenderedPageBreak/>
        <w:t>ústředním protistranám, které poskytují služby podstatného systémového významu pro Unii nebo jeden či více jejích členských států.“;</w:t>
      </w:r>
    </w:p>
    <w:p w:rsidR="00C74E68" w:rsidRPr="00C74E68" w:rsidRDefault="00C74E68" w:rsidP="00C74E68">
      <w:pPr>
        <w:tabs>
          <w:tab w:val="left" w:pos="567"/>
        </w:tabs>
        <w:rPr>
          <w:noProof/>
          <w:szCs w:val="24"/>
        </w:rPr>
      </w:pPr>
      <w:r>
        <w:t>3)</w:t>
      </w:r>
      <w:r>
        <w:tab/>
        <w:t>v článku 81 se doplňuje nový odstavec, který zní:</w:t>
      </w:r>
    </w:p>
    <w:p w:rsidR="00C74E68" w:rsidRPr="00C74E68" w:rsidRDefault="00C74E68" w:rsidP="00C74E68">
      <w:pPr>
        <w:ind w:left="567"/>
        <w:rPr>
          <w:noProof/>
          <w:szCs w:val="24"/>
        </w:rPr>
      </w:pPr>
      <w:r>
        <w:t>„Příslušné orgány posuzují a sledují vývoj postupů institucí týkajících se řízení jejich rizika koncentrace vyplývajícího z expozic vůči ústředním protistranám, včetně plánů vypracovaných v souladu s čl. 76 odst. 2 této směrnice, jakož i pokrok dosažený při přizpůsobování obchodních modelů institucí příslušným cílům politiky Unie, přičemž zohledňují požadavky stanovené v článku 7a nařízení (EU) č. 648/2012.“;</w:t>
      </w:r>
    </w:p>
    <w:p w:rsidR="00C74E68" w:rsidRPr="00C74E68" w:rsidRDefault="00C74E68" w:rsidP="00C74E68">
      <w:pPr>
        <w:tabs>
          <w:tab w:val="left" w:pos="567"/>
        </w:tabs>
        <w:rPr>
          <w:noProof/>
          <w:szCs w:val="24"/>
        </w:rPr>
      </w:pPr>
      <w:r>
        <w:t>4)</w:t>
      </w:r>
      <w:r>
        <w:tab/>
        <w:t>v článku 100 se doplňuje nový odstavec [5], který zní:</w:t>
      </w:r>
    </w:p>
    <w:p w:rsidR="00C74E68" w:rsidRPr="00C74E68" w:rsidRDefault="00C74E68" w:rsidP="00C74E68">
      <w:pPr>
        <w:ind w:left="567"/>
        <w:rPr>
          <w:noProof/>
          <w:szCs w:val="24"/>
        </w:rPr>
      </w:pPr>
      <w:r>
        <w:t>„[5]. Orgán EBA v souladu s článkem 16 nařízení (EU) č. 1093/2010 a v koordinaci s orgánem ESMA v souladu s článkem 16 nařízení (EU) č. 1095/2010 vypracuje obecné pokyny k zajištění jednotné metodiky pro zahrnutí rizika koncentrace vyplývajícího z expozic vůči ústředním protistranám do stresového testování v rámci dohledu.“;</w:t>
      </w:r>
    </w:p>
    <w:p w:rsidR="00C74E68" w:rsidRPr="00C74E68" w:rsidRDefault="00C74E68" w:rsidP="00C74E68">
      <w:pPr>
        <w:tabs>
          <w:tab w:val="left" w:pos="567"/>
        </w:tabs>
        <w:rPr>
          <w:noProof/>
          <w:szCs w:val="24"/>
        </w:rPr>
      </w:pPr>
      <w:r>
        <w:t>5)</w:t>
      </w:r>
      <w:r>
        <w:tab/>
        <w:t>v článku 104 se odstavec 1 mění takto:</w:t>
      </w:r>
    </w:p>
    <w:p w:rsidR="00C74E68" w:rsidRPr="00C74E68" w:rsidRDefault="00C74E68" w:rsidP="00C74E68">
      <w:pPr>
        <w:ind w:left="1134" w:hanging="567"/>
        <w:rPr>
          <w:noProof/>
          <w:szCs w:val="24"/>
        </w:rPr>
      </w:pPr>
      <w:bookmarkStart w:id="3" w:name="_Hlk116296096"/>
      <w:r>
        <w:t>a)</w:t>
      </w:r>
      <w:r>
        <w:tab/>
        <w:t>návětí se nahrazuje tímto:</w:t>
      </w:r>
    </w:p>
    <w:p w:rsidR="00C74E68" w:rsidRPr="00C74E68" w:rsidRDefault="00C74E68" w:rsidP="00C74E68">
      <w:pPr>
        <w:ind w:left="1134"/>
        <w:rPr>
          <w:noProof/>
          <w:szCs w:val="24"/>
        </w:rPr>
      </w:pPr>
      <w:r>
        <w:t>„Pro účely článku 97, čl. 98 odst. 1 písm. b), čl. 98 odst. 4, 5 a 9, čl. 101 odst. 4 a článku 102 této směrnice a pro účely uplatňování nařízení (EU) č. 575/2013 mají příslušné orgány alespoň pravomoc:“;</w:t>
      </w:r>
    </w:p>
    <w:p w:rsidR="00C74E68" w:rsidRPr="00C74E68" w:rsidRDefault="00C74E68" w:rsidP="00C74E68">
      <w:pPr>
        <w:ind w:left="1134" w:hanging="567"/>
        <w:rPr>
          <w:noProof/>
          <w:szCs w:val="24"/>
        </w:rPr>
      </w:pPr>
      <w:r>
        <w:t>b)</w:t>
      </w:r>
      <w:r>
        <w:tab/>
        <w:t>doplňuje se písmeno [n)], které zní:</w:t>
      </w:r>
    </w:p>
    <w:p w:rsidR="00C74E68" w:rsidRPr="00C74E68" w:rsidRDefault="00C74E68" w:rsidP="00C74E68">
      <w:pPr>
        <w:ind w:left="1134"/>
        <w:rPr>
          <w:noProof/>
          <w:szCs w:val="24"/>
        </w:rPr>
      </w:pPr>
      <w:r>
        <w:t>„[n)] požadovat, aby instituce snížily expozice vůči určité ústřední protistraně nebo aby přeskupily expozice na svých clearingových účtech v souladu s článkem 7a nařízení (EU) č. 648/2012, pokud se příslušný orgán domnívá, že existuje nadměrné riziko koncentrace vůči této ústřední protistraně.“</w:t>
      </w:r>
      <w:bookmarkEnd w:id="3"/>
    </w:p>
    <w:p w:rsidR="00C74E68" w:rsidRPr="00C74E68" w:rsidRDefault="006E11D3" w:rsidP="00C74E68">
      <w:pPr>
        <w:pStyle w:val="Titrearticle"/>
        <w:keepLines/>
        <w:rPr>
          <w:noProof/>
        </w:rPr>
      </w:pPr>
      <w:r>
        <w:t>Článek 3</w:t>
      </w:r>
    </w:p>
    <w:p w:rsidR="00C74E68" w:rsidRPr="00C74E68" w:rsidRDefault="00C74E68" w:rsidP="00C74E68">
      <w:pPr>
        <w:pStyle w:val="Titrearticle"/>
        <w:spacing w:before="120"/>
        <w:rPr>
          <w:b/>
          <w:i w:val="0"/>
          <w:noProof/>
        </w:rPr>
      </w:pPr>
      <w:r>
        <w:rPr>
          <w:b/>
          <w:i w:val="0"/>
        </w:rPr>
        <w:t>Změny směrnice (EU) 2019/2034</w:t>
      </w:r>
    </w:p>
    <w:p w:rsidR="00C74E68" w:rsidRPr="00C74E68" w:rsidRDefault="00C74E68" w:rsidP="00C74E68">
      <w:pPr>
        <w:keepNext/>
        <w:keepLines/>
        <w:spacing w:before="240"/>
        <w:outlineLvl w:val="0"/>
        <w:rPr>
          <w:noProof/>
          <w:szCs w:val="24"/>
        </w:rPr>
      </w:pPr>
      <w:r>
        <w:t>Směrnice (EU) 2019/2034 se mění takto:</w:t>
      </w:r>
    </w:p>
    <w:p w:rsidR="00C74E68" w:rsidRPr="00C74E68" w:rsidRDefault="00C74E68" w:rsidP="00C74E68">
      <w:pPr>
        <w:tabs>
          <w:tab w:val="left" w:pos="567"/>
        </w:tabs>
        <w:rPr>
          <w:rFonts w:eastAsiaTheme="minorHAnsi"/>
          <w:noProof/>
          <w:szCs w:val="24"/>
        </w:rPr>
      </w:pPr>
      <w:r>
        <w:t>1)</w:t>
      </w:r>
      <w:r>
        <w:tab/>
        <w:t>v čl. 26 odst. 1 se písmeno b) nahrazuje tímto:</w:t>
      </w:r>
    </w:p>
    <w:p w:rsidR="00C74E68" w:rsidRPr="00C74E68" w:rsidRDefault="006E11D3" w:rsidP="00C74E68">
      <w:pPr>
        <w:tabs>
          <w:tab w:val="left" w:pos="567"/>
        </w:tabs>
        <w:rPr>
          <w:noProof/>
          <w:szCs w:val="24"/>
        </w:rPr>
      </w:pPr>
      <w:r>
        <w:t>“b) účinné postupy pro identifikaci, řízení, sledování a hlášení rizik, jimž jsou nebo mohou být investiční podniky vystaveny, nebo rizik, která tyto investiční podniky mohou představovat pro ostatní, včetně rizika koncentrace vyplývajícího z expozic vůči ústředním protistranám, s přihlédnutím k podmínkám stanoveným v článku 7a nařízení (EU) č. 648/2012;“;</w:t>
      </w:r>
    </w:p>
    <w:p w:rsidR="00C74E68" w:rsidRPr="00C74E68" w:rsidRDefault="00C74E68" w:rsidP="00C74E68">
      <w:pPr>
        <w:tabs>
          <w:tab w:val="left" w:pos="567"/>
        </w:tabs>
        <w:rPr>
          <w:noProof/>
          <w:szCs w:val="24"/>
        </w:rPr>
      </w:pPr>
      <w:r>
        <w:t>2)</w:t>
      </w:r>
      <w:r>
        <w:tab/>
        <w:t>v článku 29 se odstavec 1 mění takto:</w:t>
      </w:r>
    </w:p>
    <w:p w:rsidR="00C74E68" w:rsidRPr="00C74E68" w:rsidRDefault="00C74E68" w:rsidP="00C74E68">
      <w:pPr>
        <w:ind w:left="1134" w:hanging="567"/>
        <w:rPr>
          <w:noProof/>
          <w:szCs w:val="24"/>
        </w:rPr>
      </w:pPr>
      <w:r>
        <w:t>a)</w:t>
      </w:r>
      <w:r>
        <w:tab/>
        <w:t>doplňuje se nové písmeno e), které zní:</w:t>
      </w:r>
    </w:p>
    <w:p w:rsidR="00C74E68" w:rsidRPr="00C74E68" w:rsidRDefault="006E11D3" w:rsidP="00C74E68">
      <w:pPr>
        <w:shd w:val="clear" w:color="auto" w:fill="FFFFFF" w:themeFill="background1"/>
        <w:spacing w:line="312" w:lineRule="atLeast"/>
        <w:ind w:left="1701" w:hanging="567"/>
        <w:rPr>
          <w:noProof/>
          <w:color w:val="333333"/>
          <w:szCs w:val="24"/>
        </w:rPr>
      </w:pPr>
      <w:r>
        <w:rPr>
          <w:color w:val="333333"/>
        </w:rPr>
        <w:t>„e)</w:t>
      </w:r>
      <w:r>
        <w:rPr>
          <w:color w:val="333333"/>
        </w:rPr>
        <w:tab/>
        <w:t>významné zdroje a dopady rizika koncentrace vyplývajícího z expozic vůči ústředním protistranám a jakýkoli významný dopad na kapitál.“;</w:t>
      </w:r>
    </w:p>
    <w:p w:rsidR="00C74E68" w:rsidRPr="00C74E68" w:rsidRDefault="00C74E68" w:rsidP="00C74E68">
      <w:pPr>
        <w:shd w:val="clear" w:color="auto" w:fill="FFFFFF" w:themeFill="background1"/>
        <w:spacing w:line="312" w:lineRule="atLeast"/>
        <w:ind w:left="1134" w:hanging="567"/>
        <w:rPr>
          <w:noProof/>
          <w:color w:val="333333"/>
          <w:szCs w:val="24"/>
        </w:rPr>
      </w:pPr>
      <w:r>
        <w:rPr>
          <w:color w:val="333333"/>
        </w:rPr>
        <w:t>b)</w:t>
      </w:r>
      <w:r>
        <w:rPr>
          <w:color w:val="333333"/>
        </w:rPr>
        <w:tab/>
        <w:t>doplňuje se nový pododstavec, který zní:</w:t>
      </w:r>
    </w:p>
    <w:p w:rsidR="00C74E68" w:rsidRPr="00C74E68" w:rsidRDefault="00C74E68" w:rsidP="00C74E68">
      <w:pPr>
        <w:shd w:val="clear" w:color="auto" w:fill="FFFFFF" w:themeFill="background1"/>
        <w:spacing w:line="312" w:lineRule="atLeast"/>
        <w:ind w:left="1134"/>
        <w:rPr>
          <w:noProof/>
          <w:color w:val="333333"/>
          <w:szCs w:val="24"/>
        </w:rPr>
      </w:pPr>
      <w:r>
        <w:rPr>
          <w:color w:val="333333"/>
        </w:rPr>
        <w:t>„Pro účely prvního pododstavce písm. e) členské státy zajistí, aby vedoucí orgán vypracoval konkrétní plány a kvantifikovatelné cíle v souladu s poměry stanovenými podle článku 7a nařízení (EU) č. 648/2012 ke sledování a řešení rizika koncentrace vyplývajícího z expozic vůči ústředním protistranám, které poskytují služby podstatného systémového významu pro Unii nebo jeden či více jejích členských států.“;</w:t>
      </w:r>
    </w:p>
    <w:p w:rsidR="00C74E68" w:rsidRPr="00C74E68" w:rsidRDefault="00C74E68" w:rsidP="00C74E68">
      <w:pPr>
        <w:shd w:val="clear" w:color="auto" w:fill="FFFFFF" w:themeFill="background1"/>
        <w:tabs>
          <w:tab w:val="left" w:pos="567"/>
        </w:tabs>
        <w:spacing w:line="312" w:lineRule="atLeast"/>
        <w:rPr>
          <w:noProof/>
          <w:color w:val="333333"/>
          <w:szCs w:val="24"/>
        </w:rPr>
      </w:pPr>
      <w:r>
        <w:rPr>
          <w:color w:val="333333"/>
        </w:rPr>
        <w:t>3)</w:t>
      </w:r>
      <w:r>
        <w:rPr>
          <w:color w:val="333333"/>
        </w:rPr>
        <w:tab/>
        <w:t>v čl. 36 odst. 1 se doplňuje nový pododstavec, který zní:</w:t>
      </w:r>
    </w:p>
    <w:p w:rsidR="00C74E68" w:rsidRPr="00C74E68" w:rsidRDefault="00C74E68" w:rsidP="00C74E68">
      <w:pPr>
        <w:shd w:val="clear" w:color="auto" w:fill="FFFFFF" w:themeFill="background1"/>
        <w:spacing w:line="312" w:lineRule="atLeast"/>
        <w:ind w:left="567"/>
        <w:rPr>
          <w:noProof/>
          <w:color w:val="333333"/>
          <w:szCs w:val="24"/>
        </w:rPr>
      </w:pPr>
      <w:r>
        <w:rPr>
          <w:color w:val="333333"/>
        </w:rPr>
        <w:t>„Pro účely prvního pododstavce písm. a) příslušné orgány posuzují a sledují vývoj postupů investičních podniků týkajících se řízení jejich rizika koncentrace vyplývajícího z expozic vůči ústředním protistranám, včetně plánů vypracovaných v souladu s čl. 29 odst. 1 písm. e) této směrnice, jakož i pokrok dosažený při přizpůsobování obchodních modelů investičních podniků příslušným cílům politiky Unie, přičemž zohledňují požadavky stanovené v článku 7a nařízení (EU) č. 648/2012.“;</w:t>
      </w:r>
    </w:p>
    <w:p w:rsidR="00C74E68" w:rsidRPr="00C74E68" w:rsidRDefault="00C74E68" w:rsidP="00C74E68">
      <w:pPr>
        <w:shd w:val="clear" w:color="auto" w:fill="FFFFFF" w:themeFill="background1"/>
        <w:tabs>
          <w:tab w:val="left" w:pos="567"/>
        </w:tabs>
        <w:spacing w:line="312" w:lineRule="atLeast"/>
        <w:rPr>
          <w:noProof/>
          <w:color w:val="333333"/>
          <w:szCs w:val="24"/>
        </w:rPr>
      </w:pPr>
      <w:r>
        <w:rPr>
          <w:color w:val="333333"/>
        </w:rPr>
        <w:t xml:space="preserve">4) </w:t>
      </w:r>
      <w:r>
        <w:rPr>
          <w:color w:val="333333"/>
        </w:rPr>
        <w:tab/>
        <w:t>v článku 39 se odstavec 2 mění takto:</w:t>
      </w:r>
    </w:p>
    <w:p w:rsidR="00C74E68" w:rsidRPr="00C74E68" w:rsidRDefault="00C74E68" w:rsidP="00C74E68">
      <w:pPr>
        <w:shd w:val="clear" w:color="auto" w:fill="FFFFFF" w:themeFill="background1"/>
        <w:spacing w:line="312" w:lineRule="atLeast"/>
        <w:ind w:left="1134" w:hanging="567"/>
        <w:rPr>
          <w:noProof/>
          <w:color w:val="333333"/>
          <w:szCs w:val="24"/>
        </w:rPr>
      </w:pPr>
      <w:r>
        <w:rPr>
          <w:color w:val="333333"/>
        </w:rPr>
        <w:t>a)</w:t>
      </w:r>
      <w:r>
        <w:rPr>
          <w:color w:val="333333"/>
        </w:rPr>
        <w:tab/>
        <w:t xml:space="preserve"> návětí se nahrazuje tímto:</w:t>
      </w:r>
    </w:p>
    <w:p w:rsidR="00C74E68" w:rsidRPr="00C74E68" w:rsidRDefault="00C74E68" w:rsidP="00C74E68">
      <w:pPr>
        <w:shd w:val="clear" w:color="auto" w:fill="FFFFFF" w:themeFill="background1"/>
        <w:spacing w:line="312" w:lineRule="atLeast"/>
        <w:ind w:left="1134"/>
        <w:rPr>
          <w:noProof/>
          <w:color w:val="333333"/>
          <w:szCs w:val="24"/>
        </w:rPr>
      </w:pPr>
      <w:r>
        <w:rPr>
          <w:color w:val="333333"/>
        </w:rPr>
        <w:t>„Pro účely čl. 29 písm. e), článku 36, čl. 37 odst. 3 a článku 39 této směrnice a uplatňování nařízení (EU) č. 575/2013 mají příslušné orgány alespoň pravomoc:“;</w:t>
      </w:r>
    </w:p>
    <w:p w:rsidR="00C74E68" w:rsidRPr="00C74E68" w:rsidRDefault="00C74E68" w:rsidP="00C74E68">
      <w:pPr>
        <w:shd w:val="clear" w:color="auto" w:fill="FFFFFF" w:themeFill="background1"/>
        <w:spacing w:line="312" w:lineRule="atLeast"/>
        <w:ind w:left="1134" w:hanging="567"/>
        <w:rPr>
          <w:noProof/>
          <w:color w:val="333333"/>
          <w:szCs w:val="24"/>
        </w:rPr>
      </w:pPr>
      <w:r>
        <w:rPr>
          <w:color w:val="333333"/>
        </w:rPr>
        <w:t>b)</w:t>
      </w:r>
      <w:r>
        <w:rPr>
          <w:color w:val="333333"/>
        </w:rPr>
        <w:tab/>
        <w:t>doplňuje se písmeno n), které zní:</w:t>
      </w:r>
    </w:p>
    <w:p w:rsidR="00C74E68" w:rsidRPr="00C74E68" w:rsidRDefault="006E11D3" w:rsidP="00C74E68">
      <w:pPr>
        <w:shd w:val="clear" w:color="auto" w:fill="FFFFFF" w:themeFill="background1"/>
        <w:spacing w:line="312" w:lineRule="atLeast"/>
        <w:ind w:left="1701" w:hanging="567"/>
        <w:rPr>
          <w:noProof/>
          <w:color w:val="333333"/>
          <w:szCs w:val="24"/>
        </w:rPr>
      </w:pPr>
      <w:r>
        <w:rPr>
          <w:color w:val="333333"/>
        </w:rPr>
        <w:t>„n)</w:t>
      </w:r>
      <w:r>
        <w:rPr>
          <w:color w:val="333333"/>
        </w:rPr>
        <w:tab/>
        <w:t>„požadovat, aby instituce snížily expozice vůči určité ústřední protistraně nebo aby přeskupily expozice na svých c</w:t>
      </w:r>
      <w:r w:rsidR="00D537F7">
        <w:rPr>
          <w:color w:val="333333"/>
        </w:rPr>
        <w:t>learingových účtech v souladu s </w:t>
      </w:r>
      <w:r>
        <w:rPr>
          <w:color w:val="333333"/>
        </w:rPr>
        <w:t>článkem 7a nařízení (EU) č. 648/2012, pokud se příslušný orgán domnívá, že existuje nadměrné riziko koncentrace vůči této ústřední protistraně.“</w:t>
      </w:r>
    </w:p>
    <w:p w:rsidR="00C74E68" w:rsidRPr="00C74E68" w:rsidRDefault="006E11D3" w:rsidP="00C74E68">
      <w:pPr>
        <w:pStyle w:val="Titrearticle"/>
        <w:rPr>
          <w:noProof/>
        </w:rPr>
      </w:pPr>
      <w:r>
        <w:t>Článek 4</w:t>
      </w:r>
    </w:p>
    <w:p w:rsidR="00C74E68" w:rsidRPr="00C74E68" w:rsidRDefault="00C74E68" w:rsidP="00C74E68">
      <w:pPr>
        <w:pStyle w:val="Titrearticle"/>
        <w:spacing w:before="120"/>
        <w:rPr>
          <w:b/>
          <w:i w:val="0"/>
          <w:noProof/>
        </w:rPr>
      </w:pPr>
      <w:r>
        <w:rPr>
          <w:b/>
          <w:i w:val="0"/>
        </w:rPr>
        <w:t>Provedení ve vnitrostátním právu</w:t>
      </w:r>
    </w:p>
    <w:p w:rsidR="00C74E68" w:rsidRPr="00C74E68" w:rsidRDefault="00C74E68" w:rsidP="00C74E68">
      <w:pPr>
        <w:shd w:val="clear" w:color="auto" w:fill="FFFFFF" w:themeFill="background1"/>
        <w:tabs>
          <w:tab w:val="left" w:pos="567"/>
        </w:tabs>
        <w:spacing w:line="312" w:lineRule="atLeast"/>
        <w:rPr>
          <w:noProof/>
          <w:color w:val="333333"/>
          <w:szCs w:val="24"/>
        </w:rPr>
      </w:pPr>
      <w:r>
        <w:rPr>
          <w:color w:val="333333"/>
        </w:rPr>
        <w:t>1.</w:t>
      </w:r>
      <w:r>
        <w:rPr>
          <w:color w:val="333333"/>
        </w:rPr>
        <w:tab/>
        <w:t xml:space="preserve">Členské státy uvedou v platnost právní a správní předpisy nezbytné pro dosažení souladu s touto směrnicí do … </w:t>
      </w:r>
      <w:r>
        <w:rPr>
          <w:i/>
          <w:iCs/>
          <w:color w:val="333333"/>
        </w:rPr>
        <w:t>[Úřad pro publikace: vložte datum = nejpozději 12 měsíců ode dne vstupu nařízení o přezkumu nařízení EMIR v platnost]</w:t>
      </w:r>
      <w:r>
        <w:rPr>
          <w:color w:val="333333"/>
        </w:rPr>
        <w:t>. Znění těchto předpisů neprodleně sdělí Komisi.</w:t>
      </w:r>
    </w:p>
    <w:p w:rsidR="00C74E68" w:rsidRPr="00C74E68" w:rsidRDefault="00C74E68" w:rsidP="00C74E68">
      <w:pPr>
        <w:shd w:val="clear" w:color="auto" w:fill="FFFFFF" w:themeFill="background1"/>
        <w:tabs>
          <w:tab w:val="left" w:pos="567"/>
        </w:tabs>
        <w:spacing w:line="312" w:lineRule="atLeast"/>
        <w:rPr>
          <w:noProof/>
          <w:color w:val="333333"/>
          <w:szCs w:val="24"/>
        </w:rPr>
      </w:pPr>
      <w:r>
        <w:rPr>
          <w:color w:val="333333"/>
        </w:rPr>
        <w:t xml:space="preserve">Tyto předpisy přijaté členskými státy musí obsahovat odkaz na tuto směrnici nebo musí být takový odkaz učiněn při jejich úředním vyhlášení. Způsob odkazu si stanoví členské státy. </w:t>
      </w:r>
    </w:p>
    <w:p w:rsidR="00C74E68" w:rsidRPr="00C74E68" w:rsidRDefault="00C74E68" w:rsidP="00C74E68">
      <w:pPr>
        <w:shd w:val="clear" w:color="auto" w:fill="FFFFFF" w:themeFill="background1"/>
        <w:tabs>
          <w:tab w:val="left" w:pos="567"/>
        </w:tabs>
        <w:spacing w:line="312" w:lineRule="atLeast"/>
        <w:rPr>
          <w:noProof/>
          <w:color w:val="333333"/>
          <w:szCs w:val="24"/>
        </w:rPr>
      </w:pPr>
      <w:r>
        <w:rPr>
          <w:color w:val="333333"/>
        </w:rPr>
        <w:t>2.</w:t>
      </w:r>
      <w:r>
        <w:rPr>
          <w:color w:val="333333"/>
        </w:rPr>
        <w:tab/>
        <w:t>Členské státy sdělí Komisi znění hlavních ustanovení vnitrostátních právních předpisů, které přijmou v oblasti působnosti této směrnice.</w:t>
      </w:r>
    </w:p>
    <w:p w:rsidR="00C74E68" w:rsidRPr="00C74E68" w:rsidRDefault="006E11D3" w:rsidP="00C74E68">
      <w:pPr>
        <w:pStyle w:val="Titrearticle"/>
        <w:rPr>
          <w:noProof/>
        </w:rPr>
      </w:pPr>
      <w:r>
        <w:t>Článek 5</w:t>
      </w:r>
    </w:p>
    <w:p w:rsidR="00C74E68" w:rsidRPr="00C74E68" w:rsidRDefault="00C74E68" w:rsidP="00C74E68">
      <w:pPr>
        <w:pStyle w:val="Titrearticle"/>
        <w:spacing w:before="120"/>
        <w:rPr>
          <w:b/>
          <w:bCs/>
          <w:i w:val="0"/>
          <w:noProof/>
        </w:rPr>
      </w:pPr>
      <w:r>
        <w:rPr>
          <w:b/>
          <w:i w:val="0"/>
        </w:rPr>
        <w:t>Vstup v platnost</w:t>
      </w:r>
    </w:p>
    <w:p w:rsidR="00C74E68" w:rsidRPr="00C74E68" w:rsidRDefault="00C74E68" w:rsidP="00C74E68">
      <w:pPr>
        <w:shd w:val="clear" w:color="auto" w:fill="FFFFFF" w:themeFill="background1"/>
        <w:spacing w:line="312" w:lineRule="atLeast"/>
        <w:rPr>
          <w:noProof/>
          <w:color w:val="333333"/>
          <w:szCs w:val="24"/>
        </w:rPr>
      </w:pPr>
      <w:r>
        <w:rPr>
          <w:color w:val="333333"/>
        </w:rPr>
        <w:t>Tato směrnice vstupuje v platnost dvacátým dnem po vyhlášení v Úředním věstníku Evropské unie.</w:t>
      </w:r>
    </w:p>
    <w:p w:rsidR="00C74E68" w:rsidRPr="00C74E68" w:rsidRDefault="006E11D3" w:rsidP="00C74E68">
      <w:pPr>
        <w:pStyle w:val="Titrearticle"/>
        <w:rPr>
          <w:noProof/>
        </w:rPr>
      </w:pPr>
      <w:r>
        <w:t>Článek 6</w:t>
      </w:r>
    </w:p>
    <w:p w:rsidR="00C74E68" w:rsidRPr="00C74E68" w:rsidRDefault="00C74E68" w:rsidP="00C74E68">
      <w:pPr>
        <w:pStyle w:val="Titrearticle"/>
        <w:spacing w:before="120"/>
        <w:rPr>
          <w:b/>
          <w:bCs/>
          <w:i w:val="0"/>
          <w:noProof/>
        </w:rPr>
      </w:pPr>
      <w:r>
        <w:rPr>
          <w:b/>
          <w:i w:val="0"/>
        </w:rPr>
        <w:t>Určení</w:t>
      </w:r>
    </w:p>
    <w:p w:rsidR="00C74E68" w:rsidRPr="00C74E68" w:rsidRDefault="00C74E68" w:rsidP="00C74E68">
      <w:pPr>
        <w:keepNext/>
        <w:keepLines/>
        <w:shd w:val="clear" w:color="auto" w:fill="FFFFFF" w:themeFill="background1"/>
        <w:spacing w:line="312" w:lineRule="atLeast"/>
        <w:rPr>
          <w:noProof/>
        </w:rPr>
      </w:pPr>
      <w:r>
        <w:rPr>
          <w:color w:val="333333"/>
        </w:rPr>
        <w:t>Tato směrnice je určena členským státům.</w:t>
      </w:r>
    </w:p>
    <w:p w:rsidR="00C74E68" w:rsidRPr="00C74E68" w:rsidRDefault="00C74E68" w:rsidP="00C74E68">
      <w:pPr>
        <w:pStyle w:val="Fait"/>
        <w:rPr>
          <w:noProof/>
        </w:rPr>
      </w:pPr>
      <w:r>
        <w:t>V Bruselu dne</w:t>
      </w:r>
    </w:p>
    <w:p w:rsidR="00C74E68" w:rsidRPr="00C74E68" w:rsidRDefault="006E11D3" w:rsidP="00C74E68">
      <w:pPr>
        <w:pStyle w:val="Institutionquisigne"/>
        <w:rPr>
          <w:noProof/>
        </w:rPr>
      </w:pPr>
      <w:r>
        <w:tab/>
        <w:t>Za Komisi</w:t>
      </w:r>
    </w:p>
    <w:p w:rsidR="00C74E68" w:rsidRPr="00C74E68" w:rsidRDefault="00C74E68" w:rsidP="00C74E68">
      <w:pPr>
        <w:pStyle w:val="Personnequisigne"/>
        <w:rPr>
          <w:noProof/>
        </w:rPr>
      </w:pPr>
      <w:r>
        <w:tab/>
        <w:t>předsedkyně</w:t>
      </w:r>
      <w:r>
        <w:br/>
      </w:r>
      <w:r>
        <w:tab/>
        <w:t>Ursula VON DER LEYEN</w:t>
      </w:r>
    </w:p>
    <w:p w:rsidR="00C74E68" w:rsidRPr="00C74E68" w:rsidRDefault="00C74E68" w:rsidP="00C74E68">
      <w:pPr>
        <w:pStyle w:val="NormalCenter12a"/>
      </w:pPr>
    </w:p>
    <w:p w:rsidR="00C74E68" w:rsidRPr="00C74E68" w:rsidRDefault="00C74E68" w:rsidP="00C74E68">
      <w:pPr>
        <w:widowControl/>
        <w:sectPr w:rsidR="00C74E68" w:rsidRPr="00C74E68" w:rsidSect="00C74E68">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rsidR="00C74E68" w:rsidRPr="00C74E68" w:rsidRDefault="009C6A72" w:rsidP="009C6A72">
      <w:pPr>
        <w:pStyle w:val="PageHeading"/>
      </w:pPr>
      <w:bookmarkStart w:id="4" w:name="_Toc155686310"/>
      <w:r>
        <w:t>PŘÍLOHA: SUBJEKTY NEBO OSOBY, OD NICHŽ ZPRAVODAJKA OBDRŽELA PODNĚTY</w:t>
      </w:r>
      <w:bookmarkEnd w:id="4"/>
    </w:p>
    <w:p w:rsidR="00C74E68" w:rsidRPr="00C74E68" w:rsidRDefault="009C6A72" w:rsidP="00C74E68">
      <w:pPr>
        <w:rPr>
          <w:rFonts w:eastAsia="Calibri"/>
          <w:sz w:val="22"/>
          <w:szCs w:val="22"/>
        </w:rPr>
      </w:pPr>
      <w:r>
        <w:rPr>
          <w:sz w:val="22"/>
        </w:rPr>
        <w:t>Zpravodajka v souladu s přílohou I čl. 8 jednacího řádu prohlašuje, že při vypracovávání [návrhu stanoviska až do okamžiku jeho přijetí ve výboru obdržela podněty od těchto subjektů nebo osob:</w:t>
      </w:r>
    </w:p>
    <w:p w:rsidR="00C74E68" w:rsidRPr="00C74E68" w:rsidRDefault="00C74E68" w:rsidP="00C74E68"/>
    <w:tbl>
      <w:tblPr>
        <w:tblW w:w="9067" w:type="dxa"/>
        <w:tblInd w:w="98" w:type="dxa"/>
        <w:tblLayout w:type="fixed"/>
        <w:tblCellMar>
          <w:left w:w="0" w:type="dxa"/>
          <w:right w:w="0" w:type="dxa"/>
        </w:tblCellMar>
        <w:tblLook w:val="01E0" w:firstRow="1" w:lastRow="1" w:firstColumn="1" w:lastColumn="1" w:noHBand="0" w:noVBand="0"/>
      </w:tblPr>
      <w:tblGrid>
        <w:gridCol w:w="9067"/>
      </w:tblGrid>
      <w:tr w:rsidR="00C74E68" w:rsidRPr="00C74E68" w:rsidTr="00E96817">
        <w:trPr>
          <w:trHeight w:val="278"/>
        </w:trPr>
        <w:tc>
          <w:tcPr>
            <w:tcW w:w="9067" w:type="dxa"/>
            <w:tcBorders>
              <w:top w:val="single" w:sz="4" w:space="0" w:color="000000"/>
              <w:left w:val="single" w:sz="4" w:space="0" w:color="000000"/>
              <w:bottom w:val="single" w:sz="4" w:space="0" w:color="000000"/>
              <w:right w:val="single" w:sz="4" w:space="0" w:color="000000"/>
            </w:tcBorders>
            <w:hideMark/>
          </w:tcPr>
          <w:p w:rsidR="00C74E68" w:rsidRPr="00C74E68" w:rsidRDefault="009C6A72" w:rsidP="00E96817">
            <w:pPr>
              <w:spacing w:line="260" w:lineRule="exact"/>
              <w:ind w:left="3567" w:right="3563"/>
              <w:jc w:val="both"/>
              <w:rPr>
                <w:rFonts w:eastAsia="Calibri"/>
                <w:b/>
                <w:sz w:val="22"/>
                <w:szCs w:val="22"/>
              </w:rPr>
            </w:pPr>
            <w:r>
              <w:rPr>
                <w:b/>
                <w:sz w:val="22"/>
              </w:rPr>
              <w:t>Subjekt nebo osoba</w:t>
            </w:r>
          </w:p>
        </w:tc>
      </w:tr>
      <w:tr w:rsidR="00C74E68" w:rsidRPr="00C74E68" w:rsidTr="00E96817">
        <w:trPr>
          <w:trHeight w:val="278"/>
        </w:trPr>
        <w:tc>
          <w:tcPr>
            <w:tcW w:w="9067" w:type="dxa"/>
            <w:tcBorders>
              <w:top w:val="single" w:sz="4" w:space="0" w:color="000000"/>
              <w:left w:val="single" w:sz="4" w:space="0" w:color="000000"/>
              <w:bottom w:val="single" w:sz="4" w:space="0" w:color="000000"/>
              <w:right w:val="single" w:sz="4" w:space="0" w:color="000000"/>
            </w:tcBorders>
            <w:hideMark/>
          </w:tcPr>
          <w:p w:rsidR="00C74E68" w:rsidRPr="00C74E68" w:rsidRDefault="00C74E68" w:rsidP="00E96817">
            <w:r>
              <w:t>ABN AMRO Clearing Bank</w:t>
            </w:r>
          </w:p>
        </w:tc>
      </w:tr>
      <w:tr w:rsidR="00C74E68" w:rsidRPr="00C74E68" w:rsidTr="00E96817">
        <w:trPr>
          <w:trHeight w:val="278"/>
        </w:trPr>
        <w:tc>
          <w:tcPr>
            <w:tcW w:w="9067" w:type="dxa"/>
            <w:tcBorders>
              <w:top w:val="single" w:sz="4" w:space="0" w:color="000000"/>
              <w:left w:val="single" w:sz="4" w:space="0" w:color="000000"/>
              <w:bottom w:val="single" w:sz="4" w:space="0" w:color="000000"/>
              <w:right w:val="single" w:sz="4" w:space="0" w:color="000000"/>
            </w:tcBorders>
          </w:tcPr>
          <w:p w:rsidR="00C74E68" w:rsidRPr="00C74E68" w:rsidRDefault="00C74E68" w:rsidP="00E96817">
            <w:r>
              <w:t>Alternative Investment Management Association (AIMA)</w:t>
            </w:r>
          </w:p>
        </w:tc>
      </w:tr>
      <w:tr w:rsidR="00C74E68" w:rsidRPr="00C74E68" w:rsidTr="00E96817">
        <w:trPr>
          <w:trHeight w:val="278"/>
        </w:trPr>
        <w:tc>
          <w:tcPr>
            <w:tcW w:w="9067" w:type="dxa"/>
            <w:tcBorders>
              <w:top w:val="single" w:sz="4" w:space="0" w:color="000000"/>
              <w:left w:val="single" w:sz="4" w:space="0" w:color="000000"/>
              <w:bottom w:val="single" w:sz="4" w:space="0" w:color="000000"/>
              <w:right w:val="single" w:sz="4" w:space="0" w:color="000000"/>
            </w:tcBorders>
          </w:tcPr>
          <w:p w:rsidR="00C74E68" w:rsidRPr="00C74E68" w:rsidRDefault="00C74E68" w:rsidP="00E96817">
            <w:r>
              <w:t>Association Française Des Marchés Financiers (AMAFI)</w:t>
            </w:r>
          </w:p>
        </w:tc>
      </w:tr>
      <w:tr w:rsidR="00C74E68" w:rsidRPr="00C74E68" w:rsidTr="00E96817">
        <w:trPr>
          <w:trHeight w:val="278"/>
        </w:trPr>
        <w:tc>
          <w:tcPr>
            <w:tcW w:w="9067" w:type="dxa"/>
            <w:tcBorders>
              <w:top w:val="single" w:sz="4" w:space="0" w:color="000000"/>
              <w:left w:val="single" w:sz="4" w:space="0" w:color="000000"/>
              <w:bottom w:val="single" w:sz="4" w:space="0" w:color="000000"/>
              <w:right w:val="single" w:sz="4" w:space="0" w:color="000000"/>
            </w:tcBorders>
          </w:tcPr>
          <w:p w:rsidR="00C74E68" w:rsidRPr="00C74E68" w:rsidRDefault="00C74E68" w:rsidP="00E96817">
            <w:r>
              <w:t>Assonime, the Association of Italian Joint-Stock Companies</w:t>
            </w:r>
          </w:p>
        </w:tc>
      </w:tr>
      <w:tr w:rsidR="00C74E68" w:rsidRPr="00C74E68" w:rsidTr="00E96817">
        <w:trPr>
          <w:trHeight w:val="278"/>
        </w:trPr>
        <w:tc>
          <w:tcPr>
            <w:tcW w:w="9067" w:type="dxa"/>
            <w:tcBorders>
              <w:top w:val="single" w:sz="4" w:space="0" w:color="000000"/>
              <w:left w:val="single" w:sz="4" w:space="0" w:color="000000"/>
              <w:bottom w:val="single" w:sz="4" w:space="0" w:color="000000"/>
              <w:right w:val="single" w:sz="4" w:space="0" w:color="000000"/>
            </w:tcBorders>
          </w:tcPr>
          <w:p w:rsidR="00C74E68" w:rsidRPr="00C74E68" w:rsidRDefault="00C74E68" w:rsidP="00E96817">
            <w:r>
              <w:t xml:space="preserve">Bank of America </w:t>
            </w:r>
          </w:p>
        </w:tc>
      </w:tr>
      <w:tr w:rsidR="00C74E68" w:rsidRPr="00C74E68" w:rsidTr="00E96817">
        <w:trPr>
          <w:trHeight w:val="278"/>
        </w:trPr>
        <w:tc>
          <w:tcPr>
            <w:tcW w:w="9067" w:type="dxa"/>
            <w:tcBorders>
              <w:top w:val="single" w:sz="4" w:space="0" w:color="000000"/>
              <w:left w:val="single" w:sz="4" w:space="0" w:color="000000"/>
              <w:bottom w:val="single" w:sz="4" w:space="0" w:color="000000"/>
              <w:right w:val="single" w:sz="4" w:space="0" w:color="000000"/>
            </w:tcBorders>
          </w:tcPr>
          <w:p w:rsidR="00C74E68" w:rsidRPr="00C74E68" w:rsidRDefault="00C74E68" w:rsidP="00E96817">
            <w:r>
              <w:t xml:space="preserve">Banque de France </w:t>
            </w:r>
          </w:p>
        </w:tc>
      </w:tr>
      <w:tr w:rsidR="00C74E68" w:rsidRPr="00C74E68" w:rsidTr="00E96817">
        <w:trPr>
          <w:trHeight w:val="278"/>
        </w:trPr>
        <w:tc>
          <w:tcPr>
            <w:tcW w:w="9067" w:type="dxa"/>
            <w:tcBorders>
              <w:top w:val="single" w:sz="4" w:space="0" w:color="000000"/>
              <w:left w:val="single" w:sz="4" w:space="0" w:color="000000"/>
              <w:bottom w:val="single" w:sz="4" w:space="0" w:color="000000"/>
              <w:right w:val="single" w:sz="4" w:space="0" w:color="000000"/>
            </w:tcBorders>
          </w:tcPr>
          <w:p w:rsidR="00C74E68" w:rsidRPr="00C74E68" w:rsidRDefault="00C74E68" w:rsidP="00E96817">
            <w:r>
              <w:t>Blackrock</w:t>
            </w:r>
          </w:p>
        </w:tc>
      </w:tr>
      <w:tr w:rsidR="00C74E68" w:rsidRPr="00C74E68" w:rsidTr="00E96817">
        <w:trPr>
          <w:trHeight w:val="278"/>
        </w:trPr>
        <w:tc>
          <w:tcPr>
            <w:tcW w:w="9067" w:type="dxa"/>
            <w:tcBorders>
              <w:top w:val="single" w:sz="4" w:space="0" w:color="000000"/>
              <w:left w:val="single" w:sz="4" w:space="0" w:color="000000"/>
              <w:bottom w:val="single" w:sz="4" w:space="0" w:color="000000"/>
              <w:right w:val="single" w:sz="4" w:space="0" w:color="000000"/>
            </w:tcBorders>
          </w:tcPr>
          <w:p w:rsidR="00C74E68" w:rsidRPr="00C74E68" w:rsidRDefault="00C74E68" w:rsidP="00E96817">
            <w:r>
              <w:t>BNP Paribas</w:t>
            </w:r>
          </w:p>
        </w:tc>
      </w:tr>
      <w:tr w:rsidR="00C74E68" w:rsidRPr="00C74E68" w:rsidTr="00E96817">
        <w:trPr>
          <w:trHeight w:val="278"/>
        </w:trPr>
        <w:tc>
          <w:tcPr>
            <w:tcW w:w="9067" w:type="dxa"/>
            <w:tcBorders>
              <w:top w:val="single" w:sz="4" w:space="0" w:color="000000"/>
              <w:left w:val="single" w:sz="4" w:space="0" w:color="000000"/>
              <w:bottom w:val="single" w:sz="4" w:space="0" w:color="000000"/>
              <w:right w:val="single" w:sz="4" w:space="0" w:color="000000"/>
            </w:tcBorders>
          </w:tcPr>
          <w:p w:rsidR="00C74E68" w:rsidRPr="00C74E68" w:rsidRDefault="00C74E68" w:rsidP="00E96817">
            <w:r>
              <w:t>BNY Mellon</w:t>
            </w:r>
          </w:p>
        </w:tc>
      </w:tr>
      <w:tr w:rsidR="00C74E68" w:rsidRPr="00C74E68" w:rsidTr="00E96817">
        <w:trPr>
          <w:trHeight w:val="278"/>
        </w:trPr>
        <w:tc>
          <w:tcPr>
            <w:tcW w:w="9067" w:type="dxa"/>
            <w:tcBorders>
              <w:top w:val="single" w:sz="4" w:space="0" w:color="000000"/>
              <w:left w:val="single" w:sz="4" w:space="0" w:color="000000"/>
              <w:bottom w:val="single" w:sz="4" w:space="0" w:color="000000"/>
              <w:right w:val="single" w:sz="4" w:space="0" w:color="000000"/>
            </w:tcBorders>
          </w:tcPr>
          <w:p w:rsidR="00C74E68" w:rsidRPr="00C74E68" w:rsidRDefault="00C74E68" w:rsidP="00E96817">
            <w:r>
              <w:t>Bundesverband deutscher Banken (BdB)</w:t>
            </w:r>
          </w:p>
        </w:tc>
      </w:tr>
      <w:tr w:rsidR="00C74E68" w:rsidRPr="00C74E68" w:rsidTr="00E96817">
        <w:trPr>
          <w:trHeight w:val="278"/>
        </w:trPr>
        <w:tc>
          <w:tcPr>
            <w:tcW w:w="9067" w:type="dxa"/>
            <w:tcBorders>
              <w:top w:val="single" w:sz="4" w:space="0" w:color="000000"/>
              <w:left w:val="single" w:sz="4" w:space="0" w:color="000000"/>
              <w:bottom w:val="single" w:sz="4" w:space="0" w:color="000000"/>
              <w:right w:val="single" w:sz="4" w:space="0" w:color="000000"/>
            </w:tcBorders>
          </w:tcPr>
          <w:p w:rsidR="00C74E68" w:rsidRPr="00C74E68" w:rsidRDefault="00C74E68" w:rsidP="00E96817">
            <w:r>
              <w:t>BVI Bundesverband Investment und. Asset Management</w:t>
            </w:r>
          </w:p>
        </w:tc>
      </w:tr>
      <w:tr w:rsidR="00C74E68" w:rsidRPr="00C74E68" w:rsidTr="00E96817">
        <w:trPr>
          <w:trHeight w:val="278"/>
        </w:trPr>
        <w:tc>
          <w:tcPr>
            <w:tcW w:w="9067" w:type="dxa"/>
            <w:tcBorders>
              <w:top w:val="single" w:sz="4" w:space="0" w:color="000000"/>
              <w:left w:val="single" w:sz="4" w:space="0" w:color="000000"/>
              <w:bottom w:val="single" w:sz="4" w:space="0" w:color="000000"/>
              <w:right w:val="single" w:sz="4" w:space="0" w:color="000000"/>
            </w:tcBorders>
          </w:tcPr>
          <w:p w:rsidR="00C74E68" w:rsidRPr="00C74E68" w:rsidRDefault="00C74E68" w:rsidP="00E96817">
            <w:r>
              <w:t>Cboe Clear Europe</w:t>
            </w:r>
          </w:p>
        </w:tc>
      </w:tr>
      <w:tr w:rsidR="00C74E68" w:rsidRPr="00C74E68" w:rsidTr="00E96817">
        <w:trPr>
          <w:trHeight w:val="278"/>
        </w:trPr>
        <w:tc>
          <w:tcPr>
            <w:tcW w:w="9067" w:type="dxa"/>
            <w:tcBorders>
              <w:top w:val="single" w:sz="4" w:space="0" w:color="000000"/>
              <w:left w:val="single" w:sz="4" w:space="0" w:color="000000"/>
              <w:bottom w:val="single" w:sz="4" w:space="0" w:color="000000"/>
              <w:right w:val="single" w:sz="4" w:space="0" w:color="000000"/>
            </w:tcBorders>
          </w:tcPr>
          <w:p w:rsidR="00C74E68" w:rsidRPr="00C74E68" w:rsidRDefault="00C74E68" w:rsidP="00E96817">
            <w:r>
              <w:t>Citigroup</w:t>
            </w:r>
          </w:p>
        </w:tc>
      </w:tr>
      <w:tr w:rsidR="00C74E68" w:rsidRPr="00C74E68" w:rsidTr="00E96817">
        <w:trPr>
          <w:trHeight w:val="278"/>
        </w:trPr>
        <w:tc>
          <w:tcPr>
            <w:tcW w:w="9067" w:type="dxa"/>
            <w:tcBorders>
              <w:top w:val="single" w:sz="4" w:space="0" w:color="000000"/>
              <w:left w:val="single" w:sz="4" w:space="0" w:color="000000"/>
              <w:bottom w:val="single" w:sz="4" w:space="0" w:color="000000"/>
              <w:right w:val="single" w:sz="4" w:space="0" w:color="000000"/>
            </w:tcBorders>
          </w:tcPr>
          <w:p w:rsidR="00C74E68" w:rsidRPr="00C74E68" w:rsidRDefault="00C74E68" w:rsidP="00E96817">
            <w:r>
              <w:t>Commodity Markets Council Europe (CMCE)</w:t>
            </w:r>
          </w:p>
        </w:tc>
      </w:tr>
      <w:tr w:rsidR="00C74E68" w:rsidRPr="00C74E68" w:rsidTr="00E96817">
        <w:trPr>
          <w:trHeight w:val="278"/>
        </w:trPr>
        <w:tc>
          <w:tcPr>
            <w:tcW w:w="9067" w:type="dxa"/>
            <w:tcBorders>
              <w:top w:val="single" w:sz="4" w:space="0" w:color="000000"/>
              <w:left w:val="single" w:sz="4" w:space="0" w:color="000000"/>
              <w:bottom w:val="single" w:sz="4" w:space="0" w:color="000000"/>
              <w:right w:val="single" w:sz="4" w:space="0" w:color="000000"/>
            </w:tcBorders>
          </w:tcPr>
          <w:p w:rsidR="00C74E68" w:rsidRPr="00C74E68" w:rsidRDefault="00C74E68" w:rsidP="00E96817">
            <w:r>
              <w:t>Crédit Agricole</w:t>
            </w:r>
          </w:p>
        </w:tc>
      </w:tr>
      <w:tr w:rsidR="00C74E68" w:rsidRPr="00C74E68" w:rsidTr="00E96817">
        <w:trPr>
          <w:trHeight w:val="278"/>
        </w:trPr>
        <w:tc>
          <w:tcPr>
            <w:tcW w:w="9067" w:type="dxa"/>
            <w:tcBorders>
              <w:top w:val="single" w:sz="4" w:space="0" w:color="000000"/>
              <w:left w:val="single" w:sz="4" w:space="0" w:color="000000"/>
              <w:bottom w:val="single" w:sz="4" w:space="0" w:color="000000"/>
              <w:right w:val="single" w:sz="4" w:space="0" w:color="000000"/>
            </w:tcBorders>
          </w:tcPr>
          <w:p w:rsidR="00C74E68" w:rsidRPr="00C74E68" w:rsidRDefault="00C74E68" w:rsidP="00E96817">
            <w:r>
              <w:t>Depository Trust and Clearing Corporation (DTCC)</w:t>
            </w:r>
          </w:p>
        </w:tc>
      </w:tr>
      <w:tr w:rsidR="00C74E68" w:rsidRPr="00C74E68" w:rsidTr="00E96817">
        <w:trPr>
          <w:trHeight w:val="278"/>
        </w:trPr>
        <w:tc>
          <w:tcPr>
            <w:tcW w:w="9067" w:type="dxa"/>
            <w:tcBorders>
              <w:top w:val="single" w:sz="4" w:space="0" w:color="000000"/>
              <w:left w:val="single" w:sz="4" w:space="0" w:color="000000"/>
              <w:bottom w:val="single" w:sz="4" w:space="0" w:color="000000"/>
              <w:right w:val="single" w:sz="4" w:space="0" w:color="000000"/>
            </w:tcBorders>
          </w:tcPr>
          <w:p w:rsidR="00C74E68" w:rsidRPr="00C74E68" w:rsidRDefault="00C74E68" w:rsidP="00E96817">
            <w:r>
              <w:t>Deutsche Bank AG</w:t>
            </w:r>
          </w:p>
        </w:tc>
      </w:tr>
      <w:tr w:rsidR="00C74E68" w:rsidRPr="00C74E68" w:rsidTr="00E96817">
        <w:trPr>
          <w:trHeight w:val="278"/>
        </w:trPr>
        <w:tc>
          <w:tcPr>
            <w:tcW w:w="9067" w:type="dxa"/>
            <w:tcBorders>
              <w:top w:val="single" w:sz="4" w:space="0" w:color="000000"/>
              <w:left w:val="single" w:sz="4" w:space="0" w:color="000000"/>
              <w:bottom w:val="single" w:sz="4" w:space="0" w:color="000000"/>
              <w:right w:val="single" w:sz="4" w:space="0" w:color="000000"/>
            </w:tcBorders>
          </w:tcPr>
          <w:p w:rsidR="00C74E68" w:rsidRPr="00C74E68" w:rsidRDefault="00C74E68" w:rsidP="00E96817">
            <w:r>
              <w:t>Deutsche Börse AG</w:t>
            </w:r>
          </w:p>
        </w:tc>
      </w:tr>
      <w:tr w:rsidR="00C74E68" w:rsidRPr="00C74E68" w:rsidTr="00E96817">
        <w:trPr>
          <w:trHeight w:val="278"/>
        </w:trPr>
        <w:tc>
          <w:tcPr>
            <w:tcW w:w="9067" w:type="dxa"/>
            <w:tcBorders>
              <w:top w:val="single" w:sz="4" w:space="0" w:color="000000"/>
              <w:left w:val="single" w:sz="4" w:space="0" w:color="000000"/>
              <w:bottom w:val="single" w:sz="4" w:space="0" w:color="000000"/>
              <w:right w:val="single" w:sz="4" w:space="0" w:color="000000"/>
            </w:tcBorders>
          </w:tcPr>
          <w:p w:rsidR="00C74E68" w:rsidRPr="00C74E68" w:rsidRDefault="00C74E68" w:rsidP="00E96817">
            <w:r>
              <w:t>Deutsches Aktieninstitut</w:t>
            </w:r>
          </w:p>
        </w:tc>
      </w:tr>
      <w:tr w:rsidR="00C74E68" w:rsidRPr="00C74E68" w:rsidTr="00E96817">
        <w:trPr>
          <w:trHeight w:val="278"/>
        </w:trPr>
        <w:tc>
          <w:tcPr>
            <w:tcW w:w="9067" w:type="dxa"/>
            <w:tcBorders>
              <w:top w:val="single" w:sz="4" w:space="0" w:color="000000"/>
              <w:left w:val="single" w:sz="4" w:space="0" w:color="000000"/>
              <w:bottom w:val="single" w:sz="4" w:space="0" w:color="000000"/>
              <w:right w:val="single" w:sz="4" w:space="0" w:color="000000"/>
            </w:tcBorders>
          </w:tcPr>
          <w:p w:rsidR="00C74E68" w:rsidRPr="00C74E68" w:rsidRDefault="00C74E68" w:rsidP="00E96817">
            <w:r>
              <w:t>DG FISMA</w:t>
            </w:r>
          </w:p>
        </w:tc>
      </w:tr>
      <w:tr w:rsidR="00C74E68" w:rsidRPr="00C74E68" w:rsidTr="00E96817">
        <w:trPr>
          <w:trHeight w:val="278"/>
        </w:trPr>
        <w:tc>
          <w:tcPr>
            <w:tcW w:w="9067" w:type="dxa"/>
            <w:tcBorders>
              <w:top w:val="single" w:sz="4" w:space="0" w:color="000000"/>
              <w:left w:val="single" w:sz="4" w:space="0" w:color="000000"/>
              <w:bottom w:val="single" w:sz="4" w:space="0" w:color="000000"/>
              <w:right w:val="single" w:sz="4" w:space="0" w:color="000000"/>
            </w:tcBorders>
          </w:tcPr>
          <w:p w:rsidR="00C74E68" w:rsidRPr="00C74E68" w:rsidRDefault="00C74E68" w:rsidP="00E96817">
            <w:r>
              <w:t>Euronext Clearing</w:t>
            </w:r>
          </w:p>
        </w:tc>
      </w:tr>
      <w:tr w:rsidR="00C74E68" w:rsidRPr="00C74E68" w:rsidTr="00E96817">
        <w:trPr>
          <w:trHeight w:val="278"/>
        </w:trPr>
        <w:tc>
          <w:tcPr>
            <w:tcW w:w="9067" w:type="dxa"/>
            <w:tcBorders>
              <w:top w:val="single" w:sz="4" w:space="0" w:color="000000"/>
              <w:left w:val="single" w:sz="4" w:space="0" w:color="000000"/>
              <w:bottom w:val="single" w:sz="4" w:space="0" w:color="000000"/>
              <w:right w:val="single" w:sz="4" w:space="0" w:color="000000"/>
            </w:tcBorders>
          </w:tcPr>
          <w:p w:rsidR="00C74E68" w:rsidRPr="00C74E68" w:rsidRDefault="00C74E68" w:rsidP="00E96817">
            <w:r>
              <w:t>European Association of Central Counterparty Clearing Houses (EACH)</w:t>
            </w:r>
          </w:p>
        </w:tc>
      </w:tr>
      <w:tr w:rsidR="00C74E68" w:rsidRPr="00C74E68" w:rsidTr="00E96817">
        <w:trPr>
          <w:trHeight w:val="278"/>
        </w:trPr>
        <w:tc>
          <w:tcPr>
            <w:tcW w:w="9067" w:type="dxa"/>
            <w:tcBorders>
              <w:top w:val="single" w:sz="4" w:space="0" w:color="000000"/>
              <w:left w:val="single" w:sz="4" w:space="0" w:color="000000"/>
              <w:bottom w:val="single" w:sz="4" w:space="0" w:color="000000"/>
              <w:right w:val="single" w:sz="4" w:space="0" w:color="000000"/>
            </w:tcBorders>
          </w:tcPr>
          <w:p w:rsidR="00C74E68" w:rsidRPr="00C74E68" w:rsidRDefault="00C74E68" w:rsidP="00E96817">
            <w:r>
              <w:t>European Association of Corporate Treasurers (EACT)</w:t>
            </w:r>
          </w:p>
        </w:tc>
      </w:tr>
      <w:tr w:rsidR="00C74E68" w:rsidRPr="00C74E68" w:rsidTr="00E96817">
        <w:trPr>
          <w:trHeight w:val="278"/>
        </w:trPr>
        <w:tc>
          <w:tcPr>
            <w:tcW w:w="9067" w:type="dxa"/>
            <w:tcBorders>
              <w:top w:val="single" w:sz="4" w:space="0" w:color="000000"/>
              <w:left w:val="single" w:sz="4" w:space="0" w:color="000000"/>
              <w:bottom w:val="single" w:sz="4" w:space="0" w:color="000000"/>
              <w:right w:val="single" w:sz="4" w:space="0" w:color="000000"/>
            </w:tcBorders>
          </w:tcPr>
          <w:p w:rsidR="00C74E68" w:rsidRPr="00C74E68" w:rsidRDefault="00C74E68" w:rsidP="00E96817">
            <w:r>
              <w:t>European Banking Federation (EBF)</w:t>
            </w:r>
          </w:p>
        </w:tc>
      </w:tr>
      <w:tr w:rsidR="00C74E68" w:rsidRPr="00C74E68" w:rsidTr="00E96817">
        <w:trPr>
          <w:trHeight w:val="278"/>
        </w:trPr>
        <w:tc>
          <w:tcPr>
            <w:tcW w:w="9067" w:type="dxa"/>
            <w:tcBorders>
              <w:top w:val="single" w:sz="4" w:space="0" w:color="000000"/>
              <w:left w:val="single" w:sz="4" w:space="0" w:color="000000"/>
              <w:bottom w:val="single" w:sz="4" w:space="0" w:color="000000"/>
              <w:right w:val="single" w:sz="4" w:space="0" w:color="000000"/>
            </w:tcBorders>
          </w:tcPr>
          <w:p w:rsidR="00C74E68" w:rsidRPr="00C74E68" w:rsidRDefault="00C74E68" w:rsidP="00E96817">
            <w:r>
              <w:t>European Central Bank (ECB)</w:t>
            </w:r>
          </w:p>
        </w:tc>
      </w:tr>
      <w:tr w:rsidR="00C74E68" w:rsidRPr="00C74E68" w:rsidTr="00E96817">
        <w:trPr>
          <w:trHeight w:val="278"/>
        </w:trPr>
        <w:tc>
          <w:tcPr>
            <w:tcW w:w="9067" w:type="dxa"/>
            <w:tcBorders>
              <w:top w:val="single" w:sz="4" w:space="0" w:color="000000"/>
              <w:left w:val="single" w:sz="4" w:space="0" w:color="000000"/>
              <w:bottom w:val="single" w:sz="4" w:space="0" w:color="000000"/>
              <w:right w:val="single" w:sz="4" w:space="0" w:color="000000"/>
            </w:tcBorders>
          </w:tcPr>
          <w:p w:rsidR="00C74E68" w:rsidRPr="00C74E68" w:rsidRDefault="00C74E68" w:rsidP="00E96817">
            <w:r>
              <w:t>European Economic and Social Committee (EESC)</w:t>
            </w:r>
          </w:p>
        </w:tc>
      </w:tr>
      <w:tr w:rsidR="00C74E68" w:rsidRPr="00C74E68" w:rsidTr="00E96817">
        <w:trPr>
          <w:trHeight w:val="278"/>
        </w:trPr>
        <w:tc>
          <w:tcPr>
            <w:tcW w:w="9067" w:type="dxa"/>
            <w:tcBorders>
              <w:top w:val="single" w:sz="4" w:space="0" w:color="000000"/>
              <w:left w:val="single" w:sz="4" w:space="0" w:color="000000"/>
              <w:bottom w:val="single" w:sz="4" w:space="0" w:color="000000"/>
              <w:right w:val="single" w:sz="4" w:space="0" w:color="000000"/>
            </w:tcBorders>
          </w:tcPr>
          <w:p w:rsidR="00C74E68" w:rsidRPr="00C74E68" w:rsidRDefault="00C74E68" w:rsidP="00E96817">
            <w:r>
              <w:t>European Federation of Energy Traders (EFET)</w:t>
            </w:r>
          </w:p>
        </w:tc>
      </w:tr>
      <w:tr w:rsidR="00C74E68" w:rsidRPr="00C74E68" w:rsidTr="00E96817">
        <w:trPr>
          <w:trHeight w:val="278"/>
        </w:trPr>
        <w:tc>
          <w:tcPr>
            <w:tcW w:w="9067" w:type="dxa"/>
            <w:tcBorders>
              <w:top w:val="single" w:sz="4" w:space="0" w:color="000000"/>
              <w:left w:val="single" w:sz="4" w:space="0" w:color="000000"/>
              <w:bottom w:val="single" w:sz="4" w:space="0" w:color="000000"/>
              <w:right w:val="single" w:sz="4" w:space="0" w:color="000000"/>
            </w:tcBorders>
          </w:tcPr>
          <w:p w:rsidR="00C74E68" w:rsidRPr="00C74E68" w:rsidRDefault="00C74E68" w:rsidP="00E96817">
            <w:r>
              <w:t>European Fund and Asset Management Association (EFAMA)</w:t>
            </w:r>
          </w:p>
        </w:tc>
      </w:tr>
      <w:tr w:rsidR="00C74E68" w:rsidRPr="00C74E68" w:rsidTr="00E96817">
        <w:trPr>
          <w:trHeight w:val="278"/>
        </w:trPr>
        <w:tc>
          <w:tcPr>
            <w:tcW w:w="9067" w:type="dxa"/>
            <w:tcBorders>
              <w:top w:val="single" w:sz="4" w:space="0" w:color="000000"/>
              <w:left w:val="single" w:sz="4" w:space="0" w:color="000000"/>
              <w:bottom w:val="single" w:sz="4" w:space="0" w:color="000000"/>
              <w:right w:val="single" w:sz="4" w:space="0" w:color="000000"/>
            </w:tcBorders>
          </w:tcPr>
          <w:p w:rsidR="00C74E68" w:rsidRPr="00C74E68" w:rsidRDefault="00C74E68" w:rsidP="00E96817">
            <w:r>
              <w:t>European Securities and Markets Authority (ESMA)</w:t>
            </w:r>
          </w:p>
        </w:tc>
      </w:tr>
      <w:tr w:rsidR="00C74E68" w:rsidRPr="00C74E68" w:rsidTr="00E96817">
        <w:trPr>
          <w:trHeight w:val="278"/>
        </w:trPr>
        <w:tc>
          <w:tcPr>
            <w:tcW w:w="9067" w:type="dxa"/>
            <w:tcBorders>
              <w:top w:val="single" w:sz="4" w:space="0" w:color="000000"/>
              <w:left w:val="single" w:sz="4" w:space="0" w:color="000000"/>
              <w:bottom w:val="single" w:sz="4" w:space="0" w:color="000000"/>
              <w:right w:val="single" w:sz="4" w:space="0" w:color="000000"/>
            </w:tcBorders>
          </w:tcPr>
          <w:p w:rsidR="00C74E68" w:rsidRPr="00C74E68" w:rsidRDefault="00C74E68" w:rsidP="00E96817">
            <w:r>
              <w:t>European Systemic Risk Board (ESRB)</w:t>
            </w:r>
          </w:p>
        </w:tc>
      </w:tr>
      <w:tr w:rsidR="00C74E68" w:rsidRPr="00C74E68" w:rsidTr="00E96817">
        <w:trPr>
          <w:trHeight w:val="278"/>
        </w:trPr>
        <w:tc>
          <w:tcPr>
            <w:tcW w:w="9067" w:type="dxa"/>
            <w:tcBorders>
              <w:top w:val="single" w:sz="4" w:space="0" w:color="000000"/>
              <w:left w:val="single" w:sz="4" w:space="0" w:color="000000"/>
              <w:bottom w:val="single" w:sz="4" w:space="0" w:color="000000"/>
              <w:right w:val="single" w:sz="4" w:space="0" w:color="000000"/>
            </w:tcBorders>
          </w:tcPr>
          <w:p w:rsidR="00C74E68" w:rsidRPr="00C74E68" w:rsidRDefault="00C74E68" w:rsidP="00E96817">
            <w:r>
              <w:t>FIA European Principal Traders Association</w:t>
            </w:r>
          </w:p>
        </w:tc>
      </w:tr>
      <w:tr w:rsidR="00C74E68" w:rsidRPr="00C74E68" w:rsidTr="00E96817">
        <w:trPr>
          <w:trHeight w:val="278"/>
        </w:trPr>
        <w:tc>
          <w:tcPr>
            <w:tcW w:w="9067" w:type="dxa"/>
            <w:tcBorders>
              <w:top w:val="single" w:sz="4" w:space="0" w:color="000000"/>
              <w:left w:val="single" w:sz="4" w:space="0" w:color="000000"/>
              <w:bottom w:val="single" w:sz="4" w:space="0" w:color="000000"/>
              <w:right w:val="single" w:sz="4" w:space="0" w:color="000000"/>
            </w:tcBorders>
          </w:tcPr>
          <w:p w:rsidR="00C74E68" w:rsidRPr="00C74E68" w:rsidRDefault="00C74E68" w:rsidP="00E96817">
            <w:r>
              <w:t>FleishmanHillard</w:t>
            </w:r>
          </w:p>
        </w:tc>
      </w:tr>
      <w:tr w:rsidR="00C74E68" w:rsidRPr="00C74E68" w:rsidTr="00E96817">
        <w:trPr>
          <w:trHeight w:val="278"/>
        </w:trPr>
        <w:tc>
          <w:tcPr>
            <w:tcW w:w="9067" w:type="dxa"/>
            <w:tcBorders>
              <w:top w:val="single" w:sz="4" w:space="0" w:color="000000"/>
              <w:left w:val="single" w:sz="4" w:space="0" w:color="000000"/>
              <w:bottom w:val="single" w:sz="4" w:space="0" w:color="000000"/>
              <w:right w:val="single" w:sz="4" w:space="0" w:color="000000"/>
            </w:tcBorders>
          </w:tcPr>
          <w:p w:rsidR="00C74E68" w:rsidRPr="00C74E68" w:rsidRDefault="00C74E68" w:rsidP="00E96817">
            <w:r>
              <w:t>French Tresor</w:t>
            </w:r>
          </w:p>
        </w:tc>
      </w:tr>
      <w:tr w:rsidR="00C74E68" w:rsidRPr="00C74E68" w:rsidTr="00E96817">
        <w:trPr>
          <w:trHeight w:val="278"/>
        </w:trPr>
        <w:tc>
          <w:tcPr>
            <w:tcW w:w="9067" w:type="dxa"/>
            <w:tcBorders>
              <w:top w:val="single" w:sz="4" w:space="0" w:color="000000"/>
              <w:left w:val="single" w:sz="4" w:space="0" w:color="000000"/>
              <w:bottom w:val="single" w:sz="4" w:space="0" w:color="000000"/>
              <w:right w:val="single" w:sz="4" w:space="0" w:color="000000"/>
            </w:tcBorders>
          </w:tcPr>
          <w:p w:rsidR="00C74E68" w:rsidRPr="00C74E68" w:rsidRDefault="00C74E68" w:rsidP="00E96817">
            <w:r>
              <w:t>FTI Consulting</w:t>
            </w:r>
          </w:p>
        </w:tc>
      </w:tr>
      <w:tr w:rsidR="00C74E68" w:rsidRPr="00C74E68" w:rsidTr="00E96817">
        <w:trPr>
          <w:trHeight w:val="278"/>
        </w:trPr>
        <w:tc>
          <w:tcPr>
            <w:tcW w:w="9067" w:type="dxa"/>
            <w:tcBorders>
              <w:top w:val="single" w:sz="4" w:space="0" w:color="000000"/>
              <w:left w:val="single" w:sz="4" w:space="0" w:color="000000"/>
              <w:bottom w:val="single" w:sz="4" w:space="0" w:color="000000"/>
              <w:right w:val="single" w:sz="4" w:space="0" w:color="000000"/>
            </w:tcBorders>
          </w:tcPr>
          <w:p w:rsidR="00C74E68" w:rsidRPr="00C74E68" w:rsidRDefault="00C74E68" w:rsidP="00E96817">
            <w:r>
              <w:t>Goldman Sachs</w:t>
            </w:r>
          </w:p>
        </w:tc>
      </w:tr>
      <w:tr w:rsidR="00C74E68" w:rsidRPr="00C74E68" w:rsidTr="00E96817">
        <w:trPr>
          <w:trHeight w:val="278"/>
        </w:trPr>
        <w:tc>
          <w:tcPr>
            <w:tcW w:w="9067" w:type="dxa"/>
            <w:tcBorders>
              <w:top w:val="single" w:sz="4" w:space="0" w:color="000000"/>
              <w:left w:val="single" w:sz="4" w:space="0" w:color="000000"/>
              <w:bottom w:val="single" w:sz="4" w:space="0" w:color="000000"/>
              <w:right w:val="single" w:sz="4" w:space="0" w:color="000000"/>
            </w:tcBorders>
          </w:tcPr>
          <w:p w:rsidR="00C74E68" w:rsidRPr="00C74E68" w:rsidRDefault="00C74E68" w:rsidP="00E96817">
            <w:r>
              <w:t>Hanbury Strategy</w:t>
            </w:r>
          </w:p>
        </w:tc>
      </w:tr>
      <w:tr w:rsidR="00C74E68" w:rsidRPr="00C74E68" w:rsidTr="00E96817">
        <w:trPr>
          <w:trHeight w:val="278"/>
        </w:trPr>
        <w:tc>
          <w:tcPr>
            <w:tcW w:w="9067" w:type="dxa"/>
            <w:tcBorders>
              <w:top w:val="single" w:sz="4" w:space="0" w:color="000000"/>
              <w:left w:val="single" w:sz="4" w:space="0" w:color="000000"/>
              <w:bottom w:val="single" w:sz="4" w:space="0" w:color="000000"/>
              <w:right w:val="single" w:sz="4" w:space="0" w:color="000000"/>
            </w:tcBorders>
          </w:tcPr>
          <w:p w:rsidR="00C74E68" w:rsidRPr="00C74E68" w:rsidRDefault="00C74E68" w:rsidP="00E96817">
            <w:r>
              <w:t>HM Treasury</w:t>
            </w:r>
          </w:p>
        </w:tc>
      </w:tr>
      <w:tr w:rsidR="00C74E68" w:rsidRPr="00C74E68" w:rsidTr="00E96817">
        <w:trPr>
          <w:trHeight w:val="278"/>
        </w:trPr>
        <w:tc>
          <w:tcPr>
            <w:tcW w:w="9067" w:type="dxa"/>
            <w:tcBorders>
              <w:top w:val="single" w:sz="4" w:space="0" w:color="000000"/>
              <w:left w:val="single" w:sz="4" w:space="0" w:color="000000"/>
              <w:bottom w:val="single" w:sz="4" w:space="0" w:color="000000"/>
              <w:right w:val="single" w:sz="4" w:space="0" w:color="000000"/>
            </w:tcBorders>
          </w:tcPr>
          <w:p w:rsidR="00C74E68" w:rsidRPr="00C74E68" w:rsidRDefault="00C74E68" w:rsidP="00E96817">
            <w:r>
              <w:t>Intercontinental Exchange (ICE)</w:t>
            </w:r>
          </w:p>
        </w:tc>
      </w:tr>
      <w:tr w:rsidR="00C74E68" w:rsidRPr="00C74E68" w:rsidTr="00E96817">
        <w:trPr>
          <w:trHeight w:val="278"/>
        </w:trPr>
        <w:tc>
          <w:tcPr>
            <w:tcW w:w="9067" w:type="dxa"/>
            <w:tcBorders>
              <w:top w:val="single" w:sz="4" w:space="0" w:color="000000"/>
              <w:left w:val="single" w:sz="4" w:space="0" w:color="000000"/>
              <w:bottom w:val="single" w:sz="4" w:space="0" w:color="000000"/>
              <w:right w:val="single" w:sz="4" w:space="0" w:color="000000"/>
            </w:tcBorders>
          </w:tcPr>
          <w:p w:rsidR="00C74E68" w:rsidRPr="00C74E68" w:rsidRDefault="00C74E68" w:rsidP="00E96817">
            <w:r>
              <w:t>International Swaps and Derivatives Association (ISDA)</w:t>
            </w:r>
          </w:p>
        </w:tc>
      </w:tr>
      <w:tr w:rsidR="00C74E68" w:rsidRPr="00C74E68" w:rsidTr="00E96817">
        <w:trPr>
          <w:trHeight w:val="278"/>
        </w:trPr>
        <w:tc>
          <w:tcPr>
            <w:tcW w:w="9067" w:type="dxa"/>
            <w:tcBorders>
              <w:top w:val="single" w:sz="4" w:space="0" w:color="000000"/>
              <w:left w:val="single" w:sz="4" w:space="0" w:color="000000"/>
              <w:bottom w:val="single" w:sz="4" w:space="0" w:color="000000"/>
              <w:right w:val="single" w:sz="4" w:space="0" w:color="000000"/>
            </w:tcBorders>
          </w:tcPr>
          <w:p w:rsidR="00C74E68" w:rsidRPr="00C74E68" w:rsidRDefault="00C74E68" w:rsidP="00E96817">
            <w:r>
              <w:t>Intesa Sanpaolo</w:t>
            </w:r>
          </w:p>
        </w:tc>
      </w:tr>
      <w:tr w:rsidR="00C74E68" w:rsidRPr="00C74E68" w:rsidTr="00E96817">
        <w:trPr>
          <w:trHeight w:val="278"/>
        </w:trPr>
        <w:tc>
          <w:tcPr>
            <w:tcW w:w="9067" w:type="dxa"/>
            <w:tcBorders>
              <w:top w:val="single" w:sz="4" w:space="0" w:color="000000"/>
              <w:left w:val="single" w:sz="4" w:space="0" w:color="000000"/>
              <w:bottom w:val="single" w:sz="4" w:space="0" w:color="000000"/>
              <w:right w:val="single" w:sz="4" w:space="0" w:color="000000"/>
            </w:tcBorders>
          </w:tcPr>
          <w:p w:rsidR="00C74E68" w:rsidRPr="00C74E68" w:rsidRDefault="00C74E68" w:rsidP="00E96817">
            <w:r>
              <w:t>Joint Energy Associations Group (JEAG)</w:t>
            </w:r>
          </w:p>
        </w:tc>
      </w:tr>
      <w:tr w:rsidR="00C74E68" w:rsidRPr="00C74E68" w:rsidTr="00E96817">
        <w:trPr>
          <w:trHeight w:val="278"/>
        </w:trPr>
        <w:tc>
          <w:tcPr>
            <w:tcW w:w="9067" w:type="dxa"/>
            <w:tcBorders>
              <w:top w:val="single" w:sz="4" w:space="0" w:color="000000"/>
              <w:left w:val="single" w:sz="4" w:space="0" w:color="000000"/>
              <w:bottom w:val="single" w:sz="4" w:space="0" w:color="000000"/>
              <w:right w:val="single" w:sz="4" w:space="0" w:color="000000"/>
            </w:tcBorders>
          </w:tcPr>
          <w:p w:rsidR="00C74E68" w:rsidRPr="00C74E68" w:rsidRDefault="00C74E68" w:rsidP="00E96817">
            <w:r>
              <w:t>JPMorgan Chase &amp; Co</w:t>
            </w:r>
          </w:p>
        </w:tc>
      </w:tr>
      <w:tr w:rsidR="00C74E68" w:rsidRPr="00C74E68" w:rsidTr="00E96817">
        <w:trPr>
          <w:trHeight w:val="278"/>
        </w:trPr>
        <w:tc>
          <w:tcPr>
            <w:tcW w:w="9067" w:type="dxa"/>
            <w:tcBorders>
              <w:top w:val="single" w:sz="4" w:space="0" w:color="000000"/>
              <w:left w:val="single" w:sz="4" w:space="0" w:color="000000"/>
              <w:bottom w:val="single" w:sz="4" w:space="0" w:color="000000"/>
              <w:right w:val="single" w:sz="4" w:space="0" w:color="000000"/>
            </w:tcBorders>
          </w:tcPr>
          <w:p w:rsidR="00C74E68" w:rsidRPr="00C74E68" w:rsidRDefault="00C74E68" w:rsidP="00E96817">
            <w:r>
              <w:t>KDPW CCP Spółka Akcyjna</w:t>
            </w:r>
          </w:p>
        </w:tc>
      </w:tr>
      <w:tr w:rsidR="00C74E68" w:rsidRPr="00C74E68" w:rsidTr="00E96817">
        <w:trPr>
          <w:trHeight w:val="278"/>
        </w:trPr>
        <w:tc>
          <w:tcPr>
            <w:tcW w:w="9067" w:type="dxa"/>
            <w:tcBorders>
              <w:top w:val="single" w:sz="4" w:space="0" w:color="000000"/>
              <w:left w:val="single" w:sz="4" w:space="0" w:color="000000"/>
              <w:bottom w:val="single" w:sz="4" w:space="0" w:color="000000"/>
              <w:right w:val="single" w:sz="4" w:space="0" w:color="000000"/>
            </w:tcBorders>
          </w:tcPr>
          <w:p w:rsidR="00C74E68" w:rsidRPr="00C74E68" w:rsidRDefault="00C74E68" w:rsidP="00E96817">
            <w:r>
              <w:t>Kreab</w:t>
            </w:r>
          </w:p>
        </w:tc>
      </w:tr>
      <w:tr w:rsidR="00C74E68" w:rsidRPr="00C74E68" w:rsidTr="00E96817">
        <w:trPr>
          <w:trHeight w:val="278"/>
        </w:trPr>
        <w:tc>
          <w:tcPr>
            <w:tcW w:w="9067" w:type="dxa"/>
            <w:tcBorders>
              <w:top w:val="single" w:sz="4" w:space="0" w:color="000000"/>
              <w:left w:val="single" w:sz="4" w:space="0" w:color="000000"/>
              <w:bottom w:val="single" w:sz="4" w:space="0" w:color="000000"/>
              <w:right w:val="single" w:sz="4" w:space="0" w:color="000000"/>
            </w:tcBorders>
          </w:tcPr>
          <w:p w:rsidR="00C74E68" w:rsidRPr="00C74E68" w:rsidRDefault="00C74E68" w:rsidP="00E96817">
            <w:r>
              <w:t>LCH</w:t>
            </w:r>
          </w:p>
        </w:tc>
      </w:tr>
      <w:tr w:rsidR="00C74E68" w:rsidRPr="00C74E68" w:rsidTr="00E96817">
        <w:trPr>
          <w:trHeight w:val="278"/>
        </w:trPr>
        <w:tc>
          <w:tcPr>
            <w:tcW w:w="9067" w:type="dxa"/>
            <w:tcBorders>
              <w:top w:val="single" w:sz="4" w:space="0" w:color="000000"/>
              <w:left w:val="single" w:sz="4" w:space="0" w:color="000000"/>
              <w:bottom w:val="single" w:sz="4" w:space="0" w:color="000000"/>
              <w:right w:val="single" w:sz="4" w:space="0" w:color="000000"/>
            </w:tcBorders>
          </w:tcPr>
          <w:p w:rsidR="00C74E68" w:rsidRPr="00C74E68" w:rsidRDefault="00C74E68" w:rsidP="00E96817">
            <w:r>
              <w:t>LCH SA</w:t>
            </w:r>
          </w:p>
        </w:tc>
      </w:tr>
      <w:tr w:rsidR="00C74E68" w:rsidRPr="00C74E68" w:rsidTr="00E96817">
        <w:trPr>
          <w:trHeight w:val="278"/>
        </w:trPr>
        <w:tc>
          <w:tcPr>
            <w:tcW w:w="9067" w:type="dxa"/>
            <w:tcBorders>
              <w:top w:val="single" w:sz="4" w:space="0" w:color="000000"/>
              <w:left w:val="single" w:sz="4" w:space="0" w:color="000000"/>
              <w:bottom w:val="single" w:sz="4" w:space="0" w:color="000000"/>
              <w:right w:val="single" w:sz="4" w:space="0" w:color="000000"/>
            </w:tcBorders>
          </w:tcPr>
          <w:p w:rsidR="00C74E68" w:rsidRPr="00C74E68" w:rsidRDefault="00C74E68" w:rsidP="00E96817">
            <w:r>
              <w:t>NASDAQ</w:t>
            </w:r>
          </w:p>
        </w:tc>
      </w:tr>
      <w:tr w:rsidR="00C74E68" w:rsidRPr="00C74E68" w:rsidTr="00E96817">
        <w:trPr>
          <w:trHeight w:val="278"/>
        </w:trPr>
        <w:tc>
          <w:tcPr>
            <w:tcW w:w="9067" w:type="dxa"/>
            <w:tcBorders>
              <w:top w:val="single" w:sz="4" w:space="0" w:color="000000"/>
              <w:left w:val="single" w:sz="4" w:space="0" w:color="000000"/>
              <w:bottom w:val="single" w:sz="4" w:space="0" w:color="000000"/>
              <w:right w:val="single" w:sz="4" w:space="0" w:color="000000"/>
            </w:tcBorders>
          </w:tcPr>
          <w:p w:rsidR="00C74E68" w:rsidRPr="00C74E68" w:rsidRDefault="00C74E68" w:rsidP="00E96817">
            <w:r>
              <w:t>Nordic Securities Association</w:t>
            </w:r>
          </w:p>
        </w:tc>
      </w:tr>
      <w:tr w:rsidR="00C74E68" w:rsidRPr="00C74E68" w:rsidTr="00E96817">
        <w:trPr>
          <w:trHeight w:val="278"/>
        </w:trPr>
        <w:tc>
          <w:tcPr>
            <w:tcW w:w="9067" w:type="dxa"/>
            <w:tcBorders>
              <w:top w:val="single" w:sz="4" w:space="0" w:color="000000"/>
              <w:left w:val="single" w:sz="4" w:space="0" w:color="000000"/>
              <w:bottom w:val="single" w:sz="4" w:space="0" w:color="000000"/>
              <w:right w:val="single" w:sz="4" w:space="0" w:color="000000"/>
            </w:tcBorders>
          </w:tcPr>
          <w:p w:rsidR="00C74E68" w:rsidRPr="00C74E68" w:rsidRDefault="00C74E68" w:rsidP="00E96817">
            <w:r>
              <w:t>Permanent Representation of Belgium</w:t>
            </w:r>
          </w:p>
        </w:tc>
      </w:tr>
      <w:tr w:rsidR="00C74E68" w:rsidRPr="00C74E68" w:rsidTr="00E96817">
        <w:trPr>
          <w:trHeight w:val="278"/>
        </w:trPr>
        <w:tc>
          <w:tcPr>
            <w:tcW w:w="9067" w:type="dxa"/>
            <w:tcBorders>
              <w:top w:val="single" w:sz="4" w:space="0" w:color="000000"/>
              <w:left w:val="single" w:sz="4" w:space="0" w:color="000000"/>
              <w:bottom w:val="single" w:sz="4" w:space="0" w:color="000000"/>
              <w:right w:val="single" w:sz="4" w:space="0" w:color="000000"/>
            </w:tcBorders>
          </w:tcPr>
          <w:p w:rsidR="00C74E68" w:rsidRPr="00C74E68" w:rsidRDefault="00C74E68" w:rsidP="00E96817">
            <w:r>
              <w:t>Permanent Representation of France</w:t>
            </w:r>
          </w:p>
        </w:tc>
      </w:tr>
      <w:tr w:rsidR="00C74E68" w:rsidRPr="00C74E68" w:rsidTr="00E96817">
        <w:trPr>
          <w:trHeight w:val="278"/>
        </w:trPr>
        <w:tc>
          <w:tcPr>
            <w:tcW w:w="9067" w:type="dxa"/>
            <w:tcBorders>
              <w:top w:val="single" w:sz="4" w:space="0" w:color="000000"/>
              <w:left w:val="single" w:sz="4" w:space="0" w:color="000000"/>
              <w:bottom w:val="single" w:sz="4" w:space="0" w:color="000000"/>
              <w:right w:val="single" w:sz="4" w:space="0" w:color="000000"/>
            </w:tcBorders>
          </w:tcPr>
          <w:p w:rsidR="00C74E68" w:rsidRPr="00C74E68" w:rsidRDefault="00C74E68" w:rsidP="00E96817">
            <w:r>
              <w:t>Permanent Representation of Germany</w:t>
            </w:r>
          </w:p>
        </w:tc>
      </w:tr>
      <w:tr w:rsidR="00C74E68" w:rsidRPr="00C74E68" w:rsidTr="00E96817">
        <w:trPr>
          <w:trHeight w:val="278"/>
        </w:trPr>
        <w:tc>
          <w:tcPr>
            <w:tcW w:w="9067" w:type="dxa"/>
            <w:tcBorders>
              <w:top w:val="single" w:sz="4" w:space="0" w:color="000000"/>
              <w:left w:val="single" w:sz="4" w:space="0" w:color="000000"/>
              <w:bottom w:val="single" w:sz="4" w:space="0" w:color="000000"/>
              <w:right w:val="single" w:sz="4" w:space="0" w:color="000000"/>
            </w:tcBorders>
          </w:tcPr>
          <w:p w:rsidR="00C74E68" w:rsidRPr="00C74E68" w:rsidRDefault="00C74E68" w:rsidP="00E96817">
            <w:r>
              <w:t>Permanent Representation of Spain</w:t>
            </w:r>
          </w:p>
        </w:tc>
      </w:tr>
      <w:tr w:rsidR="00C74E68" w:rsidRPr="00C74E68" w:rsidTr="00E96817">
        <w:trPr>
          <w:trHeight w:val="278"/>
        </w:trPr>
        <w:tc>
          <w:tcPr>
            <w:tcW w:w="9067" w:type="dxa"/>
            <w:tcBorders>
              <w:top w:val="single" w:sz="4" w:space="0" w:color="000000"/>
              <w:left w:val="single" w:sz="4" w:space="0" w:color="000000"/>
              <w:bottom w:val="single" w:sz="4" w:space="0" w:color="000000"/>
              <w:right w:val="single" w:sz="4" w:space="0" w:color="000000"/>
            </w:tcBorders>
          </w:tcPr>
          <w:p w:rsidR="00C74E68" w:rsidRPr="00C74E68" w:rsidRDefault="00C74E68" w:rsidP="00E96817">
            <w:r>
              <w:t>Permanent Representation of the Netherlands</w:t>
            </w:r>
          </w:p>
        </w:tc>
      </w:tr>
      <w:tr w:rsidR="00C74E68" w:rsidRPr="00C74E68" w:rsidTr="00E96817">
        <w:trPr>
          <w:trHeight w:val="278"/>
        </w:trPr>
        <w:tc>
          <w:tcPr>
            <w:tcW w:w="9067" w:type="dxa"/>
            <w:tcBorders>
              <w:top w:val="single" w:sz="4" w:space="0" w:color="000000"/>
              <w:left w:val="single" w:sz="4" w:space="0" w:color="000000"/>
              <w:bottom w:val="single" w:sz="4" w:space="0" w:color="000000"/>
              <w:right w:val="single" w:sz="4" w:space="0" w:color="000000"/>
            </w:tcBorders>
          </w:tcPr>
          <w:p w:rsidR="00C74E68" w:rsidRPr="00C74E68" w:rsidRDefault="00C74E68" w:rsidP="00E96817">
            <w:r>
              <w:t>Société Générale</w:t>
            </w:r>
          </w:p>
        </w:tc>
      </w:tr>
      <w:tr w:rsidR="00C74E68" w:rsidRPr="00C74E68" w:rsidTr="00E96817">
        <w:trPr>
          <w:trHeight w:val="278"/>
        </w:trPr>
        <w:tc>
          <w:tcPr>
            <w:tcW w:w="9067" w:type="dxa"/>
            <w:tcBorders>
              <w:top w:val="single" w:sz="4" w:space="0" w:color="000000"/>
              <w:left w:val="single" w:sz="4" w:space="0" w:color="000000"/>
              <w:bottom w:val="single" w:sz="4" w:space="0" w:color="000000"/>
              <w:right w:val="single" w:sz="4" w:space="0" w:color="000000"/>
            </w:tcBorders>
          </w:tcPr>
          <w:p w:rsidR="00C74E68" w:rsidRPr="00C74E68" w:rsidRDefault="00C74E68" w:rsidP="00E96817">
            <w:r>
              <w:t>UK Mission to the European Union</w:t>
            </w:r>
          </w:p>
        </w:tc>
      </w:tr>
      <w:tr w:rsidR="00C74E68" w:rsidRPr="00C74E68" w:rsidTr="00E96817">
        <w:trPr>
          <w:trHeight w:val="278"/>
        </w:trPr>
        <w:tc>
          <w:tcPr>
            <w:tcW w:w="9067" w:type="dxa"/>
            <w:tcBorders>
              <w:top w:val="single" w:sz="4" w:space="0" w:color="000000"/>
              <w:left w:val="single" w:sz="4" w:space="0" w:color="000000"/>
              <w:bottom w:val="single" w:sz="4" w:space="0" w:color="000000"/>
              <w:right w:val="single" w:sz="4" w:space="0" w:color="000000"/>
            </w:tcBorders>
          </w:tcPr>
          <w:p w:rsidR="00C74E68" w:rsidRPr="00C74E68" w:rsidRDefault="00C74E68" w:rsidP="00E96817">
            <w:r>
              <w:t>UniCredit</w:t>
            </w:r>
          </w:p>
        </w:tc>
      </w:tr>
    </w:tbl>
    <w:p w:rsidR="00C74E68" w:rsidRPr="00C74E68" w:rsidRDefault="00C74E68" w:rsidP="00C74E68"/>
    <w:p w:rsidR="00C74E68" w:rsidRPr="00C74E68" w:rsidRDefault="009C6A72" w:rsidP="00C74E68">
      <w:r>
        <w:rPr>
          <w:sz w:val="22"/>
        </w:rPr>
        <w:t>Výše uvedený seznam je sestaven na výhradní odpovědnost zpravodajky.</w:t>
      </w:r>
    </w:p>
    <w:p w:rsidR="00AB1B30" w:rsidRPr="00C74E68" w:rsidRDefault="00AB1B30" w:rsidP="00AB1B30"/>
    <w:p w:rsidR="0021773F" w:rsidRPr="00C74E68" w:rsidRDefault="0021773F" w:rsidP="0021773F">
      <w:r>
        <w:br w:type="page"/>
      </w:r>
    </w:p>
    <w:p w:rsidR="0021773F" w:rsidRPr="00C74E68" w:rsidRDefault="0021773F" w:rsidP="0021773F">
      <w:pPr>
        <w:pStyle w:val="PageHeading"/>
      </w:pPr>
      <w:bookmarkStart w:id="5" w:name="ProcPageRR"/>
      <w:bookmarkStart w:id="6" w:name="_Toc155686311"/>
      <w:r>
        <w:t>POSTUP V PŘÍSLUŠNÉM VÝBORU</w:t>
      </w:r>
      <w:bookmarkEnd w:id="6"/>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21773F" w:rsidRPr="00C74E6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21773F" w:rsidRPr="00C74E68" w:rsidRDefault="0021773F">
            <w:pPr>
              <w:autoSpaceDE w:val="0"/>
              <w:autoSpaceDN w:val="0"/>
              <w:adjustRightInd w:val="0"/>
              <w:rPr>
                <w:b/>
                <w:bCs/>
                <w:color w:val="000000"/>
                <w:sz w:val="20"/>
              </w:rPr>
            </w:pPr>
            <w:r>
              <w:rPr>
                <w:b/>
                <w:color w:val="000000"/>
                <w:sz w:val="20"/>
              </w:rPr>
              <w:t>Název</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21773F" w:rsidRPr="00C74E68" w:rsidRDefault="0021773F">
            <w:pPr>
              <w:autoSpaceDE w:val="0"/>
              <w:autoSpaceDN w:val="0"/>
              <w:adjustRightInd w:val="0"/>
              <w:rPr>
                <w:color w:val="000000"/>
                <w:sz w:val="20"/>
              </w:rPr>
            </w:pPr>
            <w:r>
              <w:rPr>
                <w:color w:val="000000"/>
                <w:sz w:val="20"/>
              </w:rPr>
              <w:t>Změna směrnic 2009/65/EU, 2013/36/EU a (EU) 2019/2034, pokud jde o zacházení s rizikem koncentrace vůči ústředním protistranám a rizikem protistrany u centrálně zúčtovaných derivátových transakcí.</w:t>
            </w:r>
          </w:p>
        </w:tc>
      </w:tr>
      <w:tr w:rsidR="0021773F" w:rsidRPr="00C74E68">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21773F" w:rsidRPr="00C74E68" w:rsidRDefault="0021773F">
            <w:pPr>
              <w:autoSpaceDE w:val="0"/>
              <w:autoSpaceDN w:val="0"/>
              <w:adjustRightInd w:val="0"/>
              <w:rPr>
                <w:b/>
                <w:bCs/>
                <w:color w:val="000000"/>
                <w:sz w:val="20"/>
              </w:rPr>
            </w:pPr>
            <w:r>
              <w:rPr>
                <w:b/>
                <w:color w:val="000000"/>
                <w:sz w:val="20"/>
              </w:rPr>
              <w:t>Referenční údaje</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21773F" w:rsidRPr="00C74E68" w:rsidRDefault="0021773F">
            <w:pPr>
              <w:autoSpaceDE w:val="0"/>
              <w:autoSpaceDN w:val="0"/>
              <w:adjustRightInd w:val="0"/>
              <w:rPr>
                <w:color w:val="000000"/>
                <w:sz w:val="20"/>
              </w:rPr>
            </w:pPr>
            <w:r>
              <w:rPr>
                <w:color w:val="000000"/>
                <w:sz w:val="20"/>
              </w:rPr>
              <w:t>COM(2022)0698 – C9-0411/2022 – 2022/0404(COD)</w:t>
            </w:r>
          </w:p>
        </w:tc>
      </w:tr>
      <w:tr w:rsidR="0021773F" w:rsidRPr="00C74E6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21773F" w:rsidRPr="00C74E68" w:rsidRDefault="0021773F">
            <w:pPr>
              <w:autoSpaceDE w:val="0"/>
              <w:autoSpaceDN w:val="0"/>
              <w:adjustRightInd w:val="0"/>
              <w:rPr>
                <w:b/>
                <w:bCs/>
                <w:color w:val="000000"/>
                <w:sz w:val="20"/>
              </w:rPr>
            </w:pPr>
            <w:r>
              <w:rPr>
                <w:b/>
                <w:color w:val="000000"/>
                <w:sz w:val="20"/>
              </w:rPr>
              <w:t>Datum předložení Parlamentu</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21773F" w:rsidRPr="00C74E68" w:rsidRDefault="0021773F">
            <w:pPr>
              <w:autoSpaceDE w:val="0"/>
              <w:autoSpaceDN w:val="0"/>
              <w:adjustRightInd w:val="0"/>
              <w:rPr>
                <w:color w:val="000000"/>
                <w:sz w:val="20"/>
              </w:rPr>
            </w:pPr>
            <w:r>
              <w:rPr>
                <w:color w:val="000000"/>
                <w:sz w:val="20"/>
              </w:rPr>
              <w:t>8.12.2022</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21773F" w:rsidRPr="00C74E68" w:rsidRDefault="0021773F">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21773F" w:rsidRPr="00C74E68" w:rsidRDefault="0021773F">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21773F" w:rsidRPr="00C74E68" w:rsidRDefault="0021773F">
            <w:pPr>
              <w:autoSpaceDE w:val="0"/>
              <w:autoSpaceDN w:val="0"/>
              <w:adjustRightInd w:val="0"/>
              <w:rPr>
                <w:rFonts w:ascii="sans-serif" w:hAnsi="sans-serif" w:cs="sans-serif"/>
                <w:color w:val="000000"/>
                <w:szCs w:val="24"/>
              </w:rPr>
            </w:pPr>
          </w:p>
        </w:tc>
      </w:tr>
      <w:tr w:rsidR="0021773F" w:rsidRPr="00C74E68">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21773F" w:rsidRPr="00C74E68" w:rsidRDefault="0021773F">
            <w:pPr>
              <w:autoSpaceDE w:val="0"/>
              <w:autoSpaceDN w:val="0"/>
              <w:adjustRightInd w:val="0"/>
              <w:rPr>
                <w:b/>
                <w:bCs/>
                <w:color w:val="000000"/>
                <w:sz w:val="20"/>
              </w:rPr>
            </w:pPr>
            <w:r>
              <w:rPr>
                <w:b/>
                <w:color w:val="000000"/>
                <w:sz w:val="20"/>
              </w:rPr>
              <w:t>Příslušný výbor</w:t>
            </w:r>
          </w:p>
          <w:p w:rsidR="0021773F" w:rsidRPr="00C74E68" w:rsidRDefault="0021773F">
            <w:pPr>
              <w:autoSpaceDE w:val="0"/>
              <w:autoSpaceDN w:val="0"/>
              <w:adjustRightInd w:val="0"/>
              <w:rPr>
                <w:color w:val="000000"/>
                <w:sz w:val="20"/>
              </w:rPr>
            </w:pPr>
            <w:r>
              <w:rPr>
                <w:color w:val="000000"/>
                <w:sz w:val="20"/>
              </w:rPr>
              <w:t>       Datum oznámení na zasedání</w:t>
            </w:r>
          </w:p>
        </w:tc>
        <w:tc>
          <w:tcPr>
            <w:tcW w:w="1530" w:type="dxa"/>
            <w:tcBorders>
              <w:top w:val="nil"/>
              <w:left w:val="nil"/>
              <w:bottom w:val="single" w:sz="8" w:space="0" w:color="000000"/>
              <w:right w:val="nil"/>
            </w:tcBorders>
            <w:tcMar>
              <w:top w:w="79" w:type="dxa"/>
              <w:left w:w="79" w:type="dxa"/>
              <w:bottom w:w="79" w:type="dxa"/>
              <w:right w:w="79" w:type="dxa"/>
            </w:tcMar>
          </w:tcPr>
          <w:p w:rsidR="0021773F" w:rsidRPr="00C74E68" w:rsidRDefault="0021773F">
            <w:pPr>
              <w:autoSpaceDE w:val="0"/>
              <w:autoSpaceDN w:val="0"/>
              <w:adjustRightInd w:val="0"/>
              <w:rPr>
                <w:color w:val="000000"/>
                <w:sz w:val="20"/>
              </w:rPr>
            </w:pPr>
            <w:r>
              <w:rPr>
                <w:color w:val="000000"/>
                <w:sz w:val="20"/>
              </w:rPr>
              <w:t>ECON</w:t>
            </w:r>
          </w:p>
          <w:p w:rsidR="0021773F" w:rsidRPr="00C74E68" w:rsidRDefault="0021773F">
            <w:pPr>
              <w:autoSpaceDE w:val="0"/>
              <w:autoSpaceDN w:val="0"/>
              <w:adjustRightInd w:val="0"/>
              <w:rPr>
                <w:color w:val="000000"/>
                <w:sz w:val="20"/>
              </w:rPr>
            </w:pPr>
            <w:r>
              <w:rPr>
                <w:color w:val="000000"/>
                <w:sz w:val="20"/>
              </w:rPr>
              <w:t>1.2.2023</w:t>
            </w:r>
          </w:p>
        </w:tc>
        <w:tc>
          <w:tcPr>
            <w:tcW w:w="1474" w:type="dxa"/>
            <w:tcBorders>
              <w:top w:val="nil"/>
              <w:left w:val="nil"/>
              <w:bottom w:val="single" w:sz="8" w:space="0" w:color="000000"/>
              <w:right w:val="nil"/>
            </w:tcBorders>
            <w:tcMar>
              <w:top w:w="79" w:type="dxa"/>
              <w:left w:w="79" w:type="dxa"/>
              <w:bottom w:w="79" w:type="dxa"/>
              <w:right w:w="79" w:type="dxa"/>
            </w:tcMar>
          </w:tcPr>
          <w:p w:rsidR="0021773F" w:rsidRPr="00C74E68" w:rsidRDefault="0021773F">
            <w:pPr>
              <w:autoSpaceDE w:val="0"/>
              <w:autoSpaceDN w:val="0"/>
              <w:adjustRightInd w:val="0"/>
              <w:rPr>
                <w:rFonts w:ascii="sans-serif" w:hAnsi="sans-serif" w:cs="sans-serif"/>
                <w:color w:val="000000"/>
                <w:szCs w:val="24"/>
              </w:rPr>
            </w:pPr>
          </w:p>
        </w:tc>
        <w:tc>
          <w:tcPr>
            <w:tcW w:w="1474" w:type="dxa"/>
            <w:tcBorders>
              <w:top w:val="nil"/>
              <w:left w:val="nil"/>
              <w:bottom w:val="single" w:sz="8" w:space="0" w:color="000000"/>
              <w:right w:val="nil"/>
            </w:tcBorders>
            <w:tcMar>
              <w:top w:w="79" w:type="dxa"/>
              <w:left w:w="79" w:type="dxa"/>
              <w:bottom w:w="79" w:type="dxa"/>
              <w:right w:w="79" w:type="dxa"/>
            </w:tcMar>
          </w:tcPr>
          <w:p w:rsidR="0021773F" w:rsidRPr="00C74E68" w:rsidRDefault="0021773F">
            <w:pPr>
              <w:autoSpaceDE w:val="0"/>
              <w:autoSpaceDN w:val="0"/>
              <w:adjustRightInd w:val="0"/>
              <w:rPr>
                <w:rFonts w:ascii="sans-serif" w:hAnsi="sans-serif" w:cs="sans-serif"/>
                <w:color w:val="000000"/>
                <w:szCs w:val="24"/>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rsidR="0021773F" w:rsidRPr="00C74E68" w:rsidRDefault="0021773F">
            <w:pPr>
              <w:autoSpaceDE w:val="0"/>
              <w:autoSpaceDN w:val="0"/>
              <w:adjustRightInd w:val="0"/>
              <w:rPr>
                <w:rFonts w:ascii="sans-serif" w:hAnsi="sans-serif" w:cs="sans-serif"/>
                <w:color w:val="000000"/>
                <w:szCs w:val="24"/>
              </w:rPr>
            </w:pPr>
          </w:p>
        </w:tc>
      </w:tr>
      <w:tr w:rsidR="0021773F" w:rsidRPr="00C74E6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21773F" w:rsidRPr="00C74E68" w:rsidRDefault="0021773F">
            <w:pPr>
              <w:autoSpaceDE w:val="0"/>
              <w:autoSpaceDN w:val="0"/>
              <w:adjustRightInd w:val="0"/>
              <w:rPr>
                <w:b/>
                <w:bCs/>
                <w:color w:val="000000"/>
                <w:sz w:val="20"/>
              </w:rPr>
            </w:pPr>
            <w:r>
              <w:rPr>
                <w:b/>
                <w:color w:val="000000"/>
                <w:sz w:val="20"/>
              </w:rPr>
              <w:t>Výbory požádané o stanovisko</w:t>
            </w:r>
          </w:p>
          <w:p w:rsidR="0021773F" w:rsidRPr="00C74E68" w:rsidRDefault="0021773F">
            <w:pPr>
              <w:autoSpaceDE w:val="0"/>
              <w:autoSpaceDN w:val="0"/>
              <w:adjustRightInd w:val="0"/>
              <w:rPr>
                <w:color w:val="000000"/>
                <w:sz w:val="20"/>
              </w:rPr>
            </w:pPr>
            <w:r>
              <w:rPr>
                <w:color w:val="000000"/>
                <w:sz w:val="20"/>
              </w:rPr>
              <w:t>       Datum oznámení na zasedání</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21773F" w:rsidRPr="00C74E68" w:rsidRDefault="0021773F">
            <w:pPr>
              <w:autoSpaceDE w:val="0"/>
              <w:autoSpaceDN w:val="0"/>
              <w:adjustRightInd w:val="0"/>
              <w:rPr>
                <w:color w:val="000000"/>
                <w:sz w:val="20"/>
              </w:rPr>
            </w:pPr>
            <w:r>
              <w:rPr>
                <w:color w:val="000000"/>
                <w:sz w:val="20"/>
              </w:rPr>
              <w:t>JURI</w:t>
            </w:r>
          </w:p>
          <w:p w:rsidR="0021773F" w:rsidRPr="00C74E68" w:rsidRDefault="0021773F">
            <w:pPr>
              <w:autoSpaceDE w:val="0"/>
              <w:autoSpaceDN w:val="0"/>
              <w:adjustRightInd w:val="0"/>
              <w:rPr>
                <w:color w:val="000000"/>
                <w:sz w:val="20"/>
              </w:rPr>
            </w:pPr>
            <w:r>
              <w:rPr>
                <w:color w:val="000000"/>
                <w:sz w:val="20"/>
              </w:rPr>
              <w:t>1.2.2023</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21773F" w:rsidRPr="00C74E68" w:rsidRDefault="0021773F">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21773F" w:rsidRPr="00C74E68" w:rsidRDefault="0021773F">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21773F" w:rsidRPr="00C74E68" w:rsidRDefault="0021773F">
            <w:pPr>
              <w:autoSpaceDE w:val="0"/>
              <w:autoSpaceDN w:val="0"/>
              <w:adjustRightInd w:val="0"/>
              <w:rPr>
                <w:rFonts w:ascii="sans-serif" w:hAnsi="sans-serif" w:cs="sans-serif"/>
                <w:color w:val="000000"/>
                <w:szCs w:val="24"/>
              </w:rPr>
            </w:pPr>
          </w:p>
        </w:tc>
      </w:tr>
      <w:tr w:rsidR="0021773F" w:rsidRPr="00C74E68">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21773F" w:rsidRPr="00C74E68" w:rsidRDefault="0021773F">
            <w:pPr>
              <w:autoSpaceDE w:val="0"/>
              <w:autoSpaceDN w:val="0"/>
              <w:adjustRightInd w:val="0"/>
              <w:rPr>
                <w:b/>
                <w:bCs/>
                <w:color w:val="000000"/>
                <w:sz w:val="20"/>
              </w:rPr>
            </w:pPr>
            <w:r>
              <w:rPr>
                <w:b/>
                <w:color w:val="000000"/>
                <w:sz w:val="20"/>
              </w:rPr>
              <w:t>Nezaujetí stanoviska</w:t>
            </w:r>
          </w:p>
          <w:p w:rsidR="0021773F" w:rsidRPr="00C74E68" w:rsidRDefault="0021773F">
            <w:pPr>
              <w:autoSpaceDE w:val="0"/>
              <w:autoSpaceDN w:val="0"/>
              <w:adjustRightInd w:val="0"/>
              <w:rPr>
                <w:color w:val="000000"/>
                <w:sz w:val="20"/>
              </w:rPr>
            </w:pPr>
            <w:r>
              <w:rPr>
                <w:color w:val="000000"/>
                <w:sz w:val="20"/>
              </w:rPr>
              <w:t>       Datum rozhodnutí</w:t>
            </w:r>
          </w:p>
        </w:tc>
        <w:tc>
          <w:tcPr>
            <w:tcW w:w="1530" w:type="dxa"/>
            <w:tcBorders>
              <w:top w:val="nil"/>
              <w:left w:val="nil"/>
              <w:bottom w:val="single" w:sz="8" w:space="0" w:color="000000"/>
              <w:right w:val="nil"/>
            </w:tcBorders>
            <w:tcMar>
              <w:top w:w="79" w:type="dxa"/>
              <w:left w:w="79" w:type="dxa"/>
              <w:bottom w:w="79" w:type="dxa"/>
              <w:right w:w="79" w:type="dxa"/>
            </w:tcMar>
          </w:tcPr>
          <w:p w:rsidR="0021773F" w:rsidRPr="00C74E68" w:rsidRDefault="0021773F">
            <w:pPr>
              <w:autoSpaceDE w:val="0"/>
              <w:autoSpaceDN w:val="0"/>
              <w:adjustRightInd w:val="0"/>
              <w:rPr>
                <w:color w:val="000000"/>
                <w:sz w:val="20"/>
              </w:rPr>
            </w:pPr>
            <w:r>
              <w:rPr>
                <w:color w:val="000000"/>
                <w:sz w:val="20"/>
              </w:rPr>
              <w:t>JURI</w:t>
            </w:r>
          </w:p>
          <w:p w:rsidR="0021773F" w:rsidRPr="00C74E68" w:rsidRDefault="0021773F">
            <w:pPr>
              <w:autoSpaceDE w:val="0"/>
              <w:autoSpaceDN w:val="0"/>
              <w:adjustRightInd w:val="0"/>
              <w:rPr>
                <w:color w:val="000000"/>
                <w:sz w:val="20"/>
              </w:rPr>
            </w:pPr>
            <w:r>
              <w:rPr>
                <w:color w:val="000000"/>
                <w:sz w:val="20"/>
              </w:rPr>
              <w:t>31.1.2023</w:t>
            </w:r>
          </w:p>
        </w:tc>
        <w:tc>
          <w:tcPr>
            <w:tcW w:w="1474" w:type="dxa"/>
            <w:tcBorders>
              <w:top w:val="nil"/>
              <w:left w:val="nil"/>
              <w:bottom w:val="single" w:sz="8" w:space="0" w:color="000000"/>
              <w:right w:val="nil"/>
            </w:tcBorders>
            <w:tcMar>
              <w:top w:w="79" w:type="dxa"/>
              <w:left w:w="79" w:type="dxa"/>
              <w:bottom w:w="79" w:type="dxa"/>
              <w:right w:w="79" w:type="dxa"/>
            </w:tcMar>
          </w:tcPr>
          <w:p w:rsidR="0021773F" w:rsidRPr="00C74E68" w:rsidRDefault="0021773F">
            <w:pPr>
              <w:autoSpaceDE w:val="0"/>
              <w:autoSpaceDN w:val="0"/>
              <w:adjustRightInd w:val="0"/>
              <w:rPr>
                <w:rFonts w:ascii="sans-serif" w:hAnsi="sans-serif" w:cs="sans-serif"/>
                <w:color w:val="000000"/>
                <w:szCs w:val="24"/>
              </w:rPr>
            </w:pPr>
          </w:p>
        </w:tc>
        <w:tc>
          <w:tcPr>
            <w:tcW w:w="1474" w:type="dxa"/>
            <w:tcBorders>
              <w:top w:val="nil"/>
              <w:left w:val="nil"/>
              <w:bottom w:val="single" w:sz="8" w:space="0" w:color="000000"/>
              <w:right w:val="nil"/>
            </w:tcBorders>
            <w:tcMar>
              <w:top w:w="79" w:type="dxa"/>
              <w:left w:w="79" w:type="dxa"/>
              <w:bottom w:w="79" w:type="dxa"/>
              <w:right w:w="79" w:type="dxa"/>
            </w:tcMar>
          </w:tcPr>
          <w:p w:rsidR="0021773F" w:rsidRPr="00C74E68" w:rsidRDefault="0021773F">
            <w:pPr>
              <w:autoSpaceDE w:val="0"/>
              <w:autoSpaceDN w:val="0"/>
              <w:adjustRightInd w:val="0"/>
              <w:rPr>
                <w:rFonts w:ascii="sans-serif" w:hAnsi="sans-serif" w:cs="sans-serif"/>
                <w:color w:val="000000"/>
                <w:szCs w:val="24"/>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rsidR="0021773F" w:rsidRPr="00C74E68" w:rsidRDefault="0021773F">
            <w:pPr>
              <w:autoSpaceDE w:val="0"/>
              <w:autoSpaceDN w:val="0"/>
              <w:adjustRightInd w:val="0"/>
              <w:rPr>
                <w:rFonts w:ascii="sans-serif" w:hAnsi="sans-serif" w:cs="sans-serif"/>
                <w:color w:val="000000"/>
                <w:szCs w:val="24"/>
              </w:rPr>
            </w:pPr>
          </w:p>
        </w:tc>
      </w:tr>
      <w:tr w:rsidR="0021773F" w:rsidRPr="00C74E6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21773F" w:rsidRPr="00C74E68" w:rsidRDefault="0021773F">
            <w:pPr>
              <w:autoSpaceDE w:val="0"/>
              <w:autoSpaceDN w:val="0"/>
              <w:adjustRightInd w:val="0"/>
              <w:rPr>
                <w:b/>
                <w:bCs/>
                <w:color w:val="000000"/>
                <w:sz w:val="20"/>
              </w:rPr>
            </w:pPr>
            <w:r>
              <w:rPr>
                <w:b/>
                <w:color w:val="000000"/>
                <w:sz w:val="20"/>
              </w:rPr>
              <w:t>Zpravodajové</w:t>
            </w:r>
          </w:p>
          <w:p w:rsidR="0021773F" w:rsidRPr="00C74E68" w:rsidRDefault="0021773F">
            <w:pPr>
              <w:autoSpaceDE w:val="0"/>
              <w:autoSpaceDN w:val="0"/>
              <w:adjustRightInd w:val="0"/>
              <w:rPr>
                <w:color w:val="000000"/>
                <w:sz w:val="20"/>
              </w:rPr>
            </w:pPr>
            <w:r>
              <w:rPr>
                <w:color w:val="000000"/>
                <w:sz w:val="20"/>
              </w:rPr>
              <w:t>       Datum jmenování</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21773F" w:rsidRPr="00C74E68" w:rsidRDefault="0021773F">
            <w:pPr>
              <w:autoSpaceDE w:val="0"/>
              <w:autoSpaceDN w:val="0"/>
              <w:adjustRightInd w:val="0"/>
              <w:rPr>
                <w:color w:val="000000"/>
                <w:sz w:val="20"/>
              </w:rPr>
            </w:pPr>
            <w:r>
              <w:rPr>
                <w:color w:val="000000"/>
                <w:sz w:val="20"/>
              </w:rPr>
              <w:t>Danuta Maria Hübner</w:t>
            </w:r>
          </w:p>
          <w:p w:rsidR="0021773F" w:rsidRPr="00C74E68" w:rsidRDefault="0021773F">
            <w:pPr>
              <w:autoSpaceDE w:val="0"/>
              <w:autoSpaceDN w:val="0"/>
              <w:adjustRightInd w:val="0"/>
              <w:rPr>
                <w:color w:val="000000"/>
                <w:sz w:val="20"/>
              </w:rPr>
            </w:pPr>
            <w:r>
              <w:rPr>
                <w:color w:val="000000"/>
                <w:sz w:val="20"/>
              </w:rPr>
              <w:t>25.1.2023</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21773F" w:rsidRPr="00C74E68" w:rsidRDefault="0021773F">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21773F" w:rsidRPr="00C74E68" w:rsidRDefault="0021773F">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21773F" w:rsidRPr="00C74E68" w:rsidRDefault="0021773F">
            <w:pPr>
              <w:autoSpaceDE w:val="0"/>
              <w:autoSpaceDN w:val="0"/>
              <w:adjustRightInd w:val="0"/>
              <w:rPr>
                <w:rFonts w:ascii="sans-serif" w:hAnsi="sans-serif" w:cs="sans-serif"/>
                <w:color w:val="000000"/>
                <w:szCs w:val="24"/>
              </w:rPr>
            </w:pPr>
          </w:p>
        </w:tc>
      </w:tr>
      <w:tr w:rsidR="0021773F" w:rsidRPr="00C74E6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21773F" w:rsidRPr="00C74E68" w:rsidRDefault="0021773F">
            <w:pPr>
              <w:autoSpaceDE w:val="0"/>
              <w:autoSpaceDN w:val="0"/>
              <w:adjustRightInd w:val="0"/>
              <w:rPr>
                <w:b/>
                <w:bCs/>
                <w:color w:val="000000"/>
                <w:sz w:val="20"/>
              </w:rPr>
            </w:pPr>
            <w:r>
              <w:rPr>
                <w:b/>
                <w:color w:val="000000"/>
                <w:sz w:val="20"/>
              </w:rPr>
              <w:t>Projednání ve výboru</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21773F" w:rsidRPr="00C74E68" w:rsidRDefault="0021773F">
            <w:pPr>
              <w:autoSpaceDE w:val="0"/>
              <w:autoSpaceDN w:val="0"/>
              <w:adjustRightInd w:val="0"/>
              <w:rPr>
                <w:color w:val="000000"/>
                <w:sz w:val="20"/>
              </w:rPr>
            </w:pPr>
            <w:r>
              <w:rPr>
                <w:color w:val="000000"/>
                <w:sz w:val="20"/>
              </w:rPr>
              <w:t>5.6.2023</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21773F" w:rsidRPr="00C74E68" w:rsidRDefault="0021773F">
            <w:pPr>
              <w:autoSpaceDE w:val="0"/>
              <w:autoSpaceDN w:val="0"/>
              <w:adjustRightInd w:val="0"/>
              <w:rPr>
                <w:color w:val="000000"/>
                <w:sz w:val="20"/>
              </w:rPr>
            </w:pPr>
            <w:r>
              <w:rPr>
                <w:color w:val="000000"/>
                <w:sz w:val="20"/>
              </w:rPr>
              <w:t>28.6.2023</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21773F" w:rsidRPr="00C74E68" w:rsidRDefault="0021773F">
            <w:pPr>
              <w:autoSpaceDE w:val="0"/>
              <w:autoSpaceDN w:val="0"/>
              <w:adjustRightInd w:val="0"/>
              <w:rPr>
                <w:color w:val="000000"/>
                <w:sz w:val="20"/>
              </w:rPr>
            </w:pPr>
            <w:r>
              <w:rPr>
                <w:color w:val="000000"/>
                <w:sz w:val="20"/>
              </w:rPr>
              <w:t>30.8.2023</w:t>
            </w: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21773F" w:rsidRPr="00C74E68" w:rsidRDefault="0021773F">
            <w:pPr>
              <w:autoSpaceDE w:val="0"/>
              <w:autoSpaceDN w:val="0"/>
              <w:adjustRightInd w:val="0"/>
              <w:rPr>
                <w:rFonts w:ascii="sans-serif" w:hAnsi="sans-serif" w:cs="sans-serif"/>
                <w:color w:val="000000"/>
                <w:szCs w:val="24"/>
              </w:rPr>
            </w:pPr>
          </w:p>
        </w:tc>
      </w:tr>
      <w:tr w:rsidR="0021773F" w:rsidRPr="00C74E68">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21773F" w:rsidRPr="00C74E68" w:rsidRDefault="0021773F">
            <w:pPr>
              <w:autoSpaceDE w:val="0"/>
              <w:autoSpaceDN w:val="0"/>
              <w:adjustRightInd w:val="0"/>
              <w:rPr>
                <w:b/>
                <w:bCs/>
                <w:color w:val="000000"/>
                <w:sz w:val="20"/>
              </w:rPr>
            </w:pPr>
            <w:r>
              <w:rPr>
                <w:b/>
                <w:color w:val="000000"/>
                <w:sz w:val="20"/>
              </w:rPr>
              <w:t>Datum přijetí</w:t>
            </w:r>
          </w:p>
        </w:tc>
        <w:tc>
          <w:tcPr>
            <w:tcW w:w="1530" w:type="dxa"/>
            <w:tcBorders>
              <w:top w:val="nil"/>
              <w:left w:val="nil"/>
              <w:bottom w:val="single" w:sz="8" w:space="0" w:color="000000"/>
              <w:right w:val="nil"/>
            </w:tcBorders>
            <w:tcMar>
              <w:top w:w="79" w:type="dxa"/>
              <w:left w:w="79" w:type="dxa"/>
              <w:bottom w:w="79" w:type="dxa"/>
              <w:right w:w="79" w:type="dxa"/>
            </w:tcMar>
          </w:tcPr>
          <w:p w:rsidR="0021773F" w:rsidRPr="00C74E68" w:rsidRDefault="0021773F">
            <w:pPr>
              <w:autoSpaceDE w:val="0"/>
              <w:autoSpaceDN w:val="0"/>
              <w:adjustRightInd w:val="0"/>
              <w:rPr>
                <w:color w:val="000000"/>
                <w:sz w:val="20"/>
              </w:rPr>
            </w:pPr>
            <w:r>
              <w:rPr>
                <w:color w:val="000000"/>
                <w:sz w:val="20"/>
              </w:rPr>
              <w:t>28.11.2023</w:t>
            </w:r>
          </w:p>
        </w:tc>
        <w:tc>
          <w:tcPr>
            <w:tcW w:w="1474" w:type="dxa"/>
            <w:tcBorders>
              <w:top w:val="nil"/>
              <w:left w:val="nil"/>
              <w:bottom w:val="single" w:sz="8" w:space="0" w:color="000000"/>
              <w:right w:val="nil"/>
            </w:tcBorders>
            <w:tcMar>
              <w:top w:w="79" w:type="dxa"/>
              <w:left w:w="79" w:type="dxa"/>
              <w:bottom w:w="79" w:type="dxa"/>
              <w:right w:w="79" w:type="dxa"/>
            </w:tcMar>
          </w:tcPr>
          <w:p w:rsidR="0021773F" w:rsidRPr="00C74E68" w:rsidRDefault="0021773F">
            <w:pPr>
              <w:autoSpaceDE w:val="0"/>
              <w:autoSpaceDN w:val="0"/>
              <w:adjustRightInd w:val="0"/>
              <w:rPr>
                <w:rFonts w:ascii="sans-serif" w:hAnsi="sans-serif" w:cs="sans-serif"/>
                <w:color w:val="000000"/>
                <w:szCs w:val="24"/>
              </w:rPr>
            </w:pPr>
          </w:p>
        </w:tc>
        <w:tc>
          <w:tcPr>
            <w:tcW w:w="1474" w:type="dxa"/>
            <w:tcBorders>
              <w:top w:val="nil"/>
              <w:left w:val="nil"/>
              <w:bottom w:val="single" w:sz="8" w:space="0" w:color="000000"/>
              <w:right w:val="nil"/>
            </w:tcBorders>
            <w:tcMar>
              <w:top w:w="79" w:type="dxa"/>
              <w:left w:w="79" w:type="dxa"/>
              <w:bottom w:w="79" w:type="dxa"/>
              <w:right w:w="79" w:type="dxa"/>
            </w:tcMar>
          </w:tcPr>
          <w:p w:rsidR="0021773F" w:rsidRPr="00C74E68" w:rsidRDefault="0021773F">
            <w:pPr>
              <w:autoSpaceDE w:val="0"/>
              <w:autoSpaceDN w:val="0"/>
              <w:adjustRightInd w:val="0"/>
              <w:rPr>
                <w:rFonts w:ascii="sans-serif" w:hAnsi="sans-serif" w:cs="sans-serif"/>
                <w:color w:val="000000"/>
                <w:szCs w:val="24"/>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rsidR="0021773F" w:rsidRPr="00C74E68" w:rsidRDefault="0021773F">
            <w:pPr>
              <w:autoSpaceDE w:val="0"/>
              <w:autoSpaceDN w:val="0"/>
              <w:adjustRightInd w:val="0"/>
              <w:rPr>
                <w:rFonts w:ascii="sans-serif" w:hAnsi="sans-serif" w:cs="sans-serif"/>
                <w:color w:val="000000"/>
                <w:szCs w:val="24"/>
              </w:rPr>
            </w:pPr>
          </w:p>
        </w:tc>
      </w:tr>
      <w:tr w:rsidR="0021773F" w:rsidRPr="00C74E6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21773F" w:rsidRPr="00C74E68" w:rsidRDefault="0021773F">
            <w:pPr>
              <w:autoSpaceDE w:val="0"/>
              <w:autoSpaceDN w:val="0"/>
              <w:adjustRightInd w:val="0"/>
              <w:rPr>
                <w:b/>
                <w:bCs/>
                <w:color w:val="000000"/>
                <w:sz w:val="20"/>
              </w:rPr>
            </w:pPr>
            <w:r>
              <w:rPr>
                <w:b/>
                <w:color w:val="000000"/>
                <w:sz w:val="20"/>
              </w:rPr>
              <w:t>Výsledek konečného hlasování</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21773F" w:rsidRPr="00C74E68" w:rsidRDefault="0021773F">
            <w:pPr>
              <w:autoSpaceDE w:val="0"/>
              <w:autoSpaceDN w:val="0"/>
              <w:adjustRightInd w:val="0"/>
              <w:rPr>
                <w:color w:val="000000"/>
                <w:sz w:val="20"/>
              </w:rPr>
            </w:pPr>
            <w:r>
              <w:rPr>
                <w:color w:val="000000"/>
                <w:sz w:val="20"/>
              </w:rPr>
              <w:t>+:</w:t>
            </w:r>
          </w:p>
          <w:p w:rsidR="0021773F" w:rsidRPr="00C74E68" w:rsidRDefault="0021773F">
            <w:pPr>
              <w:autoSpaceDE w:val="0"/>
              <w:autoSpaceDN w:val="0"/>
              <w:adjustRightInd w:val="0"/>
              <w:rPr>
                <w:color w:val="000000"/>
                <w:sz w:val="20"/>
              </w:rPr>
            </w:pPr>
            <w:r>
              <w:rPr>
                <w:color w:val="000000"/>
                <w:sz w:val="20"/>
              </w:rPr>
              <w:t>–:</w:t>
            </w:r>
          </w:p>
          <w:p w:rsidR="0021773F" w:rsidRPr="00C74E68" w:rsidRDefault="0021773F">
            <w:pPr>
              <w:autoSpaceDE w:val="0"/>
              <w:autoSpaceDN w:val="0"/>
              <w:adjustRightInd w:val="0"/>
              <w:rPr>
                <w:color w:val="000000"/>
                <w:sz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21773F" w:rsidRPr="00C74E68" w:rsidRDefault="0021773F">
            <w:pPr>
              <w:autoSpaceDE w:val="0"/>
              <w:autoSpaceDN w:val="0"/>
              <w:adjustRightInd w:val="0"/>
              <w:rPr>
                <w:color w:val="000000"/>
                <w:sz w:val="20"/>
              </w:rPr>
            </w:pPr>
            <w:r>
              <w:rPr>
                <w:color w:val="000000"/>
                <w:sz w:val="20"/>
              </w:rPr>
              <w:t>47</w:t>
            </w:r>
          </w:p>
          <w:p w:rsidR="0021773F" w:rsidRPr="00C74E68" w:rsidRDefault="0021773F">
            <w:pPr>
              <w:autoSpaceDE w:val="0"/>
              <w:autoSpaceDN w:val="0"/>
              <w:adjustRightInd w:val="0"/>
              <w:rPr>
                <w:color w:val="000000"/>
                <w:sz w:val="20"/>
              </w:rPr>
            </w:pPr>
            <w:r>
              <w:rPr>
                <w:color w:val="000000"/>
                <w:sz w:val="20"/>
              </w:rPr>
              <w:t>3</w:t>
            </w:r>
          </w:p>
          <w:p w:rsidR="0021773F" w:rsidRPr="00C74E68" w:rsidRDefault="0021773F">
            <w:pPr>
              <w:autoSpaceDE w:val="0"/>
              <w:autoSpaceDN w:val="0"/>
              <w:adjustRightInd w:val="0"/>
              <w:rPr>
                <w:color w:val="000000"/>
                <w:sz w:val="20"/>
              </w:rPr>
            </w:pPr>
            <w:r>
              <w:rPr>
                <w:color w:val="000000"/>
                <w:sz w:val="20"/>
              </w:rPr>
              <w:t>3</w:t>
            </w:r>
          </w:p>
        </w:tc>
      </w:tr>
      <w:tr w:rsidR="0021773F" w:rsidRPr="00C74E6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21773F" w:rsidRPr="00C74E68" w:rsidRDefault="0021773F">
            <w:pPr>
              <w:autoSpaceDE w:val="0"/>
              <w:autoSpaceDN w:val="0"/>
              <w:adjustRightInd w:val="0"/>
              <w:rPr>
                <w:b/>
                <w:bCs/>
                <w:color w:val="000000"/>
                <w:sz w:val="20"/>
              </w:rPr>
            </w:pPr>
            <w:r>
              <w:rPr>
                <w:b/>
                <w:color w:val="000000"/>
                <w:sz w:val="20"/>
              </w:rPr>
              <w:t>Členové přítomní při konečném hlasování</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21773F" w:rsidRPr="00C74E68" w:rsidRDefault="0021773F">
            <w:pPr>
              <w:autoSpaceDE w:val="0"/>
              <w:autoSpaceDN w:val="0"/>
              <w:adjustRightInd w:val="0"/>
              <w:rPr>
                <w:color w:val="000000"/>
                <w:sz w:val="20"/>
              </w:rPr>
            </w:pPr>
            <w:r>
              <w:rPr>
                <w:color w:val="000000"/>
                <w:sz w:val="20"/>
              </w:rPr>
              <w:t>Rasmus Andresen, Anna-Michelle Asimakopoulou, Gunnar Beck, Marek Belka, Isabel Benjumea Benjumea, Stefan Berger, Engin Eroglu, Markus Ferber, Jonás Fernández, Frances Fitzgerald, José Manuel García-Margallo y Marfil, Claude Gruffat, José Gusmão, Enikő Győri, Eero Heinäluoma, Danuta Maria Hübner, Stasys Jakeliūnas, France Jamet, Othmar Karas, Billy Kelleher, Ondřej Kovařík, Georgios Kyrtsos, Aurore Lalucq, Philippe Lamberts, Pedro Marques, Denis Nesci, Luděk Niedermayer, Lefteris Nikolaou-Alavanos, Kira Marie Peter-Hansen, Eva Maria Poptcheva, Antonio Maria Rinaldi, Dorien Rookmaker, Alfred Sant, Joachim Schuster, Ralf Seekatz, Pedro Silva Pereira, Paul Tang, Irene Tinagli, Inese Vaidere, Johan Van Overtveldt, Roberts Zīle</w:t>
            </w:r>
          </w:p>
        </w:tc>
      </w:tr>
      <w:tr w:rsidR="0021773F" w:rsidRPr="00C74E68">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21773F" w:rsidRPr="00C74E68" w:rsidRDefault="0021773F">
            <w:pPr>
              <w:autoSpaceDE w:val="0"/>
              <w:autoSpaceDN w:val="0"/>
              <w:adjustRightInd w:val="0"/>
              <w:rPr>
                <w:b/>
                <w:bCs/>
                <w:color w:val="000000"/>
                <w:sz w:val="20"/>
              </w:rPr>
            </w:pPr>
            <w:r>
              <w:rPr>
                <w:b/>
                <w:color w:val="000000"/>
                <w:sz w:val="20"/>
              </w:rPr>
              <w:t>Náhradníci přítomní při konečném hlasování</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21773F" w:rsidRPr="00C74E68" w:rsidRDefault="0021773F">
            <w:pPr>
              <w:autoSpaceDE w:val="0"/>
              <w:autoSpaceDN w:val="0"/>
              <w:adjustRightInd w:val="0"/>
              <w:rPr>
                <w:color w:val="000000"/>
                <w:sz w:val="20"/>
              </w:rPr>
            </w:pPr>
            <w:r>
              <w:rPr>
                <w:color w:val="000000"/>
                <w:sz w:val="20"/>
              </w:rPr>
              <w:t>Ivars Ijabs, Janusz Lewandowski, Andżelika Anna Możdżanowska, Erik Poulsen, René Repasi</w:t>
            </w:r>
          </w:p>
        </w:tc>
      </w:tr>
      <w:tr w:rsidR="0021773F" w:rsidRPr="00C74E68">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21773F" w:rsidRPr="00C74E68" w:rsidRDefault="0021773F">
            <w:pPr>
              <w:autoSpaceDE w:val="0"/>
              <w:autoSpaceDN w:val="0"/>
              <w:adjustRightInd w:val="0"/>
              <w:rPr>
                <w:b/>
                <w:bCs/>
                <w:color w:val="000000"/>
                <w:sz w:val="20"/>
              </w:rPr>
            </w:pPr>
            <w:r>
              <w:rPr>
                <w:b/>
                <w:color w:val="000000"/>
                <w:sz w:val="20"/>
              </w:rPr>
              <w:t>Náhradníci (čl. 209 odst. 7) přítomní při konečném hlasování</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21773F" w:rsidRPr="00C74E68" w:rsidRDefault="0021773F">
            <w:pPr>
              <w:autoSpaceDE w:val="0"/>
              <w:autoSpaceDN w:val="0"/>
              <w:adjustRightInd w:val="0"/>
              <w:rPr>
                <w:color w:val="000000"/>
                <w:sz w:val="20"/>
              </w:rPr>
            </w:pPr>
            <w:r>
              <w:rPr>
                <w:color w:val="000000"/>
                <w:sz w:val="20"/>
              </w:rPr>
              <w:t>Barry Andrews, Alessandra Basso, Theresa Bielowski, Carlos Coelho, Francisco Guerreiro, Fabienne Keller, Liudas Mažylis</w:t>
            </w:r>
          </w:p>
        </w:tc>
      </w:tr>
      <w:tr w:rsidR="0021773F" w:rsidRPr="00C74E68">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21773F" w:rsidRPr="00C74E68" w:rsidRDefault="0021773F">
            <w:pPr>
              <w:autoSpaceDE w:val="0"/>
              <w:autoSpaceDN w:val="0"/>
              <w:adjustRightInd w:val="0"/>
              <w:rPr>
                <w:b/>
                <w:bCs/>
                <w:color w:val="000000"/>
                <w:sz w:val="20"/>
              </w:rPr>
            </w:pPr>
            <w:r>
              <w:rPr>
                <w:b/>
                <w:color w:val="000000"/>
                <w:sz w:val="20"/>
              </w:rPr>
              <w:t>Datum předložení</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21773F" w:rsidRPr="00C74E68" w:rsidRDefault="0021773F">
            <w:pPr>
              <w:autoSpaceDE w:val="0"/>
              <w:autoSpaceDN w:val="0"/>
              <w:adjustRightInd w:val="0"/>
              <w:rPr>
                <w:color w:val="000000"/>
                <w:sz w:val="20"/>
              </w:rPr>
            </w:pPr>
            <w:r>
              <w:rPr>
                <w:color w:val="000000"/>
                <w:sz w:val="20"/>
              </w:rPr>
              <w:t>5.12.2023</w:t>
            </w:r>
          </w:p>
        </w:tc>
      </w:tr>
    </w:tbl>
    <w:p w:rsidR="0021773F" w:rsidRPr="00C74E68" w:rsidRDefault="0021773F"/>
    <w:bookmarkEnd w:id="5"/>
    <w:p w:rsidR="00DC1323" w:rsidRDefault="00DC1323">
      <w:pPr>
        <w:widowControl/>
      </w:pPr>
      <w:r>
        <w:br w:type="page"/>
      </w:r>
    </w:p>
    <w:p w:rsidR="00DC1323" w:rsidRPr="00D015E6" w:rsidRDefault="00DC1323" w:rsidP="00DC1323">
      <w:pPr>
        <w:pStyle w:val="PageHeading"/>
      </w:pPr>
      <w:bookmarkStart w:id="7" w:name="RollCallPageRR"/>
      <w:bookmarkStart w:id="8" w:name="_Toc155686312"/>
      <w:r>
        <w:t>JMENOVITÉ KONEČNÉ HLASOVÁNÍ V PŘÍSLUŠNÉM VÝBORU</w:t>
      </w:r>
      <w:bookmarkEnd w:id="8"/>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DC1323" w:rsidRPr="00D015E6" w:rsidTr="00E96817">
        <w:trPr>
          <w:cantSplit/>
        </w:trPr>
        <w:tc>
          <w:tcPr>
            <w:tcW w:w="1701" w:type="dxa"/>
            <w:shd w:val="pct10" w:color="000000" w:fill="FFFFFF"/>
            <w:vAlign w:val="center"/>
          </w:tcPr>
          <w:p w:rsidR="00DC1323" w:rsidRPr="00D015E6" w:rsidRDefault="00DC1323" w:rsidP="00E96817">
            <w:pPr>
              <w:pStyle w:val="RollCallVotes"/>
            </w:pPr>
            <w:r>
              <w:t>47</w:t>
            </w:r>
          </w:p>
        </w:tc>
        <w:tc>
          <w:tcPr>
            <w:tcW w:w="7371" w:type="dxa"/>
            <w:shd w:val="pct10" w:color="000000" w:fill="FFFFFF"/>
          </w:tcPr>
          <w:p w:rsidR="00DC1323" w:rsidRPr="00D015E6" w:rsidRDefault="00DC1323" w:rsidP="00E96817">
            <w:pPr>
              <w:pStyle w:val="RollCallSymbols14pt"/>
            </w:pPr>
            <w:r>
              <w:t>+</w:t>
            </w:r>
          </w:p>
        </w:tc>
      </w:tr>
      <w:tr w:rsidR="00DC1323" w:rsidRPr="00D015E6" w:rsidTr="00E96817">
        <w:trPr>
          <w:cantSplit/>
        </w:trPr>
        <w:tc>
          <w:tcPr>
            <w:tcW w:w="1701" w:type="dxa"/>
            <w:shd w:val="clear" w:color="auto" w:fill="FFFFFF"/>
          </w:tcPr>
          <w:p w:rsidR="00DC1323" w:rsidRPr="00D015E6" w:rsidRDefault="00DC1323" w:rsidP="00E96817">
            <w:pPr>
              <w:pStyle w:val="RollCallTable"/>
            </w:pPr>
            <w:r>
              <w:t>ECR</w:t>
            </w:r>
          </w:p>
        </w:tc>
        <w:tc>
          <w:tcPr>
            <w:tcW w:w="7371" w:type="dxa"/>
            <w:shd w:val="clear" w:color="auto" w:fill="FFFFFF"/>
          </w:tcPr>
          <w:p w:rsidR="00DC1323" w:rsidRPr="00D015E6" w:rsidRDefault="00DC1323" w:rsidP="00E96817">
            <w:pPr>
              <w:pStyle w:val="RollCallTable"/>
            </w:pPr>
            <w:r>
              <w:t>Andżelika Anna Możdżanowska, Dorien Rookmaker, Johan Van Overtveldt, Roberts Zīle</w:t>
            </w:r>
          </w:p>
        </w:tc>
      </w:tr>
      <w:tr w:rsidR="00DC1323" w:rsidRPr="00D015E6" w:rsidTr="00E96817">
        <w:trPr>
          <w:cantSplit/>
        </w:trPr>
        <w:tc>
          <w:tcPr>
            <w:tcW w:w="1701" w:type="dxa"/>
            <w:shd w:val="clear" w:color="auto" w:fill="FFFFFF"/>
          </w:tcPr>
          <w:p w:rsidR="00DC1323" w:rsidRPr="00D015E6" w:rsidRDefault="00DC1323" w:rsidP="00E96817">
            <w:pPr>
              <w:pStyle w:val="RollCallTable"/>
            </w:pPr>
            <w:r>
              <w:t>ID</w:t>
            </w:r>
          </w:p>
        </w:tc>
        <w:tc>
          <w:tcPr>
            <w:tcW w:w="7371" w:type="dxa"/>
            <w:shd w:val="clear" w:color="auto" w:fill="FFFFFF"/>
          </w:tcPr>
          <w:p w:rsidR="00DC1323" w:rsidRPr="00D015E6" w:rsidRDefault="00DC1323" w:rsidP="00E96817">
            <w:pPr>
              <w:pStyle w:val="RollCallTable"/>
            </w:pPr>
            <w:r>
              <w:t>France Jamet</w:t>
            </w:r>
          </w:p>
        </w:tc>
      </w:tr>
      <w:tr w:rsidR="00DC1323" w:rsidRPr="00D015E6" w:rsidTr="00E96817">
        <w:trPr>
          <w:cantSplit/>
        </w:trPr>
        <w:tc>
          <w:tcPr>
            <w:tcW w:w="1701" w:type="dxa"/>
            <w:shd w:val="clear" w:color="auto" w:fill="FFFFFF"/>
          </w:tcPr>
          <w:p w:rsidR="00DC1323" w:rsidRPr="00D015E6" w:rsidRDefault="00DC1323" w:rsidP="00E96817">
            <w:pPr>
              <w:pStyle w:val="RollCallTable"/>
            </w:pPr>
            <w:r>
              <w:t>NI</w:t>
            </w:r>
          </w:p>
        </w:tc>
        <w:tc>
          <w:tcPr>
            <w:tcW w:w="7371" w:type="dxa"/>
            <w:shd w:val="clear" w:color="auto" w:fill="FFFFFF"/>
          </w:tcPr>
          <w:p w:rsidR="00DC1323" w:rsidRPr="00D015E6" w:rsidRDefault="00DC1323" w:rsidP="00E96817">
            <w:pPr>
              <w:pStyle w:val="RollCallTable"/>
            </w:pPr>
            <w:r>
              <w:t>Enikő Győri</w:t>
            </w:r>
          </w:p>
        </w:tc>
      </w:tr>
      <w:tr w:rsidR="00DC1323" w:rsidRPr="00D015E6" w:rsidTr="00E96817">
        <w:trPr>
          <w:cantSplit/>
        </w:trPr>
        <w:tc>
          <w:tcPr>
            <w:tcW w:w="1701" w:type="dxa"/>
            <w:shd w:val="clear" w:color="auto" w:fill="FFFFFF"/>
          </w:tcPr>
          <w:p w:rsidR="00DC1323" w:rsidRPr="00D015E6" w:rsidRDefault="00DC1323" w:rsidP="00E96817">
            <w:pPr>
              <w:pStyle w:val="RollCallTable"/>
            </w:pPr>
            <w:r>
              <w:t>PPE</w:t>
            </w:r>
          </w:p>
        </w:tc>
        <w:tc>
          <w:tcPr>
            <w:tcW w:w="7371" w:type="dxa"/>
            <w:shd w:val="clear" w:color="auto" w:fill="FFFFFF"/>
          </w:tcPr>
          <w:p w:rsidR="00DC1323" w:rsidRPr="00D015E6" w:rsidRDefault="00DC1323" w:rsidP="00E96817">
            <w:pPr>
              <w:pStyle w:val="RollCallTable"/>
            </w:pPr>
            <w:r>
              <w:t>Anna-Michelle Asimakopoulou, Isabel Benjumea Benjumea, Stefan Berger, Carlos Coelho, Markus Ferber, Frances Fitzgerald, José Manuel García-Margallo y Marfil, Danuta Maria Hübner, Othmar Karas, Janusz Lewandowski, Liudas Mažylis, Luděk Niedermayer, Ralf Seekatz, Inese Vaidere</w:t>
            </w:r>
          </w:p>
        </w:tc>
      </w:tr>
      <w:tr w:rsidR="00DC1323" w:rsidRPr="00D015E6" w:rsidTr="00E96817">
        <w:trPr>
          <w:cantSplit/>
        </w:trPr>
        <w:tc>
          <w:tcPr>
            <w:tcW w:w="1701" w:type="dxa"/>
            <w:shd w:val="clear" w:color="auto" w:fill="FFFFFF"/>
          </w:tcPr>
          <w:p w:rsidR="00DC1323" w:rsidRPr="00D015E6" w:rsidRDefault="00DC1323" w:rsidP="00E96817">
            <w:pPr>
              <w:pStyle w:val="RollCallTable"/>
            </w:pPr>
            <w:r>
              <w:t>Renew</w:t>
            </w:r>
          </w:p>
        </w:tc>
        <w:tc>
          <w:tcPr>
            <w:tcW w:w="7371" w:type="dxa"/>
            <w:shd w:val="clear" w:color="auto" w:fill="FFFFFF"/>
          </w:tcPr>
          <w:p w:rsidR="00DC1323" w:rsidRPr="00D015E6" w:rsidRDefault="00DC1323" w:rsidP="00E96817">
            <w:pPr>
              <w:pStyle w:val="RollCallTable"/>
            </w:pPr>
            <w:r>
              <w:t>Barry Andrews, Engin Eroglu, Ivars Ijabs, Billy Kelleher, Fabienne Keller, Ondřej Kovařík, Georgios Kyrtsos, Eva Maria Poptcheva, Erik Poulsen</w:t>
            </w:r>
          </w:p>
        </w:tc>
      </w:tr>
      <w:tr w:rsidR="00DC1323" w:rsidRPr="00D015E6" w:rsidTr="00E96817">
        <w:trPr>
          <w:cantSplit/>
        </w:trPr>
        <w:tc>
          <w:tcPr>
            <w:tcW w:w="1701" w:type="dxa"/>
            <w:shd w:val="clear" w:color="auto" w:fill="FFFFFF"/>
          </w:tcPr>
          <w:p w:rsidR="00DC1323" w:rsidRPr="00D015E6" w:rsidRDefault="00DC1323" w:rsidP="00E96817">
            <w:pPr>
              <w:pStyle w:val="RollCallTable"/>
            </w:pPr>
            <w:r>
              <w:t>S&amp;D</w:t>
            </w:r>
          </w:p>
        </w:tc>
        <w:tc>
          <w:tcPr>
            <w:tcW w:w="7371" w:type="dxa"/>
            <w:shd w:val="clear" w:color="auto" w:fill="FFFFFF"/>
          </w:tcPr>
          <w:p w:rsidR="00DC1323" w:rsidRPr="00D015E6" w:rsidRDefault="00DC1323" w:rsidP="00E96817">
            <w:pPr>
              <w:pStyle w:val="RollCallTable"/>
            </w:pPr>
            <w:r>
              <w:t>Marek Belka, Theresa Bielowski, Jonás Fernández, Eero Heinäluoma, Aurore Lalucq, Pedro Marques, René Repasi, Alfred Sant, Joachim Schuster, Pedro Silva Pereira, Paul Tang, Irene Tinagli</w:t>
            </w:r>
          </w:p>
        </w:tc>
      </w:tr>
      <w:tr w:rsidR="00DC1323" w:rsidRPr="00D015E6" w:rsidTr="00E96817">
        <w:trPr>
          <w:cantSplit/>
        </w:trPr>
        <w:tc>
          <w:tcPr>
            <w:tcW w:w="1701" w:type="dxa"/>
            <w:shd w:val="clear" w:color="auto" w:fill="FFFFFF"/>
          </w:tcPr>
          <w:p w:rsidR="00DC1323" w:rsidRPr="00D015E6" w:rsidRDefault="00DC1323" w:rsidP="00E96817">
            <w:pPr>
              <w:pStyle w:val="RollCallTable"/>
            </w:pPr>
            <w:r>
              <w:t>Verts/ALE</w:t>
            </w:r>
          </w:p>
        </w:tc>
        <w:tc>
          <w:tcPr>
            <w:tcW w:w="7371" w:type="dxa"/>
            <w:shd w:val="clear" w:color="auto" w:fill="FFFFFF"/>
          </w:tcPr>
          <w:p w:rsidR="00DC1323" w:rsidRPr="00D015E6" w:rsidRDefault="00DC1323" w:rsidP="00E96817">
            <w:pPr>
              <w:pStyle w:val="RollCallTable"/>
            </w:pPr>
            <w:r>
              <w:t>Rasmus Andresen, Claude Gruffat, Francisco Guerreiro, Stasys Jakeliūnas, Philippe Lamberts, Kira Marie Peter-Hansen</w:t>
            </w:r>
          </w:p>
        </w:tc>
      </w:tr>
    </w:tbl>
    <w:p w:rsidR="00DC1323" w:rsidRPr="00D015E6" w:rsidRDefault="00DC1323" w:rsidP="00DC1323"/>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DC1323" w:rsidRPr="00D015E6" w:rsidTr="00E96817">
        <w:trPr>
          <w:cantSplit/>
        </w:trPr>
        <w:tc>
          <w:tcPr>
            <w:tcW w:w="1701" w:type="dxa"/>
            <w:shd w:val="pct10" w:color="000000" w:fill="FFFFFF"/>
            <w:vAlign w:val="center"/>
          </w:tcPr>
          <w:p w:rsidR="00DC1323" w:rsidRPr="00D015E6" w:rsidRDefault="00DC1323" w:rsidP="00E96817">
            <w:pPr>
              <w:pStyle w:val="RollCallVotes"/>
            </w:pPr>
            <w:r>
              <w:t>3</w:t>
            </w:r>
          </w:p>
        </w:tc>
        <w:tc>
          <w:tcPr>
            <w:tcW w:w="7371" w:type="dxa"/>
            <w:shd w:val="pct10" w:color="000000" w:fill="FFFFFF"/>
          </w:tcPr>
          <w:p w:rsidR="00DC1323" w:rsidRPr="00D015E6" w:rsidRDefault="00DC1323" w:rsidP="00E96817">
            <w:pPr>
              <w:pStyle w:val="RollCallSymbols14pt"/>
            </w:pPr>
            <w:r>
              <w:t>-</w:t>
            </w:r>
          </w:p>
        </w:tc>
      </w:tr>
      <w:tr w:rsidR="00DC1323" w:rsidRPr="00D015E6" w:rsidTr="00E96817">
        <w:trPr>
          <w:cantSplit/>
        </w:trPr>
        <w:tc>
          <w:tcPr>
            <w:tcW w:w="1701" w:type="dxa"/>
            <w:shd w:val="clear" w:color="auto" w:fill="FFFFFF"/>
          </w:tcPr>
          <w:p w:rsidR="00DC1323" w:rsidRPr="00D015E6" w:rsidRDefault="00DC1323" w:rsidP="00E96817">
            <w:pPr>
              <w:pStyle w:val="RollCallTable"/>
            </w:pPr>
            <w:r>
              <w:t>ID</w:t>
            </w:r>
          </w:p>
        </w:tc>
        <w:tc>
          <w:tcPr>
            <w:tcW w:w="7371" w:type="dxa"/>
            <w:shd w:val="clear" w:color="auto" w:fill="FFFFFF"/>
          </w:tcPr>
          <w:p w:rsidR="00DC1323" w:rsidRPr="00D015E6" w:rsidRDefault="00DC1323" w:rsidP="00E96817">
            <w:pPr>
              <w:pStyle w:val="RollCallTable"/>
            </w:pPr>
            <w:r>
              <w:t>Gunnar Beck</w:t>
            </w:r>
          </w:p>
        </w:tc>
      </w:tr>
      <w:tr w:rsidR="00DC1323" w:rsidRPr="00D015E6" w:rsidTr="00E96817">
        <w:trPr>
          <w:cantSplit/>
        </w:trPr>
        <w:tc>
          <w:tcPr>
            <w:tcW w:w="1701" w:type="dxa"/>
            <w:shd w:val="clear" w:color="auto" w:fill="FFFFFF"/>
          </w:tcPr>
          <w:p w:rsidR="00DC1323" w:rsidRPr="00D015E6" w:rsidRDefault="00DC1323" w:rsidP="00E96817">
            <w:pPr>
              <w:pStyle w:val="RollCallTable"/>
            </w:pPr>
            <w:r>
              <w:t>NI</w:t>
            </w:r>
          </w:p>
        </w:tc>
        <w:tc>
          <w:tcPr>
            <w:tcW w:w="7371" w:type="dxa"/>
            <w:shd w:val="clear" w:color="auto" w:fill="FFFFFF"/>
          </w:tcPr>
          <w:p w:rsidR="00DC1323" w:rsidRPr="00D015E6" w:rsidRDefault="00DC1323" w:rsidP="00E96817">
            <w:pPr>
              <w:pStyle w:val="RollCallTable"/>
            </w:pPr>
            <w:r>
              <w:t>Lefteris Nikolaou-Alavanos</w:t>
            </w:r>
          </w:p>
        </w:tc>
      </w:tr>
      <w:tr w:rsidR="00DC1323" w:rsidRPr="00D015E6" w:rsidTr="00E96817">
        <w:trPr>
          <w:cantSplit/>
        </w:trPr>
        <w:tc>
          <w:tcPr>
            <w:tcW w:w="1701" w:type="dxa"/>
            <w:shd w:val="clear" w:color="auto" w:fill="FFFFFF"/>
          </w:tcPr>
          <w:p w:rsidR="00DC1323" w:rsidRPr="00D015E6" w:rsidRDefault="00DC1323" w:rsidP="00E96817">
            <w:pPr>
              <w:pStyle w:val="RollCallTable"/>
            </w:pPr>
            <w:r>
              <w:t>The Left</w:t>
            </w:r>
          </w:p>
        </w:tc>
        <w:tc>
          <w:tcPr>
            <w:tcW w:w="7371" w:type="dxa"/>
            <w:shd w:val="clear" w:color="auto" w:fill="FFFFFF"/>
          </w:tcPr>
          <w:p w:rsidR="00DC1323" w:rsidRPr="00D015E6" w:rsidRDefault="00DC1323" w:rsidP="00E96817">
            <w:pPr>
              <w:pStyle w:val="RollCallTable"/>
            </w:pPr>
            <w:r>
              <w:t>José Gusmão</w:t>
            </w:r>
          </w:p>
        </w:tc>
      </w:tr>
    </w:tbl>
    <w:p w:rsidR="00DC1323" w:rsidRPr="00D015E6" w:rsidRDefault="00DC1323" w:rsidP="00DC1323"/>
    <w:tbl>
      <w:tblPr>
        <w:tblW w:w="9072"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DC1323" w:rsidRPr="00D015E6" w:rsidTr="00E96817">
        <w:trPr>
          <w:cantSplit/>
        </w:trPr>
        <w:tc>
          <w:tcPr>
            <w:tcW w:w="1701" w:type="dxa"/>
            <w:shd w:val="pct10" w:color="000000" w:fill="FFFFFF"/>
            <w:vAlign w:val="center"/>
          </w:tcPr>
          <w:p w:rsidR="00DC1323" w:rsidRPr="00D015E6" w:rsidRDefault="00DC1323" w:rsidP="00E96817">
            <w:pPr>
              <w:pStyle w:val="RollCallVotes"/>
            </w:pPr>
            <w:r>
              <w:t>3</w:t>
            </w:r>
          </w:p>
        </w:tc>
        <w:tc>
          <w:tcPr>
            <w:tcW w:w="7371" w:type="dxa"/>
            <w:shd w:val="pct10" w:color="000000" w:fill="FFFFFF"/>
          </w:tcPr>
          <w:p w:rsidR="00DC1323" w:rsidRPr="00D015E6" w:rsidRDefault="00DC1323" w:rsidP="00E96817">
            <w:pPr>
              <w:pStyle w:val="RollCallSymbols14pt"/>
            </w:pPr>
            <w:r>
              <w:t>0</w:t>
            </w:r>
          </w:p>
        </w:tc>
      </w:tr>
      <w:tr w:rsidR="00DC1323" w:rsidRPr="00D015E6" w:rsidTr="00E96817">
        <w:trPr>
          <w:cantSplit/>
        </w:trPr>
        <w:tc>
          <w:tcPr>
            <w:tcW w:w="1701" w:type="dxa"/>
            <w:shd w:val="clear" w:color="auto" w:fill="FFFFFF"/>
          </w:tcPr>
          <w:p w:rsidR="00DC1323" w:rsidRPr="00D015E6" w:rsidRDefault="00DC1323" w:rsidP="00E96817">
            <w:pPr>
              <w:pStyle w:val="RollCallTable"/>
            </w:pPr>
            <w:r>
              <w:t>ECR</w:t>
            </w:r>
          </w:p>
        </w:tc>
        <w:tc>
          <w:tcPr>
            <w:tcW w:w="7371" w:type="dxa"/>
            <w:shd w:val="clear" w:color="auto" w:fill="FFFFFF"/>
          </w:tcPr>
          <w:p w:rsidR="00DC1323" w:rsidRPr="00D015E6" w:rsidRDefault="00DC1323" w:rsidP="00E96817">
            <w:pPr>
              <w:pStyle w:val="RollCallTable"/>
            </w:pPr>
            <w:r>
              <w:t>Denis Nesci</w:t>
            </w:r>
          </w:p>
        </w:tc>
      </w:tr>
      <w:tr w:rsidR="00DC1323" w:rsidRPr="00580E84" w:rsidTr="00E96817">
        <w:trPr>
          <w:cantSplit/>
        </w:trPr>
        <w:tc>
          <w:tcPr>
            <w:tcW w:w="1701" w:type="dxa"/>
            <w:shd w:val="clear" w:color="auto" w:fill="FFFFFF"/>
          </w:tcPr>
          <w:p w:rsidR="00DC1323" w:rsidRPr="00D015E6" w:rsidRDefault="00DC1323" w:rsidP="00E96817">
            <w:pPr>
              <w:pStyle w:val="RollCallTable"/>
            </w:pPr>
            <w:r>
              <w:t>ID</w:t>
            </w:r>
          </w:p>
        </w:tc>
        <w:tc>
          <w:tcPr>
            <w:tcW w:w="7371" w:type="dxa"/>
            <w:shd w:val="clear" w:color="auto" w:fill="FFFFFF"/>
          </w:tcPr>
          <w:p w:rsidR="00DC1323" w:rsidRPr="00580E84" w:rsidRDefault="00DC1323" w:rsidP="00E96817">
            <w:pPr>
              <w:pStyle w:val="RollCallTable"/>
            </w:pPr>
            <w:r>
              <w:t>Alessandra Basso, Antonio Maria Rinaldi</w:t>
            </w:r>
          </w:p>
        </w:tc>
      </w:tr>
    </w:tbl>
    <w:p w:rsidR="00DC1323" w:rsidRPr="00580E84" w:rsidRDefault="00DC1323" w:rsidP="00DC1323">
      <w:pPr>
        <w:pStyle w:val="Normal12a"/>
        <w:rPr>
          <w:lang w:val="it-IT"/>
        </w:rPr>
      </w:pPr>
    </w:p>
    <w:p w:rsidR="00DC1323" w:rsidRPr="00D015E6" w:rsidRDefault="00DC1323" w:rsidP="00DC1323">
      <w:r>
        <w:t>Význam zkratek:</w:t>
      </w:r>
    </w:p>
    <w:p w:rsidR="00DC1323" w:rsidRPr="00D015E6" w:rsidRDefault="00DC1323" w:rsidP="00DC1323">
      <w:pPr>
        <w:pStyle w:val="RollCallTabs"/>
      </w:pPr>
      <w:r>
        <w:t>+</w:t>
      </w:r>
      <w:r>
        <w:tab/>
        <w:t>:</w:t>
      </w:r>
      <w:r>
        <w:tab/>
        <w:t>pro</w:t>
      </w:r>
    </w:p>
    <w:p w:rsidR="00DC1323" w:rsidRPr="00D015E6" w:rsidRDefault="00DC1323" w:rsidP="00DC1323">
      <w:pPr>
        <w:pStyle w:val="RollCallTabs"/>
      </w:pPr>
      <w:r>
        <w:t>-</w:t>
      </w:r>
      <w:r>
        <w:tab/>
        <w:t>:</w:t>
      </w:r>
      <w:r>
        <w:tab/>
        <w:t>proti</w:t>
      </w:r>
    </w:p>
    <w:p w:rsidR="00DC1323" w:rsidRPr="00D015E6" w:rsidRDefault="00DC1323" w:rsidP="00DC1323">
      <w:pPr>
        <w:pStyle w:val="RollCallTabs"/>
      </w:pPr>
      <w:r>
        <w:t>0</w:t>
      </w:r>
      <w:r>
        <w:tab/>
        <w:t>:</w:t>
      </w:r>
      <w:r>
        <w:tab/>
        <w:t>zdrželi se</w:t>
      </w:r>
    </w:p>
    <w:p w:rsidR="00DC1323" w:rsidRPr="00D015E6" w:rsidRDefault="00DC1323" w:rsidP="00DC1323"/>
    <w:bookmarkEnd w:id="7"/>
    <w:p w:rsidR="00DC1323" w:rsidRPr="00D015E6" w:rsidRDefault="00DC1323" w:rsidP="00DC1323"/>
    <w:p w:rsidR="002669B6" w:rsidRPr="00C74E68" w:rsidRDefault="002669B6" w:rsidP="0021773F"/>
    <w:sectPr w:rsidR="002669B6" w:rsidRPr="00C74E68" w:rsidSect="00C74E68">
      <w:headerReference w:type="even" r:id="rId15"/>
      <w:headerReference w:type="default" r:id="rId16"/>
      <w:headerReference w:type="first" r:id="rId17"/>
      <w:footerReference w:type="first" r:id="rId18"/>
      <w:footnotePr>
        <w:numRestart w:val="eachSect"/>
      </w:footnotePr>
      <w:endnotePr>
        <w:numFmt w:val="decimal"/>
      </w:endnotePr>
      <w:pgSz w:w="11906" w:h="16838" w:code="9"/>
      <w:pgMar w:top="1134" w:right="1418" w:bottom="1418" w:left="1418" w:header="1134"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D5996" w:rsidRPr="00C74E68" w:rsidRDefault="00370FC0">
      <w:r w:rsidRPr="00C74E68">
        <w:separator/>
      </w:r>
    </w:p>
  </w:endnote>
  <w:endnote w:type="continuationSeparator" w:id="0">
    <w:p w:rsidR="001D5996" w:rsidRPr="00C74E68" w:rsidRDefault="00370FC0">
      <w:r w:rsidRPr="00C74E6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sans-serif">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4E68" w:rsidRPr="00C74E68" w:rsidRDefault="00C74E68" w:rsidP="00C74E68">
    <w:pPr>
      <w:pStyle w:val="EPFooter"/>
    </w:pPr>
    <w:r w:rsidRPr="00C74E68">
      <w:t>PE</w:t>
    </w:r>
    <w:r w:rsidRPr="00C74E68">
      <w:rPr>
        <w:rStyle w:val="HideTWBExt"/>
      </w:rPr>
      <w:t>&lt;NoPE&gt;</w:t>
    </w:r>
    <w:r w:rsidRPr="00C74E68">
      <w:t>749.905</w:t>
    </w:r>
    <w:r w:rsidRPr="00C74E68">
      <w:rPr>
        <w:rStyle w:val="HideTWBExt"/>
      </w:rPr>
      <w:t>&lt;/NoPE&gt;&lt;Version&gt;</w:t>
    </w:r>
    <w:r w:rsidRPr="00C74E68">
      <w:t>v02-00</w:t>
    </w:r>
    <w:r w:rsidRPr="00C74E68">
      <w:rPr>
        <w:rStyle w:val="HideTWBExt"/>
      </w:rPr>
      <w:t>&lt;/Version&gt;</w:t>
    </w:r>
    <w:r w:rsidRPr="00C74E68">
      <w:tab/>
    </w:r>
    <w:r w:rsidRPr="00C74E68">
      <w:fldChar w:fldCharType="begin"/>
    </w:r>
    <w:r w:rsidRPr="00C74E68">
      <w:instrText xml:space="preserve"> PAGE  \* MERGEFORMAT </w:instrText>
    </w:r>
    <w:r w:rsidRPr="00C74E68">
      <w:fldChar w:fldCharType="separate"/>
    </w:r>
    <w:r w:rsidR="00223397">
      <w:rPr>
        <w:noProof/>
      </w:rPr>
      <w:t>2</w:t>
    </w:r>
    <w:r w:rsidRPr="00C74E68">
      <w:fldChar w:fldCharType="end"/>
    </w:r>
    <w:r w:rsidRPr="00C74E68">
      <w:t>/</w:t>
    </w:r>
    <w:fldSimple w:instr=" NUMPAGES  \* MERGEFORMAT ">
      <w:r w:rsidR="00223397">
        <w:rPr>
          <w:noProof/>
        </w:rPr>
        <w:t>14</w:t>
      </w:r>
    </w:fldSimple>
    <w:r w:rsidRPr="00C74E68">
      <w:tab/>
    </w:r>
    <w:r w:rsidRPr="00C74E68">
      <w:rPr>
        <w:rStyle w:val="HideTWBExt"/>
      </w:rPr>
      <w:t>&lt;PathFdR&gt;</w:t>
    </w:r>
    <w:r w:rsidRPr="00C74E68">
      <w:t>RR\1292181CS.docx</w:t>
    </w:r>
    <w:r w:rsidRPr="00C74E68">
      <w:rPr>
        <w:rStyle w:val="HideTWBExt"/>
      </w:rPr>
      <w:t>&lt;/PathFdR&gt;</w:t>
    </w:r>
  </w:p>
  <w:p w:rsidR="00C74E68" w:rsidRPr="00C74E68" w:rsidRDefault="00C74E68" w:rsidP="00C74E68">
    <w:pPr>
      <w:pStyle w:val="EPFooter2"/>
    </w:pPr>
    <w:r w:rsidRPr="00C74E68">
      <w:t>CS</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4E68" w:rsidRPr="00C74E68" w:rsidRDefault="00C74E68" w:rsidP="00C74E68">
    <w:pPr>
      <w:pStyle w:val="EPFooter"/>
    </w:pPr>
    <w:r w:rsidRPr="00C74E68">
      <w:rPr>
        <w:rStyle w:val="HideTWBExt"/>
      </w:rPr>
      <w:t>&lt;PathFdR&gt;</w:t>
    </w:r>
    <w:r w:rsidRPr="00C74E68">
      <w:t>RR\1292181CS.docx</w:t>
    </w:r>
    <w:r w:rsidRPr="00C74E68">
      <w:rPr>
        <w:rStyle w:val="HideTWBExt"/>
      </w:rPr>
      <w:t>&lt;/PathFdR&gt;</w:t>
    </w:r>
    <w:r w:rsidRPr="00C74E68">
      <w:tab/>
    </w:r>
    <w:r w:rsidRPr="00C74E68">
      <w:fldChar w:fldCharType="begin"/>
    </w:r>
    <w:r w:rsidRPr="00C74E68">
      <w:instrText xml:space="preserve"> PAGE  \* MERGEFORMAT </w:instrText>
    </w:r>
    <w:r w:rsidRPr="00C74E68">
      <w:fldChar w:fldCharType="separate"/>
    </w:r>
    <w:r w:rsidR="00223397">
      <w:rPr>
        <w:noProof/>
      </w:rPr>
      <w:t>3</w:t>
    </w:r>
    <w:r w:rsidRPr="00C74E68">
      <w:fldChar w:fldCharType="end"/>
    </w:r>
    <w:r w:rsidRPr="00C74E68">
      <w:t>/</w:t>
    </w:r>
    <w:fldSimple w:instr=" NUMPAGES  \* MERGEFORMAT ">
      <w:r w:rsidR="00223397">
        <w:rPr>
          <w:noProof/>
        </w:rPr>
        <w:t>14</w:t>
      </w:r>
    </w:fldSimple>
    <w:r w:rsidRPr="00C74E68">
      <w:tab/>
      <w:t>PE</w:t>
    </w:r>
    <w:r w:rsidRPr="00C74E68">
      <w:rPr>
        <w:rStyle w:val="HideTWBExt"/>
      </w:rPr>
      <w:t>&lt;NoPE&gt;</w:t>
    </w:r>
    <w:r w:rsidRPr="00C74E68">
      <w:t>749.905</w:t>
    </w:r>
    <w:r w:rsidRPr="00C74E68">
      <w:rPr>
        <w:rStyle w:val="HideTWBExt"/>
      </w:rPr>
      <w:t>&lt;/NoPE&gt;&lt;Version&gt;</w:t>
    </w:r>
    <w:r w:rsidRPr="00C74E68">
      <w:t>v02-00</w:t>
    </w:r>
    <w:r w:rsidRPr="00C74E68">
      <w:rPr>
        <w:rStyle w:val="HideTWBExt"/>
      </w:rPr>
      <w:t>&lt;/Version&gt;</w:t>
    </w:r>
  </w:p>
  <w:p w:rsidR="00C74E68" w:rsidRPr="00C74E68" w:rsidRDefault="00C74E68" w:rsidP="00C74E68">
    <w:pPr>
      <w:pStyle w:val="EPFooter2"/>
    </w:pPr>
    <w:r w:rsidRPr="00C74E68">
      <w:tab/>
    </w:r>
    <w:r w:rsidRPr="00C74E68">
      <w:tab/>
      <w:t>CS</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4E68" w:rsidRPr="00C74E68" w:rsidRDefault="00C74E68" w:rsidP="00C74E68">
    <w:pPr>
      <w:pStyle w:val="EPFooter"/>
    </w:pPr>
    <w:r w:rsidRPr="00C74E68">
      <w:rPr>
        <w:rStyle w:val="HideTWBExt"/>
      </w:rPr>
      <w:t>&lt;PathFdR&gt;</w:t>
    </w:r>
    <w:r w:rsidRPr="00C74E68">
      <w:t>RR\1292181CS.docx</w:t>
    </w:r>
    <w:r w:rsidRPr="00C74E68">
      <w:rPr>
        <w:rStyle w:val="HideTWBExt"/>
      </w:rPr>
      <w:t>&lt;/PathFdR&gt;</w:t>
    </w:r>
    <w:r w:rsidRPr="00C74E68">
      <w:tab/>
    </w:r>
    <w:r w:rsidRPr="00C74E68">
      <w:tab/>
      <w:t>PE</w:t>
    </w:r>
    <w:r w:rsidRPr="00C74E68">
      <w:rPr>
        <w:rStyle w:val="HideTWBExt"/>
      </w:rPr>
      <w:t>&lt;NoPE&gt;</w:t>
    </w:r>
    <w:r w:rsidRPr="00C74E68">
      <w:t>749.905</w:t>
    </w:r>
    <w:r w:rsidRPr="00C74E68">
      <w:rPr>
        <w:rStyle w:val="HideTWBExt"/>
      </w:rPr>
      <w:t>&lt;/NoPE&gt;&lt;Version&gt;</w:t>
    </w:r>
    <w:r w:rsidRPr="00C74E68">
      <w:t>v02-00</w:t>
    </w:r>
    <w:r w:rsidRPr="00C74E68">
      <w:rPr>
        <w:rStyle w:val="HideTWBExt"/>
      </w:rPr>
      <w:t>&lt;/Version&gt;</w:t>
    </w:r>
  </w:p>
  <w:p w:rsidR="00C74E68" w:rsidRPr="00C74E68" w:rsidRDefault="00C74E68" w:rsidP="00C74E68">
    <w:pPr>
      <w:pStyle w:val="EPFooter2"/>
    </w:pPr>
    <w:r w:rsidRPr="00C74E68">
      <w:t>CS</w:t>
    </w:r>
    <w:r w:rsidRPr="00C74E68">
      <w:tab/>
    </w:r>
    <w:r w:rsidRPr="00C74E68">
      <w:rPr>
        <w:b w:val="0"/>
        <w:i/>
        <w:color w:val="C0C0C0"/>
        <w:sz w:val="22"/>
      </w:rPr>
      <w:t>Jednotná v rozmanitosti</w:t>
    </w:r>
    <w:r w:rsidRPr="00C74E68">
      <w:tab/>
      <w:t>CS</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773F" w:rsidRPr="00C74E68" w:rsidRDefault="0021773F" w:rsidP="0021773F">
    <w:pPr>
      <w:pStyle w:val="EPFooter"/>
    </w:pPr>
    <w:r w:rsidRPr="00C74E68">
      <w:rPr>
        <w:rStyle w:val="HideTWBExt"/>
      </w:rPr>
      <w:t>&lt;PathFdR&gt;</w:t>
    </w:r>
    <w:r w:rsidRPr="00C74E68">
      <w:t>RR\1292181CS.docx</w:t>
    </w:r>
    <w:r w:rsidRPr="00C74E68">
      <w:rPr>
        <w:rStyle w:val="HideTWBExt"/>
      </w:rPr>
      <w:t>&lt;/PathFdR&gt;</w:t>
    </w:r>
    <w:r w:rsidRPr="00C74E68">
      <w:tab/>
    </w:r>
    <w:r w:rsidRPr="00C74E68">
      <w:tab/>
      <w:t>PE</w:t>
    </w:r>
    <w:r w:rsidRPr="00C74E68">
      <w:rPr>
        <w:rStyle w:val="HideTWBExt"/>
      </w:rPr>
      <w:t>&lt;NoPE&gt;</w:t>
    </w:r>
    <w:r w:rsidRPr="00C74E68">
      <w:t>749.905</w:t>
    </w:r>
    <w:r w:rsidRPr="00C74E68">
      <w:rPr>
        <w:rStyle w:val="HideTWBExt"/>
      </w:rPr>
      <w:t>&lt;/NoPE&gt;&lt;Version&gt;</w:t>
    </w:r>
    <w:r w:rsidRPr="00C74E68">
      <w:t>v02-00</w:t>
    </w:r>
    <w:r w:rsidRPr="00C74E68">
      <w:rPr>
        <w:rStyle w:val="HideTWBExt"/>
      </w:rPr>
      <w:t>&lt;/Version&gt;</w:t>
    </w:r>
  </w:p>
  <w:p w:rsidR="00FB52FE" w:rsidRPr="00C74E68" w:rsidRDefault="0021773F" w:rsidP="0021773F">
    <w:pPr>
      <w:pStyle w:val="EPFooter2"/>
    </w:pPr>
    <w:r w:rsidRPr="00C74E68">
      <w:t>CS</w:t>
    </w:r>
    <w:r w:rsidRPr="00C74E68">
      <w:tab/>
    </w:r>
    <w:r w:rsidRPr="00C74E68">
      <w:rPr>
        <w:b w:val="0"/>
        <w:i/>
        <w:color w:val="C0C0C0"/>
        <w:sz w:val="22"/>
      </w:rPr>
      <w:t>Jednotná v rozmanitosti</w:t>
    </w:r>
    <w:r w:rsidRPr="00C74E68">
      <w:tab/>
      <w:t>CS</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D5996" w:rsidRPr="00C74E68" w:rsidRDefault="00370FC0">
      <w:r w:rsidRPr="00C74E68">
        <w:separator/>
      </w:r>
    </w:p>
  </w:footnote>
  <w:footnote w:type="continuationSeparator" w:id="0">
    <w:p w:rsidR="001D5996" w:rsidRPr="00C74E68" w:rsidRDefault="00370FC0">
      <w:r w:rsidRPr="00C74E68">
        <w:continuationSeparator/>
      </w:r>
    </w:p>
  </w:footnote>
  <w:footnote w:id="1">
    <w:p w:rsidR="00C74E68" w:rsidRPr="00C74E68" w:rsidRDefault="00C74E68" w:rsidP="00C74E68">
      <w:pPr>
        <w:pStyle w:val="FootnoteText"/>
      </w:pPr>
      <w:r>
        <w:rPr>
          <w:rStyle w:val="FootnoteReference"/>
        </w:rPr>
        <w:footnoteRef/>
      </w:r>
      <w:r>
        <w:t xml:space="preserve"> Úř. věst. C 385, 15.11.2017, s. 10.</w:t>
      </w:r>
    </w:p>
  </w:footnote>
  <w:footnote w:id="2">
    <w:p w:rsidR="00C74E68" w:rsidRPr="00C74E68" w:rsidRDefault="00C74E68" w:rsidP="00C74E68">
      <w:pPr>
        <w:pStyle w:val="FootnoteText"/>
      </w:pPr>
      <w:r>
        <w:rPr>
          <w:rStyle w:val="FootnoteReference"/>
        </w:rPr>
        <w:footnoteRef/>
      </w:r>
      <w:r>
        <w:t xml:space="preserve"> Úř. věst. C 434, 15.12.2017, s. 63.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1323" w:rsidRDefault="00DC132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1323" w:rsidRDefault="00DC132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1323" w:rsidRDefault="00DC132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1B30" w:rsidRDefault="00AB1B3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1B30" w:rsidRDefault="00AB1B30">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1B30" w:rsidRDefault="00AB1B3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MNU" w:val=" 2"/>
    <w:docVar w:name="CJMNU" w:val="1"/>
    <w:docVar w:name="COMKEY" w:val="ECON"/>
    <w:docVar w:name="CVar" w:val="2"/>
    <w:docVar w:name="DOCMNU" w:val=" 1"/>
    <w:docVar w:name="EPSTATMNU" w:val=" 5"/>
    <w:docVar w:name="iNoAmend" w:val="2"/>
    <w:docVar w:name="INSTITUTIONSMNU" w:val=" 2"/>
    <w:docVar w:name="JURI1MNU" w:val=" 2"/>
    <w:docVar w:name="JURI2MNU" w:val=" 2"/>
    <w:docVar w:name="LastEditedSection" w:val=" 1"/>
    <w:docVar w:name="OTHERSTATMNU" w:val=" 4"/>
    <w:docVar w:name="PARLIAMENTSMNU" w:val=" 2"/>
    <w:docVar w:name="RepeatBlock-AmendCS"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2\fbidi \froman\fcharset238\fprq2 Times New Roman CE;}{\f333\fbidi \froman\fcharset204\fprq2 Times New Roman Cyr;}_x000d__x000a_{\f335\fbidi \froman\fcharset161\fprq2 Times New Roman Greek;}{\f336\fbidi \froman\fcharset162\fprq2 Times New Roman Tur;}{\f337\fbidi \froman\fcharset177\fprq2 Times New Roman (Hebrew);}{\f338\fbidi \froman\fcharset178\fprq2 Times New Roman (Arabic);}_x000d__x000a_{\f339\fbidi \froman\fcharset186\fprq2 Times New Roman Baltic;}{\f340\fbidi \froman\fcharset163\fprq2 Times New Roman (Vietnamese);}{\f342\fbidi \fswiss\fcharset238\fprq2 Arial CE;}{\f343\fbidi \fswiss\fcharset204\fprq2 Arial Cyr;}_x000d__x000a_{\f345\fbidi \fswiss\fcharset161\fprq2 Arial Greek;}{\f346\fbidi \fswiss\fcharset162\fprq2 Arial Tur;}{\f347\fbidi \fswiss\fcharset177\fprq2 Arial (Hebrew);}{\f348\fbidi \fswiss\fcharset178\fprq2 Arial (Arabic);}_x000d__x000a_{\f349\fbidi \fswiss\fcharset186\fprq2 Arial Baltic;}{\f350\fbidi \fswiss\fcharset163\fprq2 Arial (Vietnamese);}{\f672\fbidi \froman\fcharset238\fprq2 Cambria Math CE;}{\f673\fbidi \froman\fcharset204\fprq2 Cambria Math Cyr;}_x000d__x000a_{\f675\fbidi \froman\fcharset161\fprq2 Cambria Math Greek;}{\f676\fbidi \froman\fcharset162\fprq2 Cambria Math Tur;}{\f679\fbidi \froman\fcharset186\fprq2 Cambria Math Baltic;}{\f68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5056930 HideTWBExt;}{\*\cs18 \additive \v\f1\fs20\cf15 _x000d__x000a_\spriority0 \styrsid5056930 HideTWBInt;}{\s19\ql \li0\ri0\sa120\nowidctlpar\wrapdefault\aspalpha\aspnum\faauto\adjustright\rin0\lin0\itap0 \rtlch\fcs1 \af0\afs20\alang1025 \ltrch\fcs0 \fs24\lang1029\langfe2057\cgrid\langnp1029\langfenp2057 _x000d__x000a_\sbasedon0 \snext19 \spriority0 \styrsid5056930 Normal6a;}{\s20\ql \li0\ri0\nowidctlpar\wrapdefault\aspalpha\aspnum\faauto\adjustright\rin0\lin0\itap0 \rtlch\fcs1 \af0\afs20\alang1025 \ltrch\fcs0 \b\fs24\lang1029\langfe2057\cgrid\langnp1029\langfenp2057 _x000d__x000a_\sbasedon0 \snext20 \spriority0 \styrsid5056930 NormalBold;}{\s21\ql \li0\ri0\sa240\nowidctlpar\wrapdefault\aspalpha\aspnum\faauto\adjustright\rin0\lin0\itap0 \rtlch\fcs1 \af0\afs20\alang1025 \ltrch\fcs0 _x000d__x000a_\i\fs24\lang1029\langfe2057\cgrid\langnp1029\langfenp2057 \sbasedon0 \snext21 \spriority0 \styrsid5056930 AmJustText;}{\s22\qc \li0\ri0\sb240\sa240\nowidctlpar\wrapdefault\aspalpha\aspnum\faauto\adjustright\rin0\lin0\itap0 \rtlch\fcs1 _x000d__x000a_\af0\afs20\alang1025 \ltrch\fcs0 \i\fs24\lang1029\langfe2057\cgrid\langnp1029\langfenp2057 \sbasedon0 \snext22 \spriority0 \styrsid5056930 AmCrossRef;}{_x000d__x000a_\s23\qc \li0\ri0\sb240\sa240\keepn\nowidctlpar\wrapdefault\aspalpha\aspnum\faauto\adjustright\rin0\lin0\itap0 \rtlch\fcs1 \af0\afs20\alang1025 \ltrch\fcs0 \i\fs24\lang1029\langfe2057\cgrid\langnp1029\langfenp2057 _x000d__x000a_\sbasedon0 \snext21 \spriority0 \styrsid5056930 AmJustTitle;}{\s24\qc \li0\ri0\sa240\nowidctlpar\wrapdefault\aspalpha\aspnum\faauto\adjustright\rin0\lin0\itap0 \rtlch\fcs1 \af0\afs20\alang1025 \ltrch\fcs0 _x000d__x000a_\i\fs24\lang1029\langfe2057\cgrid\langnp1029\langfenp2057 \sbasedon0 \snext24 \spriority0 \styrsid5056930 Am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29\langfe2057\cgrid\langnp1029\langfenp2057 \sbasedon0 \snext25 \spriority0 \styrsid5056930 AmNumberTabs;}{\s26\ql \li0\ri0\sb240\nowidctlpar\wrapdefault\aspalpha\aspnum\faauto\adjustright\rin0\lin0\itap0 \rtlch\fcs1 _x000d__x000a_\af0\afs20\alang1025 \ltrch\fcs0 \b\fs24\lang1029\langfe2057\cgrid\langnp1029\langfenp2057 \sbasedon0 \snext26 \spriority0 \styrsid5056930 NormalBold12b;}}{\*\rsidtbl \rsid24658\rsid223860\rsid735077\rsid1718133\rsid2892074\rsid3565327\rsid4666813_x000d__x000a_\rsid5056930\rsid6641733\rsid7823322\rsid9636012\rsid10377208\rsid11215221\rsid11549030\rsid12154954\rsid14382809\rsid14424199\rsid15204470\rsid15285974\rsid15950462\rsid16212637\rsid16324206\rsid16662270}{\mmathPr\mmathFont34\mbrkBin0\mbrkBinSub0_x000d__x000a_\msmallFrac0\mdispDef1\mlMargin0\mrMargin0\mdefJc1\mwrapIndent1440\mintLim0\mnaryLim1}{\info{\author VIDROVA Kamila}{\operator VIDROVA Kamila}{\creatim\yr2023\mo12\dy7\hr10\min45}{\revtim\yr2023\mo12\dy7\hr10\min45}{\version1}{\edmins0}{\nofpages1}_x000d__x000a_{\nofwords94}{\nofchars540}{\nofcharsws633}{\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42\pgbrdrhead\pgbrdrfoot\splytwnine\ftnlytwnine\htmautsp\nolnhtadjtbl\useltbaln\alntblind\lytcalctblwd\lyttblrtgr\lnbrkrule\nobrkwrptbl\snaptogridincell\allowfieldendsel\wrppunct_x000d__x000a_\asianbrkrule\nojkernpunct\rsidroot5056930\newtblstyruls\nogrowautofit\usenormstyforlist\noindnmbrts\felnbrelev\nocxsptable\indrlsweleven\noafcnsttbl\afelev\utinl\hwelev\spltpgpar\notcvasp\notbrkcnstfrctbl\notvatxbx\krnprsnet\cachedcolbal _x000d__x000a_\nouicompat \fet0{\*\wgrffmtfilter 013f}\nofeaturethrottle1\ilfomacatclnup0{\*\template C:\\Users\\kvidrova\\AppData\\Local\\Temp\\Blank1.dotx}{\*\ftnsep \ltrpar \pard\plain \ltrpar_x000d__x000a_\ql \li0\ri0\widctlpar\wrapdefault\aspalpha\aspnum\faauto\adjustright\rin0\lin0\itap0 \rtlch\fcs1 \af0\afs20\alang1025 \ltrch\fcs0 \fs24\lang2057\langfe2057\cgrid\langnp2057\langfenp2057 {\rtlch\fcs1 \af0 \ltrch\fcs0 \insrsid16212637 \chftnsep _x000d__x000a_\par }}{\*\ftnsepc \ltrpar \pard\plain \ltrpar\ql \li0\ri0\widctlpar\wrapdefault\aspalpha\aspnum\faauto\adjustright\rin0\lin0\itap0 \rtlch\fcs1 \af0\afs20\alang1025 \ltrch\fcs0 \fs24\lang2057\langfe2057\cgrid\langnp2057\langfenp2057 {\rtlch\fcs1 \af0 _x000d__x000a_\ltrch\fcs0 \insrsid16212637 \chftnsepc _x000d__x000a_\par }}{\*\aftnsep \ltrpar \pard\plain \ltrpar\ql \li0\ri0\widctlpar\wrapdefault\aspalpha\aspnum\faauto\adjustright\rin0\lin0\itap0 \rtlch\fcs1 \af0\afs20\alang1025 \ltrch\fcs0 \fs24\lang2057\langfe2057\cgrid\langnp2057\langfenp2057 {\rtlch\fcs1 \af0 _x000d__x000a_\ltrch\fcs0 \insrsid16212637 \chftnsep _x000d__x000a_\par }}{\*\aftnsepc \ltrpar \pard\plain \ltrpar\ql \li0\ri0\widctlpar\wrapdefault\aspalpha\aspnum\faauto\adjustright\rin0\lin0\itap0 \rtlch\fcs1 \af0\afs20\alang1025 \ltrch\fcs0 \fs24\lang2057\langfe2057\cgrid\langnp2057\langfenp2057 {\rtlch\fcs1 \af0 _x000d__x000a_\ltrch\fcs0 \insrsid1621263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5\ql \li0\ri0\sb240\keepn\nowidctlpar_x000d__x000a_\tx879\tx936\tx1021\tx1077\tx1134\tx1191\tx1247\tx1304\tx1361\tx1418\tx1474\tx1531\tx1588\tx1644\tx1701\tx1758\tx1814\tx1871\tx2070\tx2126\tx3374\tx3430\wrapdefault\aspalpha\aspnum\faauto\adjustright\rin0\lin0\itap0\pararsid5056930 \rtlch\fcs1 _x000d__x000a_\af0\afs20\alang1025 \ltrch\fcs0 \b\fs24\lang1029\langfe2057\cgrid\langnp1029\langfenp2057 {\rtlch\fcs1 \af0 \ltrch\fcs0 \cs17\b0\v\fs20\cf9\lang1024\langfe1024\loch\af1\hich\af1\dbch\af31501\noproof\insrsid5056930\charrsid15419499 {\*\bkmkstart restart}_x000d__x000a_\hich\af1\dbch\af31501\loch\f1 &lt;Amend&gt;}{\rtlch\fcs1 \af332 \ltrch\fcs0 \f332\insrsid5056930\charrsid15419499 Pozm\'ec\'f2}{\rtlch\fcs1 \af0 \ltrch\fcs0 \insrsid5056930\charrsid15419499 ovac\'ed n\'e1vrh\tab \tab }{\rtlch\fcs1 \af0 \ltrch\fcs0 _x000d__x000a_\cs17\b0\v\fs20\cf9\lang1024\langfe1024\loch\af1\hich\af1\dbch\af31501\noproof\insrsid5056930\charrsid15419499 \hich\af1\dbch\af31501\loch\f1 &lt;NumAm&gt;}{\rtlch\fcs1 \af0 \ltrch\fcs0 \insrsid5056930\charrsid15419499 #}{\rtlch\fcs1 \af1 \ltrch\fcs0 _x000d__x000a_\cs18\v\f1\fs20\cf15\insrsid5056930\charrsid15419499 ENMIENDA@NRAM@}{\rtlch\fcs1 \af0 \ltrch\fcs0 \insrsid5056930\charrsid15419499 #}{\rtlch\fcs1 \af0 \ltrch\fcs0 _x000d__x000a_\cs17\b0\v\fs20\cf9\lang1024\langfe1024\loch\af1\hich\af1\dbch\af31501\noproof\insrsid5056930\charrsid15419499 \hich\af1\dbch\af31501\loch\f1 &lt;/NumAm&gt;}{\rtlch\fcs1 \af0 \ltrch\fcs0 \insrsid5056930\charrsid15419499 _x000d__x000a_\par }\pard\plain \ltrpar\s26\ql \li0\ri0\sb240\keepn\nowidctlpar\wrapdefault\aspalpha\aspnum\faauto\adjustright\rin0\lin0\itap0\pararsid5056930 \rtlch\fcs1 \af0\afs20\alang1025 \ltrch\fcs0 \b\fs24\lang1029\langfe2057\cgrid\langnp1029\langfenp2057 {_x000d__x000a_\rtlch\fcs1 \af0 \ltrch\fcs0 \cs17\b0\v\fs20\cf9\lang1024\langfe1024\loch\af1\hich\af1\dbch\af31501\noproof\insrsid5056930\charrsid15419499 \hich\af1\dbch\af31501\loch\f1 &lt;DocAmend&gt;}{\rtlch\fcs1 \af0 \ltrch\fcs0 \insrsid5056930\charrsid15419499 N\'e1vrh #_x000d__x000a_}{\rtlch\fcs1 \af1 \ltrch\fcs0 \cs18\v\f1\fs20\cf15\insrsid5056930\charrsid15419499 MNU[DOC1][DOC2][DOC3]@DOCMSG@DOCMNU}{\rtlch\fcs1 \af0 \ltrch\fcs0 \insrsid5056930\charrsid15419499 ##}{\rtlch\fcs1 \af1 \ltrch\fcs0 _x000d__x000a_\cs18\v\f1\fs20\cf15\insrsid5056930\charrsid15419499 MNU[AMACTYES][NOTAPP]@CHOICE@AMACTMNU}{\rtlch\fcs1 \af0 \ltrch\fcs0 \insrsid5056930\charrsid15419499 #}{\rtlch\fcs1 \af0 \ltrch\fcs0 _x000d__x000a_\cs17\b0\v\fs20\cf9\lang1024\langfe1024\loch\af1\hich\af1\dbch\af31501\noproof\insrsid5056930\charrsid15419499 \hich\af1\dbch\af31501\loch\f1 &lt;/DocAmend&gt;}{\rtlch\fcs1 \af0 \ltrch\fcs0 \insrsid5056930\charrsid15419499 _x000d__x000a_\par }\pard\plain \ltrpar\s20\ql \li0\ri0\keepn\nowidctlpar\wrapdefault\aspalpha\aspnum\faauto\adjustright\rin0\lin0\itap0\pararsid5056930 \rtlch\fcs1 \af0\afs20\alang1025 \ltrch\fcs0 \b\fs24\lang1029\langfe2057\cgrid\langnp1029\langfenp2057 {\rtlch\fcs1 \af0 _x000d__x000a_\ltrch\fcs0 \cs17\b0\v\fs20\cf9\lang1024\langfe1024\loch\af1\hich\af1\dbch\af31501\noproof\insrsid5056930\charrsid15419499 \hich\af1\dbch\af31501\loch\f1 &lt;Article&gt;}{\rtlch\fcs1 \af0 \ltrch\fcs0 \insrsid5056930\charrsid15419499 #}{\rtlch\fcs1 \af1 _x000d__x000a_\ltrch\fcs0 \cs18\v\f1\fs20\cf15\insrsid5056930\charrsid15419499 MNU[AMACTPARTYES][AMACTPARTNO]@CHOICE@AMACTMNU}{\rtlch\fcs1 \af0 \ltrch\fcs0 \insrsid5056930\charrsid15419499 #}{\rtlch\fcs1 \af0 \ltrch\fcs0 _x000d__x000a_\cs17\b0\v\fs20\cf9\lang1024\langfe1024\loch\af1\hich\af1\dbch\af31501\noproof\insrsid5056930\charrsid15419499 \hich\af1\dbch\af31501\loch\f1 &lt;/Article&gt;}{\rtlch\fcs1 \af0 \ltrch\fcs0 \insrsid5056930\charrsid15419499 _x000d__x000a_\par }\pard\plain \ltrpar\ql \li0\ri0\keepn\widctlpar\wrapdefault\aspalpha\aspnum\faauto\adjustright\rin0\lin0\itap0\pararsid5056930 \rtlch\fcs1 \af0\afs20\alang1025 \ltrch\fcs0 \fs24\lang2057\langfe2057\cgrid\langnp2057\langfenp2057 {\rtlch\fcs1 \af0 _x000d__x000a_\ltrch\fcs0 \cs17\v\fs20\cf9\lang1024\langfe1024\loch\af1\hich\af1\dbch\af31501\noproof\langnp1029\insrsid5056930\charrsid15419499 \hich\af1\dbch\af31501\loch\f1 &lt;DocAmend2&gt;&lt;OptDel&gt;}{\rtlch\fcs1 \af0 \ltrch\fcs0 _x000d__x000a_\lang1029\langfe2057\langnp1029\insrsid5056930\charrsid15419499 #}{\rtlch\fcs1 \af1 \ltrch\fcs0 \cs18\v\f1\fs20\cf15\lang1029\langfe2057\langnp1029\insrsid5056930\charrsid15419499 MNU[OPTNRACTYES][NOTAPP]@CHOICE@AMACTMNU}{\rtlch\fcs1 \af0 \ltrch\fcs0 _x000d__x000a_\lang1029\langfe2057\langnp1029\insrsid5056930\charrsid15419499 #}{\rtlch\fcs1 \af0 \ltrch\fcs0 \cs17\v\fs20\cf9\lang1024\langfe1024\loch\af1\hich\af1\dbch\af31501\noproof\langnp1029\insrsid5056930\charrsid15419499 \hich\af1\dbch\af31501\loch\f1 _x000d__x000a_&lt;/OptDel&gt;&lt;/DocAmend2&gt;}{\rtlch\fcs1 \af0 \ltrch\fcs0 \lang1029\langfe2057\langnp1029\insrsid5056930\charrsid15419499 _x000d__x000a_\par }\pard \ltrpar\ql \li0\ri0\widctlpar\wrapdefault\aspalpha\aspnum\faauto\adjustright\rin0\lin0\itap0\pararsid5056930 {\rtlch\fcs1 \af0 \ltrch\fcs0 _x000d__x000a_\cs17\v\fs20\cf9\lang1024\langfe1024\loch\af1\hich\af1\dbch\af31501\noproof\langnp1029\insrsid5056930\charrsid15419499 \hich\af1\dbch\af31501\loch\f1 &lt;Article2&gt;&lt;OptDel&gt;}{\rtlch\fcs1 \af0 \ltrch\fcs0 _x000d__x000a_\lang1029\langfe2057\langnp1029\insrsid5056930\charrsid15419499 #}{\rtlch\fcs1 \af1 \ltrch\fcs0 \cs18\v\f1\fs20\cf15\lang1029\langfe2057\langnp1029\insrsid5056930\charrsid15419499 MNU[OPTACTPARTYES][NOTAPP]@CHOICE@AMACTMNU}{\rtlch\fcs1 \af0 \ltrch\fcs0 _x000d__x000a_\lang1029\langfe2057\langnp1029\insrsid5056930\charrsid15419499 #}{\rtlch\fcs1 \af0 \ltrch\fcs0 \cs17\v\fs20\cf9\lang1024\langfe1024\loch\af1\hich\af1\dbch\af31501\noproof\langnp1029\insrsid5056930\charrsid15419499 \hich\af1\dbch\af31501\loch\f1 _x000d__x000a_&lt;/OptDel&gt;&lt;/Article2&gt;}{\rtlch\fcs1 \af0 \ltrch\fcs0 \lang1029\langfe2057\langnp1029\insrsid5056930\charrsid1541949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 \ltrpar\ql \li0\ri0\keepn\widctlpar\intbl\wrapdefault\aspalpha\aspnum\faauto\adjustright\rin0\lin0\pararsid14315216 {\rtlch\fcs1 \af0 \ltrch\fcs0 _x000d__x000a_\lang1029\langfe2057\langnp1029\insrsid5056930\charrsid15419499 \cell }\pard \ltrpar\ql \li0\ri0\widctlpar\intbl\wrapdefault\aspalpha\aspnum\faauto\adjustright\rin0\lin0 {\rtlch\fcs1 \af0 \ltrch\fcs0 _x000d__x000a_\lang1029\langfe2057\langnp1029\insrsid5056930\charrsid15419499 \trowd \irow0\irowband0\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4\qc \li0\ri0\sa240\keepn\nowidctlpar\intbl\wrapdefault\aspalpha\aspnum\faauto\adjustright\rin0\lin0\pararsid14315216 \rtlch\fcs1 \af0\afs20\alang1025 \ltrch\fcs0 \i\fs24\lang1029\langfe2057\cgrid\langnp1029\langfenp2057 {\rtlch\fcs1 \af0 \ltrch\fcs0 _x000d__x000a_\insrsid5056930\charrsid15419499 #}{\rtlch\fcs1 \af1 \ltrch\fcs0 \cs18\v\f1\fs20\cf15\insrsid5056930\charrsid15419499 MNU[OPTLEFTAMACT][LEFTPROP]@CHOICE@AMACTMNU}{\rtlch\fcs1 \af0 \ltrch\fcs0 \insrsid5056930\charrsid15419499 #\cell }{\rtlch\fcs1 \af332 _x000d__x000a_\ltrch\fcs0 \f332\insrsid5056930\charrsid15419499 Pozm\'ec\'f2ovac\'ed n\'e1vrh\cell }\pard\plain \ltrpar\ql \li0\ri0\widctlpar\intbl\wrapdefault\aspalpha\aspnum\faauto\adjustright\rin0\lin0 \rtlch\fcs1 \af0\afs20\alang1025 \ltrch\fcs0 _x000d__x000a_\fs24\lang2057\langfe2057\cgrid\langnp2057\langfenp2057 {\rtlch\fcs1 \af0 \ltrch\fcs0 \lang1029\langfe2057\langnp1029\insrsid5056930\charrsid15419499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2517430 \rtlch\fcs1 \af0\afs20\alang1025 \ltrch\fcs0 \fs24\lang1029\langfe2057\cgrid\langnp1029\langfenp2057 {\rtlch\fcs1 \af0 \ltrch\fcs0 _x000d__x000a_\insrsid5056930\charrsid15419499 ##\cell ##}{\rtlch\fcs1 \af0\afs24 \ltrch\fcs0 \insrsid5056930\charrsid15419499 \cell }\pard\plain \ltrpar\ql \li0\ri0\widctlpar\intbl\wrapdefault\aspalpha\aspnum\faauto\adjustright\rin0\lin0 \rtlch\fcs1 _x000d__x000a_\af0\afs20\alang1025 \ltrch\fcs0 \fs24\lang2057\langfe2057\cgrid\langnp2057\langfenp2057 {\rtlch\fcs1 \af0 \ltrch\fcs0 \lang1029\langfe2057\langnp1029\insrsid5056930\charrsid15419499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2\qc \li0\ri0\sb240\sa240\nowidctlpar\wrapdefault\aspalpha\aspnum\faauto\adjustright\rin0\lin0\itap0\pararsid5056930 \rtlch\fcs1 \af0\afs20\alang1025 \ltrch\fcs0 \i\fs24\lang1029\langfe2057\cgrid\langnp1029\langfenp2057 {\rtlch\fcs1 \af0 \ltrch\fcs0 _x000d__x000a_\cs17\i0\v\fs20\cf9\lang1024\langfe1024\loch\af1\hich\af1\dbch\af31501\noproof\insrsid5056930\charrsid15419499 \hich\af1\dbch\af31501\loch\f1 &lt;OptDel&gt;}{\rtlch\fcs1 \af0 \ltrch\fcs0 \insrsid5056930\charrsid15419499 #}{\rtlch\fcs1 \af1 \ltrch\fcs0 _x000d__x000a_\cs18\v\f1\fs20\cf15\insrsid5056930\charrsid15419499 MNU[CROSSREFNO][CROSSREFYES]@CHOICE@}{\rtlch\fcs1 \af0 \ltrch\fcs0 \insrsid5056930\charrsid15419499 #}{\rtlch\fcs1 \af0 \ltrch\fcs0 _x000d__x000a_\cs17\i0\v\fs20\cf9\lang1024\langfe1024\loch\af1\hich\af1\dbch\af31501\noproof\insrsid5056930\charrsid15419499 \hich\af1\dbch\af31501\loch\f1 &lt;/OptDel&gt;}{\rtlch\fcs1 \af0 \ltrch\fcs0 \insrsid5056930\charrsid15419499 _x000d__x000a_\par }\pard\plain \ltrpar\s23\qc \li0\ri0\sb240\sa240\keepn\nowidctlpar\wrapdefault\aspalpha\aspnum\faauto\adjustright\rin0\lin0\itap0\pararsid5056930 \rtlch\fcs1 \af0\afs20\alang1025 \ltrch\fcs0 \i\fs24\lang1029\langfe2057\cgrid\langnp1029\langfenp2057 {_x000d__x000a_\rtlch\fcs1 \af0 \ltrch\fcs0 \cs17\i0\v\fs20\cf9\lang1024\langfe1024\loch\af1\hich\af1\dbch\af31501\noproof\insrsid5056930\charrsid15419499 \hich\af1\dbch\af31501\loch\f1 &lt;TitreJust&gt;}{\rtlch\fcs1 \af332 \ltrch\fcs0 \f332\insrsid5056930\charrsid15419499 Od_x000d__x000a_\'f9vodn\'ecn\'ed}{\rtlch\fcs1 \af0 \ltrch\fcs0 \cs17\i0\v\fs20\cf9\lang1024\langfe1024\loch\af1\hich\af1\dbch\af31501\noproof\insrsid5056930\charrsid15419499 \hich\af1\dbch\af31501\loch\f1 &lt;/TitreJust&gt;}{\rtlch\fcs1 \af0 \ltrch\fcs0 _x000d__x000a_\insrsid5056930\charrsid15419499 _x000d__x000a_\par }\pard\plain \ltrpar\s21\ql \li0\ri0\sa240\nowidctlpar\wrapdefault\aspalpha\aspnum\faauto\adjustright\rin0\lin0\itap0\pararsid5056930 \rtlch\fcs1 \af0\afs20\alang1025 \ltrch\fcs0 \i\fs24\lang1029\langfe2057\cgrid\langnp1029\langfenp2057 {\rtlch\fcs1 \af0 _x000d__x000a_\ltrch\fcs0 \cs17\i0\v\fs20\cf9\lang1024\langfe1024\loch\af1\hich\af1\dbch\af31501\noproof\insrsid5056930\charrsid15419499 \hich\af1\dbch\af31501\loch\f1 &lt;OptDelPrev&gt;}{\rtlch\fcs1 \af0 \ltrch\fcs0 \insrsid5056930\charrsid15419499 #}{\rtlch\fcs1 \af1 _x000d__x000a_\ltrch\fcs0 \cs18\v\f1\fs20\cf15\insrsid5056930\charrsid15419499 MNU[TEXTJUSTYES][TEXTJUSTNO]@CHOICE@}{\rtlch\fcs1 \af0 \ltrch\fcs0 \insrsid5056930\charrsid15419499 #}{\rtlch\fcs1 \af0 \ltrch\fcs0 _x000d__x000a_\cs17\i0\v\fs20\cf9\lang1024\langfe1024\loch\af1\hich\af1\dbch\af31501\noproof\insrsid5056930\charrsid15419499 \hich\af1\dbch\af31501\loch\f1 &lt;/OptDelPrev&gt;}{\rtlch\fcs1 \af0 \ltrch\fcs0 \insrsid5056930\charrsid15419499 _x000d__x000a_\par }\pard\plain \ltrpar\ql \li0\ri0\widctlpar\wrapdefault\aspalpha\aspnum\faauto\adjustright\rin0\lin0\itap0\pararsid5056930 \rtlch\fcs1 \af0\afs20\alang1025 \ltrch\fcs0 \fs24\lang2057\langfe2057\cgrid\langnp2057\langfenp2057 {\rtlch\fcs1 \af0 \ltrch\fcs0 _x000d__x000a_\cs17\v\fs20\cf9\lang1024\langfe1024\loch\af1\hich\af1\dbch\af31501\noproof\langnp1029\insrsid5056930\charrsid15419499 \hich\af1\dbch\af31501\loch\f1 &lt;/Amend&gt;}{\rtlch\fcs1 \af0 \ltrch\fcs0 \insrsid5056930\charrsid16324206 {\*\bkmkend restart}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32_x000d__x000a_452cf228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2\fbidi \froman\fcharset238\fprq2 Times New Roman CE;}{\f333\fbidi \froman\fcharset204\fprq2 Times New Roman Cyr;}_x000d__x000a_{\f335\fbidi \froman\fcharset161\fprq2 Times New Roman Greek;}{\f336\fbidi \froman\fcharset162\fprq2 Times New Roman Tur;}{\f337\fbidi \froman\fcharset177\fprq2 Times New Roman (Hebrew);}{\f338\fbidi \froman\fcharset178\fprq2 Times New Roman (Arabic);}_x000d__x000a_{\f339\fbidi \froman\fcharset186\fprq2 Times New Roman Baltic;}{\f340\fbidi \froman\fcharset163\fprq2 Times New Roman (Vietnamese);}{\f342\fbidi \fswiss\fcharset238\fprq2 Arial CE;}{\f343\fbidi \fswiss\fcharset204\fprq2 Arial Cyr;}_x000d__x000a_{\f345\fbidi \fswiss\fcharset161\fprq2 Arial Greek;}{\f346\fbidi \fswiss\fcharset162\fprq2 Arial Tur;}{\f347\fbidi \fswiss\fcharset177\fprq2 Arial (Hebrew);}{\f348\fbidi \fswiss\fcharset178\fprq2 Arial (Arabic);}_x000d__x000a_{\f349\fbidi \fswiss\fcharset186\fprq2 Arial Baltic;}{\f350\fbidi \fswiss\fcharset163\fprq2 Arial (Vietnamese);}{\f672\fbidi \froman\fcharset238\fprq2 Cambria Math CE;}{\f673\fbidi \froman\fcharset204\fprq2 Cambria Math Cyr;}_x000d__x000a_{\f675\fbidi \froman\fcharset161\fprq2 Cambria Math Greek;}{\f676\fbidi \froman\fcharset162\fprq2 Cambria Math Tur;}{\f679\fbidi \froman\fcharset186\fprq2 Cambria Math Baltic;}{\f68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1147548 HideTWBExt;}{_x000d__x000a_\s18\ql \li0\ri0\sa120\nowidctlpar\wrapdefault\aspalpha\aspnum\faauto\adjustright\rin0\lin0\itap0 \rtlch\fcs1 \af0\afs20\alang1025 \ltrch\fcs0 \fs24\lang2057\langfe2057\cgrid\langnp2057\langfenp2057 \sbasedon0 \snext18 \spriority0 \styrsid11147548 _x000d__x000a_Normal6a;}{\s19\ql \li0\ri0\nowidctlpar\wrapdefault\aspalpha\aspnum\faauto\adjustright\rin0\lin0\itap0 \rtlch\fcs1 \af0\afs20\alang1025 \ltrch\fcs0 \b\fs24\lang2057\langfe2057\cgrid\langnp2057\langfenp2057 \sbasedon0 \snext19 \spriority0 \styrsid11147548 _x000d__x000a_NormalBold;}{\s20\ql \li0\ri0\sa240\nowidctlpar\wrapdefault\aspalpha\aspnum\faauto\adjustright\rin0\lin0\itap0 \rtlch\fcs1 \af0\afs20\alang1025 \ltrch\fcs0 \i\fs24\lang2057\langfe2057\cgrid\langnp2057\langfenp2057 _x000d__x000a_\sbasedon0 \snext20 \spriority0 \styrsid11147548 AmJustText;}{\s21\qc \li0\ri0\sb240\sa240\nowidctlpar\wrapdefault\aspalpha\aspnum\faauto\adjustright\rin0\lin0\itap0 \rtlch\fcs1 \af0\afs20\alang1025 \ltrch\fcs0 _x000d__x000a_\i\fs24\lang2057\langfe2057\cgrid\langnp2057\langfenp2057 \sbasedon0 \snext21 \spriority0 \styrsid11147548 AmCrossRef;}{\s22\qc \li0\ri0\sb240\sa240\keepn\nowidctlpar\wrapdefault\aspalpha\aspnum\faauto\adjustright\rin0\lin0\itap0 \rtlch\fcs1 _x000d__x000a_\af0\afs20\alang1025 \ltrch\fcs0 \i\fs24\lang2057\langfe2057\cgrid\langnp2057\langfenp2057 \sbasedon0 \snext20 \spriority0 \styrsid11147548 AmJustTitle;}{\s23\qc \li0\ri0\sa240\nowidctlpar\wrapdefault\aspalpha\aspnum\faauto\adjustright\rin0\lin0\itap0 _x000d__x000a_\rtlch\fcs1 \af0\afs20\alang1025 \ltrch\fcs0 \i\fs24\lang2057\langfe2057\cgrid\langnp2057\langfenp2057 \sbasedon0 \snext23 \spriority0 \styrsid11147548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11147548 AmNumberTabs;}{\s25\ql \li0\ri0\sb240\nowidctlpar\wrapdefault\aspalpha\aspnum\faauto\adjustright\rin0\lin0\itap0 \rtlch\fcs1 _x000d__x000a_\af0\afs20\alang1025 \ltrch\fcs0 \b\fs24\lang2057\langfe2057\cgrid\langnp2057\langfenp2057 \sbasedon0 \snext25 \spriority0 \styrsid11147548 NormalBold12b;}}{\*\rsidtbl \rsid24658\rsid223860\rsid735077\rsid1650252\rsid1718133\rsid2892074\rsid3565327_x000d__x000a_\rsid4666813\rsid6641733\rsid7823322\rsid9636012\rsid10377208\rsid11147548\rsid11215221\rsid11549030\rsid12154954\rsid14382809\rsid14424199\rsid15204470\rsid15285974\rsid15950462\rsid16324206\rsid16662270}{\mmathPr\mmathFont34\mbrkBin0\mbrkBinSub0_x000d__x000a_\msmallFrac0\mdispDef1\mlMargin0\mrMargin0\mdefJc1\mwrapIndent1440\mintLim0\mnaryLim1}{\info{\author VIDROVA Kamila}{\operator VIDROVA Kamila}{\creatim\yr2023\mo12\dy7\hr10\min45}{\revtim\yr2023\mo12\dy7\hr10\min45}{\version1}{\edmins0}{\nofpages1}_x000d__x000a_{\nofwords54}{\nofchars313}{\nofcharsws366}{\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42\pgbrdrhead\pgbrdrfoot\splytwnine\ftnlytwnine\htmautsp\nolnhtadjtbl\useltbaln\alntblind\lytcalctblwd\lyttblrtgr\lnbrkrule\nobrkwrptbl\snaptogridincell\allowfieldendsel\wrppunct_x000d__x000a_\asianbrkrule\nojkernpunct\rsidroot11147548\newtblstyruls\nogrowautofit\usenormstyforlist\noindnmbrts\felnbrelev\nocxsptable\indrlsweleven\noafcnsttbl\afelev\utinl\hwelev\spltpgpar\notcvasp\notbrkcnstfrctbl\notvatxbx\krnprsnet\cachedcolbal _x000d__x000a_\nouicompat \fet0{\*\wgrffmtfilter 013f}\nofeaturethrottle1\ilfomacatclnup0{\*\template C:\\Users\\kvidrova\\AppData\\Local\\Temp\\Blank1.dotx}{\*\ftnsep \ltrpar \pard\plain \ltrpar_x000d__x000a_\ql \li0\ri0\widctlpar\wrapdefault\aspalpha\aspnum\faauto\adjustright\rin0\lin0\itap0 \rtlch\fcs1 \af0\afs20\alang1025 \ltrch\fcs0 \fs24\lang2057\langfe2057\cgrid\langnp2057\langfenp2057 {\rtlch\fcs1 \af0 \ltrch\fcs0 \insrsid1650252 \chftnsep _x000d__x000a_\par }}{\*\ftnsepc \ltrpar \pard\plain \ltrpar\ql \li0\ri0\widctlpar\wrapdefault\aspalpha\aspnum\faauto\adjustright\rin0\lin0\itap0 \rtlch\fcs1 \af0\afs20\alang1025 \ltrch\fcs0 \fs24\lang2057\langfe2057\cgrid\langnp2057\langfenp2057 {\rtlch\fcs1 \af0 _x000d__x000a_\ltrch\fcs0 \insrsid1650252 \chftnsepc _x000d__x000a_\par }}{\*\aftnsep \ltrpar \pard\plain \ltrpar\ql \li0\ri0\widctlpar\wrapdefault\aspalpha\aspnum\faauto\adjustright\rin0\lin0\itap0 \rtlch\fcs1 \af0\afs20\alang1025 \ltrch\fcs0 \fs24\lang2057\langfe2057\cgrid\langnp2057\langfenp2057 {\rtlch\fcs1 \af0 _x000d__x000a_\ltrch\fcs0 \insrsid1650252 \chftnsep _x000d__x000a_\par }}{\*\aftnsepc \ltrpar \pard\plain \ltrpar\ql \li0\ri0\widctlpar\wrapdefault\aspalpha\aspnum\faauto\adjustright\rin0\lin0\itap0 \rtlch\fcs1 \af0\afs20\alang1025 \ltrch\fcs0 \fs24\lang2057\langfe2057\cgrid\langnp2057\langfenp2057 {\rtlch\fcs1 \af0 _x000d__x000a_\ltrch\fcs0 \insrsid165025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11147548 \rtlch\fcs1 _x000d__x000a_\af0\afs20\alang1025 \ltrch\fcs0 \b\fs24\lang2057\langfe2057\cgrid\langnp2057\langfenp2057 {\rtlch\fcs1 \af0 \ltrch\fcs0 \cs17\b0\v\fs20\cf9\lang1024\langfe1024\loch\af1\hich\af1\dbch\af31501\noproof\langnp1030\insrsid11147548\charrsid5141309 _x000d__x000a_{\*\bkmkstart restart}\hich\af1\dbch\af31501\loch\f1 &lt;Amend&gt;}{\rtlch\fcs1 \af0 \ltrch\fcs0 \lang1030\langfe2057\langnp1030\insrsid11147548\charrsid5141309 [ZAMENDMENT]\tab \tab }{\rtlch\fcs1 \af0 \ltrch\fcs0 _x000d__x000a_\cs17\b0\v\fs20\cf9\lang1024\langfe1024\loch\af1\hich\af1\dbch\af31501\noproof\langnp1030\insrsid11147548\charrsid5141309 \hich\af1\dbch\af31501\loch\f1 &lt;NumAm&gt;}{\rtlch\fcs1 \af0 \ltrch\fcs0 \lang1030\langfe2057\langnp1030\insrsid11147548\charrsid5141309 _x000d__x000a_[ZNRAM]}{\rtlch\fcs1 \af0 \ltrch\fcs0 \cs17\b0\v\fs20\cf9\lang1024\langfe1024\loch\af1\hich\af1\dbch\af31501\noproof\langnp1030\insrsid11147548\charrsid5141309 \hich\af1\dbch\af31501\loch\f1 &lt;/NumAm&gt;}{\rtlch\fcs1 \af0 \ltrch\fcs0 _x000d__x000a_\lang1030\langfe2057\langnp1030\insrsid11147548\charrsid5141309 _x000d__x000a_\par }\pard\plain \ltrpar\s25\ql \li0\ri0\sb240\keepn\nowidctlpar\wrapdefault\aspalpha\aspnum\faauto\adjustright\rin0\lin0\itap0\pararsid11147548 \rtlch\fcs1 \af0\afs20\alang1025 \ltrch\fcs0 \b\fs24\lang2057\langfe2057\cgrid\langnp2057\langfenp2057 {_x000d__x000a_\rtlch\fcs1 \af0 \ltrch\fcs0 \cs17\b0\v\fs20\cf9\lang1024\langfe1024\loch\af1\hich\af1\dbch\af31501\noproof\langnp1030\insrsid11147548\charrsid5141309 \hich\af1\dbch\af31501\loch\f1 &lt;DocAmend&gt;}{\rtlch\fcs1 \af0 \ltrch\fcs0 _x000d__x000a_\lang1030\langfe2057\langnp1030\insrsid11147548\charrsid5141309 [ZPROPOSAL][ZAMACT]}{\rtlch\fcs1 \af0 \ltrch\fcs0 \cs17\b0\v\fs20\cf9\lang1024\langfe1024\loch\af1\hich\af1\dbch\af31501\noproof\langnp1030\insrsid11147548\charrsid5141309 _x000d__x000a_\hich\af1\dbch\af31501\loch\f1 &lt;/DocAmend&gt;}{\rtlch\fcs1 \af0 \ltrch\fcs0 \lang1030\langfe2057\langnp1030\insrsid11147548\charrsid5141309 _x000d__x000a_\par }\pard\plain \ltrpar\s19\ql \li0\ri0\keepn\nowidctlpar\wrapdefault\aspalpha\aspnum\faauto\adjustright\rin0\lin0\itap0\pararsid11147548 \rtlch\fcs1 \af0\afs20\alang1025 \ltrch\fcs0 \b\fs24\lang2057\langfe2057\cgrid\langnp2057\langfenp2057 {\rtlch\fcs1 _x000d__x000a_\af0 \ltrch\fcs0 \cs17\b0\v\fs20\cf9\lang1024\langfe1024\loch\af1\hich\af1\dbch\af31501\noproof\langnp1030\insrsid11147548\charrsid5141309 \hich\af1\dbch\af31501\loch\f1 &lt;Article&gt;}{\rtlch\fcs1 \af0 \ltrch\fcs0 _x000d__x000a_\lang1030\langfe2057\langnp1030\insrsid11147548\charrsid5141309 [ZAMPART]}{\rtlch\fcs1 \af0 \ltrch\fcs0 \cs17\b0\v\fs20\cf9\lang1024\langfe1024\loch\af1\hich\af1\dbch\af31501\noproof\langnp1030\insrsid11147548\charrsid5141309 _x000d__x000a_\hich\af1\dbch\af31501\loch\f1 &lt;/Article&gt;}{\rtlch\fcs1 \af0 \ltrch\fcs0 \lang1030\langfe2057\langnp1030\insrsid11147548\charrsid5141309 _x000d__x000a_\par }\pard\plain \ltrpar\ql \li0\ri0\keepn\widctlpar\wrapdefault\aspalpha\aspnum\faauto\adjustright\rin0\lin0\itap0\pararsid11147548 \rtlch\fcs1 \af0\afs20\alang1025 \ltrch\fcs0 \fs24\lang2057\langfe2057\cgrid\langnp2057\langfenp2057 {\rtlch\fcs1 \af0 _x000d__x000a_\ltrch\fcs0 \cs17\v\fs20\cf9\lang1024\langfe1024\loch\af1\hich\af1\dbch\af31501\noproof\langnp1043\insrsid11147548\charrsid5141309 \hich\af1\dbch\af31501\loch\f1 &lt;DocAmend2&gt;&lt;OptDel&gt;}{\rtlch\fcs1 \af0 \ltrch\fcs0 _x000d__x000a_\lang1043\langfe2057\langnp1043\insrsid11147548\charrsid5141309 [ZNRACT]}{\rtlch\fcs1 \af0 \ltrch\fcs0 \cs17\v\fs20\cf9\lang1024\langfe1024\loch\af1\hich\af1\dbch\af31501\noproof\langnp1043\insrsid11147548\charrsid5141309 \hich\af1\dbch\af31501\loch\f1 _x000d__x000a_&lt;/OptDel&gt;&lt;/DocAmend2&gt;}{\rtlch\fcs1 \af0 \ltrch\fcs0 \lang1043\langfe2057\langnp1043\insrsid11147548\charrsid5141309 _x000d__x000a_\par }\pard \ltrpar\ql \li0\ri0\widctlpar\wrapdefault\aspalpha\aspnum\faauto\adjustright\rin0\lin0\itap0\pararsid11147548 {\rtlch\fcs1 \af0 \ltrch\fcs0 _x000d__x000a_\cs17\v\fs20\cf9\lang1024\langfe1024\loch\af1\hich\af1\dbch\af31501\noproof\langnp1036\insrsid11147548\charrsid5141309 \hich\af1\dbch\af31501\loch\f1 &lt;Article2&gt;&lt;OptDel&gt;}{\rtlch\fcs1 \af0 \ltrch\fcs0 _x000d__x000a_\lang1036\langfe2057\langnp1036\insrsid11147548\charrsid5141309 [ZACTPART]}{\rtlch\fcs1 \af0 \ltrch\fcs0 \cs17\v\fs20\cf9\lang1024\langfe1024\loch\af1\hich\af1\dbch\af31501\noproof\langnp1036\insrsid11147548\charrsid5141309 \hich\af1\dbch\af31501\loch\f1 _x000d__x000a_&lt;/OptDel&gt;&lt;/Article2&gt;}{\rtlch\fcs1 \af0 \ltrch\fcs0 \lang1036\langfe2057\langnp1036\insrsid11147548\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 \ltrpar\ql \li0\ri0\keepn\widctlpar\intbl\wrapdefault\aspalpha\aspnum\faauto\adjustright\rin0\lin0\pararsid14315216 {\rtlch\fcs1 \af0 \ltrch\fcs0 _x000d__x000a_\lang1036\langfe2057\langnp1036\insrsid11147548\charrsid5141309 \cell }\pard \ltrpar\ql \li0\ri0\widctlpar\intbl\wrapdefault\aspalpha\aspnum\faauto\adjustright\rin0\lin0 {\rtlch\fcs1 \af0 \ltrch\fcs0 \insrsid11147548\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4315216 \rtlch\fcs1 \af0\afs20\alang1025 \ltrch\fcs0 \i\fs24\lang2057\langfe2057\cgrid\langnp2057\langfenp2057 {\rtlch\fcs1 \af0 \ltrch\fcs0 _x000d__x000a_\insrsid11147548\charrsid4593153 [ZLEFT]\cell [ZRIGHT]\cell }\pard\plain \ltrpar\ql \li0\ri0\widctlpar\intbl\wrapdefault\aspalpha\aspnum\faauto\adjustright\rin0\lin0 \rtlch\fcs1 \af0\afs20\alang1025 \ltrch\fcs0 _x000d__x000a_\fs24\lang2057\langfe2057\cgrid\langnp2057\langfenp2057 {\rtlch\fcs1 \af0 \ltrch\fcs0 \insrsid11147548\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2517430 \rtlch\fcs1 \af0\afs20\alang1025 \ltrch\fcs0 \fs24\lang2057\langfe2057\cgrid\langnp2057\langfenp2057 {\rtlch\fcs1 \af0 \ltrch\fcs0 _x000d__x000a_\insrsid11147548\charrsid4593153 [ZTEXTL]\cell [ZTEXTR]}{\rtlch\fcs1 \af0\afs24 \ltrch\fcs0 \insrsid11147548\charrsid4593153 \cell }\pard\plain \ltrpar\ql \li0\ri0\widctlpar\intbl\wrapdefault\aspalpha\aspnum\faauto\adjustright\rin0\lin0 \rtlch\fcs1 _x000d__x000a_\af0\afs20\alang1025 \ltrch\fcs0 \fs24\lang2057\langfe2057\cgrid\langnp2057\langfenp2057 {\rtlch\fcs1 \af0 \ltrch\fcs0 \insrsid11147548\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11147548 \rtlch\fcs1 \af0\afs20\alang1025 \ltrch\fcs0 \i\fs24\lang2057\langfe2057\cgrid\langnp2057\langfenp2057 {\rtlch\fcs1 \af0 \ltrch\fcs0 _x000d__x000a_\cs17\i0\v\fs20\cf9\lang1024\langfe1024\loch\af1\hich\af1\dbch\af31501\noproof\insrsid11147548\charrsid4593153 \hich\af1\dbch\af31501\loch\f1 &lt;OptDel&gt;}{\rtlch\fcs1 \af0 \ltrch\fcs0 \insrsid11147548\charrsid4593153 [ZCROSSREF]}{\rtlch\fcs1 \af0 _x000d__x000a_\ltrch\fcs0 \cs17\i0\v\fs20\cf9\lang1024\langfe1024\loch\af1\hich\af1\dbch\af31501\noproof\insrsid11147548\charrsid4593153 \hich\af1\dbch\af31501\loch\f1 &lt;/OptDel&gt;}{\rtlch\fcs1 \af0 \ltrch\fcs0 \insrsid11147548\charrsid4593153 _x000d__x000a_\par }\pard\plain \ltrpar\s22\qc \li0\ri0\sb240\sa240\keepn\nowidctlpar\wrapdefault\aspalpha\aspnum\faauto\adjustright\rin0\lin0\itap0\pararsid11147548 \rtlch\fcs1 \af0\afs20\alang1025 \ltrch\fcs0 \i\fs24\lang2057\langfe2057\cgrid\langnp2057\langfenp2057 {_x000d__x000a_\rtlch\fcs1 \af0 \ltrch\fcs0 \cs17\i0\v\fs20\cf9\lang1024\langfe1024\loch\af1\hich\af1\dbch\af31501\noproof\insrsid11147548\charrsid4593153 \hich\af1\dbch\af31501\loch\f1 &lt;TitreJust&gt;}{\rtlch\fcs1 \af0 \ltrch\fcs0 \insrsid11147548\charrsid4593153 _x000d__x000a_[ZJUSTIFICATION]}{\rtlch\fcs1 \af0 \ltrch\fcs0 \cs17\i0\v\fs20\cf9\lang1024\langfe1024\loch\af1\hich\af1\dbch\af31501\noproof\insrsid11147548\charrsid4593153 \hich\af1\dbch\af31501\loch\f1 &lt;/TitreJust&gt;}{\rtlch\fcs1 \af0 \ltrch\fcs0 _x000d__x000a_\insrsid11147548\charrsid4593153 _x000d__x000a_\par }\pard\plain \ltrpar\s20\ql \li0\ri0\sa240\nowidctlpar\wrapdefault\aspalpha\aspnum\faauto\adjustright\rin0\lin0\itap0\pararsid11147548 \rtlch\fcs1 \af0\afs20\alang1025 \ltrch\fcs0 \i\fs24\lang2057\langfe2057\cgrid\langnp2057\langfenp2057 {\rtlch\fcs1 _x000d__x000a_\af0 \ltrch\fcs0 \cs17\i0\v\fs20\cf9\lang1024\langfe1024\loch\af1\hich\af1\dbch\af31501\noproof\insrsid11147548\charrsid4593153 \hich\af1\dbch\af31501\loch\f1 &lt;OptDelPrev&gt;}{\rtlch\fcs1 \af0 \ltrch\fcs0 \insrsid11147548\charrsid4593153 [ZTEXTJUST]}{_x000d__x000a_\rtlch\fcs1 \af0 \ltrch\fcs0 \cs17\i0\v\fs20\cf9\lang1024\langfe1024\loch\af1\hich\af1\dbch\af31501\noproof\insrsid11147548\charrsid4593153 \hich\af1\dbch\af31501\loch\f1 &lt;/OptDelPrev&gt;}{\rtlch\fcs1 \af0 \ltrch\fcs0 \insrsid11147548\charrsid4593153 _x000d__x000a_\par }\pard\plain \ltrpar\ql \li0\ri0\widctlpar\wrapdefault\aspalpha\aspnum\faauto\adjustright\rin0\lin0\itap0\pararsid11147548 \rtlch\fcs1 \af0\afs20\alang1025 \ltrch\fcs0 \fs24\lang2057\langfe2057\cgrid\langnp2057\langfenp2057 {\rtlch\fcs1 \af0 \ltrch\fcs0 _x000d__x000a_\cs17\v\fs20\cf9\lang1024\langfe1024\loch\af1\hich\af1\dbch\af31501\noproof\insrsid11147548\charrsid4593153 \hich\af1\dbch\af31501\loch\f1 &lt;/Amend&gt;}{\rtlch\fcs1 \af0 \ltrch\fcs0 \insrsid11147548\charrsid16324206 {\*\bkmkend restart}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b5_x000d__x000a_d92df228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292"/>
    <w:docVar w:name="TXTAUTHOR" w:val="Danuta Maria Hübner"/>
    <w:docVar w:name="TXTLANGUE" w:val="CS"/>
    <w:docVar w:name="TXTLANGUEMIN" w:val="cs"/>
    <w:docVar w:name="TXTNRFIRSTAM" w:val="1"/>
    <w:docVar w:name="TXTNRLASTAM" w:val="2"/>
    <w:docVar w:name="TXTNRPE" w:val="749.905"/>
    <w:docVar w:name="TXTPEorAP" w:val="PE"/>
    <w:docVar w:name="TXTROUTE" w:val="RR\1292181CS.docx"/>
    <w:docVar w:name="TXTVERSION" w:val="02-00"/>
  </w:docVars>
  <w:rsids>
    <w:rsidRoot w:val="00EB486B"/>
    <w:rsid w:val="00011AAB"/>
    <w:rsid w:val="00012351"/>
    <w:rsid w:val="000139E5"/>
    <w:rsid w:val="000445B8"/>
    <w:rsid w:val="00084DD2"/>
    <w:rsid w:val="00084E89"/>
    <w:rsid w:val="000B7489"/>
    <w:rsid w:val="000C31E2"/>
    <w:rsid w:val="000F1096"/>
    <w:rsid w:val="00120948"/>
    <w:rsid w:val="00123DD5"/>
    <w:rsid w:val="001277AE"/>
    <w:rsid w:val="00142215"/>
    <w:rsid w:val="001767E2"/>
    <w:rsid w:val="00187008"/>
    <w:rsid w:val="001B3829"/>
    <w:rsid w:val="001C5592"/>
    <w:rsid w:val="001C5B44"/>
    <w:rsid w:val="001C6FFC"/>
    <w:rsid w:val="001D5996"/>
    <w:rsid w:val="001F7C7C"/>
    <w:rsid w:val="00212B84"/>
    <w:rsid w:val="0021773F"/>
    <w:rsid w:val="00223397"/>
    <w:rsid w:val="002346B0"/>
    <w:rsid w:val="002667C3"/>
    <w:rsid w:val="002669B6"/>
    <w:rsid w:val="00290BED"/>
    <w:rsid w:val="00291397"/>
    <w:rsid w:val="002D13EE"/>
    <w:rsid w:val="002E33EE"/>
    <w:rsid w:val="002F40BB"/>
    <w:rsid w:val="002F4B02"/>
    <w:rsid w:val="003112AB"/>
    <w:rsid w:val="00323EF8"/>
    <w:rsid w:val="003316DD"/>
    <w:rsid w:val="00366A46"/>
    <w:rsid w:val="00370AC3"/>
    <w:rsid w:val="00370FC0"/>
    <w:rsid w:val="003824EE"/>
    <w:rsid w:val="003B4689"/>
    <w:rsid w:val="003C2068"/>
    <w:rsid w:val="003C37CF"/>
    <w:rsid w:val="004100B1"/>
    <w:rsid w:val="00426E47"/>
    <w:rsid w:val="00432B3D"/>
    <w:rsid w:val="00455743"/>
    <w:rsid w:val="00460B87"/>
    <w:rsid w:val="00461601"/>
    <w:rsid w:val="004C0915"/>
    <w:rsid w:val="004D424E"/>
    <w:rsid w:val="004E42C8"/>
    <w:rsid w:val="004E733D"/>
    <w:rsid w:val="004F3FA5"/>
    <w:rsid w:val="0051271F"/>
    <w:rsid w:val="00521F46"/>
    <w:rsid w:val="00551111"/>
    <w:rsid w:val="00551123"/>
    <w:rsid w:val="00570A6A"/>
    <w:rsid w:val="00586E50"/>
    <w:rsid w:val="00592A45"/>
    <w:rsid w:val="0059583D"/>
    <w:rsid w:val="005A42D9"/>
    <w:rsid w:val="005C0D54"/>
    <w:rsid w:val="005C2BEF"/>
    <w:rsid w:val="005D1A99"/>
    <w:rsid w:val="005D7609"/>
    <w:rsid w:val="005D7EE8"/>
    <w:rsid w:val="00632E30"/>
    <w:rsid w:val="00642325"/>
    <w:rsid w:val="0068798C"/>
    <w:rsid w:val="0069092A"/>
    <w:rsid w:val="006A2F5D"/>
    <w:rsid w:val="006A64AD"/>
    <w:rsid w:val="006E11D3"/>
    <w:rsid w:val="006F7907"/>
    <w:rsid w:val="00740116"/>
    <w:rsid w:val="00743189"/>
    <w:rsid w:val="00743D33"/>
    <w:rsid w:val="007932B3"/>
    <w:rsid w:val="00793EA9"/>
    <w:rsid w:val="007D6F68"/>
    <w:rsid w:val="007F42BF"/>
    <w:rsid w:val="00817843"/>
    <w:rsid w:val="00823E6B"/>
    <w:rsid w:val="00826780"/>
    <w:rsid w:val="00837CCD"/>
    <w:rsid w:val="008633CC"/>
    <w:rsid w:val="00865190"/>
    <w:rsid w:val="008719B9"/>
    <w:rsid w:val="00894923"/>
    <w:rsid w:val="00894ECE"/>
    <w:rsid w:val="00896BB4"/>
    <w:rsid w:val="008A7FB8"/>
    <w:rsid w:val="008F1BC6"/>
    <w:rsid w:val="009022B8"/>
    <w:rsid w:val="00914537"/>
    <w:rsid w:val="00917CC4"/>
    <w:rsid w:val="009763DA"/>
    <w:rsid w:val="009975B3"/>
    <w:rsid w:val="009A0495"/>
    <w:rsid w:val="009A216D"/>
    <w:rsid w:val="009A2DF6"/>
    <w:rsid w:val="009B4B93"/>
    <w:rsid w:val="009C6A72"/>
    <w:rsid w:val="009F24BE"/>
    <w:rsid w:val="009F6C2F"/>
    <w:rsid w:val="009F767A"/>
    <w:rsid w:val="00A22533"/>
    <w:rsid w:val="00A26F46"/>
    <w:rsid w:val="00A34FD3"/>
    <w:rsid w:val="00A36929"/>
    <w:rsid w:val="00A50548"/>
    <w:rsid w:val="00A60EE7"/>
    <w:rsid w:val="00A910C9"/>
    <w:rsid w:val="00AA35B0"/>
    <w:rsid w:val="00AB1B30"/>
    <w:rsid w:val="00AD18C8"/>
    <w:rsid w:val="00AD7FA6"/>
    <w:rsid w:val="00AE4643"/>
    <w:rsid w:val="00AF0416"/>
    <w:rsid w:val="00B10CB4"/>
    <w:rsid w:val="00B13D6F"/>
    <w:rsid w:val="00B23B72"/>
    <w:rsid w:val="00B42702"/>
    <w:rsid w:val="00B57B8B"/>
    <w:rsid w:val="00B85407"/>
    <w:rsid w:val="00B95702"/>
    <w:rsid w:val="00BC6489"/>
    <w:rsid w:val="00BD480C"/>
    <w:rsid w:val="00C20954"/>
    <w:rsid w:val="00C23324"/>
    <w:rsid w:val="00C42A41"/>
    <w:rsid w:val="00C47E74"/>
    <w:rsid w:val="00C57A72"/>
    <w:rsid w:val="00C73602"/>
    <w:rsid w:val="00C74E68"/>
    <w:rsid w:val="00C85D0F"/>
    <w:rsid w:val="00CE449B"/>
    <w:rsid w:val="00CF2B3D"/>
    <w:rsid w:val="00CF60C8"/>
    <w:rsid w:val="00D30DE2"/>
    <w:rsid w:val="00D32924"/>
    <w:rsid w:val="00D503A3"/>
    <w:rsid w:val="00D537F7"/>
    <w:rsid w:val="00DA6ED0"/>
    <w:rsid w:val="00DC1323"/>
    <w:rsid w:val="00DC5011"/>
    <w:rsid w:val="00E171B6"/>
    <w:rsid w:val="00E72695"/>
    <w:rsid w:val="00EB1753"/>
    <w:rsid w:val="00EB486B"/>
    <w:rsid w:val="00EB6CFF"/>
    <w:rsid w:val="00EE3996"/>
    <w:rsid w:val="00F07062"/>
    <w:rsid w:val="00F23CFC"/>
    <w:rsid w:val="00F433E2"/>
    <w:rsid w:val="00F46C37"/>
    <w:rsid w:val="00F904AE"/>
    <w:rsid w:val="00F934F8"/>
    <w:rsid w:val="00FB52FE"/>
    <w:rsid w:val="00FC0A34"/>
    <w:rsid w:val="00FD1DEF"/>
    <w:rsid w:val="00FE3B3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B9FE28F9-8F97-414A-A420-A4360CE169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cs-CZ"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3FA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character" w:customStyle="1" w:styleId="HeaderChar">
    <w:name w:val="Header Char"/>
    <w:basedOn w:val="DefaultParagraphFont"/>
    <w:link w:val="Header"/>
    <w:semiHidden/>
    <w:rsid w:val="00F23CFC"/>
    <w:rPr>
      <w:sz w:val="24"/>
    </w:rPr>
  </w:style>
  <w:style w:type="paragraph" w:customStyle="1" w:styleId="EPComma">
    <w:name w:val="EPComma"/>
    <w:basedOn w:val="Normal"/>
    <w:rsid w:val="00A910C9"/>
    <w:pPr>
      <w:spacing w:before="480" w:after="240"/>
    </w:pPr>
  </w:style>
  <w:style w:type="paragraph" w:customStyle="1" w:styleId="Lgendesigne">
    <w:name w:val="Légende signe"/>
    <w:basedOn w:val="Normal"/>
    <w:rsid w:val="00AB1B30"/>
    <w:pPr>
      <w:tabs>
        <w:tab w:val="right" w:pos="454"/>
        <w:tab w:val="left" w:pos="737"/>
      </w:tabs>
      <w:ind w:left="737" w:hanging="737"/>
    </w:pPr>
    <w:rPr>
      <w:snapToGrid w:val="0"/>
      <w:sz w:val="18"/>
      <w:lang w:eastAsia="en-US"/>
    </w:rPr>
  </w:style>
  <w:style w:type="paragraph" w:customStyle="1" w:styleId="Lgendetitre">
    <w:name w:val="Légende titre"/>
    <w:basedOn w:val="Normal"/>
    <w:rsid w:val="00AB1B30"/>
    <w:pPr>
      <w:spacing w:before="240" w:after="240"/>
    </w:pPr>
    <w:rPr>
      <w:b/>
      <w:i/>
      <w:snapToGrid w:val="0"/>
      <w:lang w:eastAsia="en-US"/>
    </w:rPr>
  </w:style>
  <w:style w:type="paragraph" w:customStyle="1" w:styleId="Lgendestandard">
    <w:name w:val="Légende standard"/>
    <w:basedOn w:val="Normal"/>
    <w:rsid w:val="00AB1B30"/>
    <w:rPr>
      <w:sz w:val="18"/>
    </w:rPr>
  </w:style>
  <w:style w:type="character" w:customStyle="1" w:styleId="NormalBoldChar">
    <w:name w:val="NormalBold Char"/>
    <w:basedOn w:val="DefaultParagraphFont"/>
    <w:link w:val="NormalBold"/>
    <w:locked/>
    <w:rsid w:val="00AB1B30"/>
    <w:rPr>
      <w:b/>
      <w:sz w:val="24"/>
      <w:lang w:val="cs-CZ"/>
    </w:rPr>
  </w:style>
  <w:style w:type="character" w:customStyle="1" w:styleId="Normal6Char">
    <w:name w:val="Normal6 Char"/>
    <w:basedOn w:val="DefaultParagraphFont"/>
    <w:link w:val="Normal6"/>
    <w:locked/>
    <w:rsid w:val="00AB1B30"/>
    <w:rPr>
      <w:sz w:val="24"/>
      <w:lang w:val="cs-CZ"/>
    </w:rPr>
  </w:style>
  <w:style w:type="paragraph" w:customStyle="1" w:styleId="Normal6">
    <w:name w:val="Normal6"/>
    <w:basedOn w:val="Normal"/>
    <w:link w:val="Normal6Char"/>
    <w:rsid w:val="00AB1B30"/>
    <w:pPr>
      <w:spacing w:after="120"/>
    </w:pPr>
  </w:style>
  <w:style w:type="paragraph" w:customStyle="1" w:styleId="Normal12Italic">
    <w:name w:val="Normal12Italic"/>
    <w:basedOn w:val="Normal"/>
    <w:rsid w:val="00AB1B30"/>
    <w:pPr>
      <w:spacing w:after="240"/>
    </w:pPr>
    <w:rPr>
      <w:i/>
      <w:noProof/>
    </w:rPr>
  </w:style>
  <w:style w:type="paragraph" w:customStyle="1" w:styleId="JustificationTitle">
    <w:name w:val="JustificationTitle"/>
    <w:basedOn w:val="Normal"/>
    <w:next w:val="Normal"/>
    <w:rsid w:val="00AB1B30"/>
    <w:pPr>
      <w:keepNext/>
      <w:spacing w:before="240" w:after="240"/>
      <w:jc w:val="center"/>
    </w:pPr>
    <w:rPr>
      <w:i/>
      <w:noProof/>
    </w:rPr>
  </w:style>
  <w:style w:type="paragraph" w:customStyle="1" w:styleId="ColumnHeading">
    <w:name w:val="ColumnHeading"/>
    <w:basedOn w:val="Normal"/>
    <w:rsid w:val="00AB1B30"/>
    <w:pPr>
      <w:spacing w:after="240"/>
      <w:jc w:val="center"/>
    </w:pPr>
    <w:rPr>
      <w:i/>
    </w:rPr>
  </w:style>
  <w:style w:type="paragraph" w:customStyle="1" w:styleId="AMNumberTabs0">
    <w:name w:val="AMNumberTabs"/>
    <w:basedOn w:val="Normal"/>
    <w:rsid w:val="00AB1B3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AB1B30"/>
    <w:pPr>
      <w:jc w:val="right"/>
    </w:pPr>
  </w:style>
  <w:style w:type="paragraph" w:styleId="Footer">
    <w:name w:val="footer"/>
    <w:basedOn w:val="Normal"/>
    <w:link w:val="FooterChar"/>
    <w:semiHidden/>
    <w:rsid w:val="00AB1B30"/>
    <w:pPr>
      <w:tabs>
        <w:tab w:val="center" w:pos="4513"/>
        <w:tab w:val="right" w:pos="9026"/>
      </w:tabs>
    </w:pPr>
  </w:style>
  <w:style w:type="character" w:customStyle="1" w:styleId="FooterChar">
    <w:name w:val="Footer Char"/>
    <w:basedOn w:val="DefaultParagraphFont"/>
    <w:link w:val="Footer"/>
    <w:semiHidden/>
    <w:rsid w:val="00AB1B30"/>
    <w:rPr>
      <w:sz w:val="24"/>
      <w:lang w:val="cs-CZ"/>
    </w:rPr>
  </w:style>
  <w:style w:type="paragraph" w:customStyle="1" w:styleId="NormalCenter12a">
    <w:name w:val="NormalCenter12a"/>
    <w:basedOn w:val="Normal"/>
    <w:rsid w:val="00C74E68"/>
    <w:pPr>
      <w:spacing w:after="240"/>
      <w:jc w:val="center"/>
    </w:pPr>
  </w:style>
  <w:style w:type="paragraph" w:styleId="FootnoteText">
    <w:name w:val="footnote text"/>
    <w:basedOn w:val="Normal"/>
    <w:link w:val="FootnoteTextChar"/>
    <w:rsid w:val="00C74E68"/>
    <w:pPr>
      <w:widowControl/>
    </w:pPr>
    <w:rPr>
      <w:sz w:val="20"/>
    </w:rPr>
  </w:style>
  <w:style w:type="character" w:customStyle="1" w:styleId="FootnoteTextChar">
    <w:name w:val="Footnote Text Char"/>
    <w:basedOn w:val="DefaultParagraphFont"/>
    <w:link w:val="FootnoteText"/>
    <w:rsid w:val="00C74E68"/>
    <w:rPr>
      <w:lang w:val="cs-CZ"/>
    </w:rPr>
  </w:style>
  <w:style w:type="character" w:styleId="FootnoteReference">
    <w:name w:val="footnote reference"/>
    <w:rsid w:val="00C74E68"/>
    <w:rPr>
      <w:vertAlign w:val="superscript"/>
    </w:rPr>
  </w:style>
  <w:style w:type="paragraph" w:customStyle="1" w:styleId="AmHeadingConsam">
    <w:name w:val="AmHeadingConsam"/>
    <w:basedOn w:val="Normal"/>
    <w:next w:val="NormalCenter12a"/>
    <w:rsid w:val="00C74E68"/>
    <w:pPr>
      <w:spacing w:before="720" w:after="240"/>
      <w:jc w:val="center"/>
    </w:pPr>
  </w:style>
  <w:style w:type="paragraph" w:styleId="NoSpacing">
    <w:name w:val="No Spacing"/>
    <w:uiPriority w:val="1"/>
    <w:qFormat/>
    <w:rsid w:val="00C74E68"/>
    <w:pPr>
      <w:jc w:val="both"/>
    </w:pPr>
    <w:rPr>
      <w:rFonts w:eastAsiaTheme="minorHAnsi"/>
      <w:sz w:val="24"/>
      <w:szCs w:val="22"/>
      <w:lang w:eastAsia="en-US"/>
    </w:rPr>
  </w:style>
  <w:style w:type="paragraph" w:customStyle="1" w:styleId="Institutionquisigne">
    <w:name w:val="Institution qui signe"/>
    <w:basedOn w:val="Normal"/>
    <w:next w:val="Personnequisigne"/>
    <w:rsid w:val="00C74E68"/>
    <w:pPr>
      <w:keepNext/>
      <w:widowControl/>
      <w:tabs>
        <w:tab w:val="left" w:pos="4252"/>
      </w:tabs>
      <w:spacing w:before="720"/>
      <w:jc w:val="both"/>
    </w:pPr>
    <w:rPr>
      <w:rFonts w:eastAsiaTheme="minorHAnsi"/>
      <w:i/>
      <w:szCs w:val="22"/>
      <w:lang w:eastAsia="en-US"/>
    </w:rPr>
  </w:style>
  <w:style w:type="paragraph" w:customStyle="1" w:styleId="Fait">
    <w:name w:val="Fait à"/>
    <w:basedOn w:val="Normal"/>
    <w:next w:val="Institutionquisigne"/>
    <w:rsid w:val="00C74E68"/>
    <w:pPr>
      <w:keepNext/>
      <w:widowControl/>
      <w:spacing w:before="120"/>
      <w:jc w:val="both"/>
    </w:pPr>
    <w:rPr>
      <w:rFonts w:eastAsiaTheme="minorHAnsi"/>
      <w:szCs w:val="22"/>
      <w:lang w:eastAsia="en-US"/>
    </w:rPr>
  </w:style>
  <w:style w:type="paragraph" w:customStyle="1" w:styleId="Titrearticle">
    <w:name w:val="Titre article"/>
    <w:basedOn w:val="Normal"/>
    <w:next w:val="Normal"/>
    <w:rsid w:val="00C74E68"/>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C74E68"/>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C74E68"/>
    <w:pPr>
      <w:keepNext/>
      <w:widowControl/>
      <w:spacing w:before="600" w:after="120"/>
      <w:jc w:val="both"/>
    </w:pPr>
    <w:rPr>
      <w:rFonts w:eastAsiaTheme="minorHAnsi"/>
      <w:szCs w:val="22"/>
      <w:lang w:eastAsia="en-US"/>
    </w:rPr>
  </w:style>
  <w:style w:type="paragraph" w:customStyle="1" w:styleId="Personnequisigne">
    <w:name w:val="Personne qui signe"/>
    <w:basedOn w:val="Normal"/>
    <w:next w:val="Institutionquisigne"/>
    <w:rsid w:val="00C74E68"/>
    <w:pPr>
      <w:widowControl/>
      <w:tabs>
        <w:tab w:val="left" w:pos="4252"/>
      </w:tabs>
    </w:pPr>
    <w:rPr>
      <w:rFonts w:eastAsiaTheme="minorHAnsi"/>
      <w:i/>
      <w:szCs w:val="22"/>
      <w:lang w:eastAsia="en-US"/>
    </w:rPr>
  </w:style>
  <w:style w:type="paragraph" w:customStyle="1" w:styleId="ManualConsidrant">
    <w:name w:val="Manual Considérant"/>
    <w:basedOn w:val="Normal"/>
    <w:rsid w:val="00C74E68"/>
    <w:pPr>
      <w:widowControl/>
      <w:spacing w:before="120" w:after="120"/>
      <w:ind w:left="709" w:hanging="709"/>
      <w:jc w:val="both"/>
    </w:pPr>
    <w:rPr>
      <w:rFonts w:eastAsiaTheme="minorHAnsi"/>
      <w:szCs w:val="22"/>
      <w:lang w:eastAsia="en-US"/>
    </w:rPr>
  </w:style>
  <w:style w:type="paragraph" w:customStyle="1" w:styleId="Statut">
    <w:name w:val="Statut"/>
    <w:basedOn w:val="Normal"/>
    <w:next w:val="Typedudocument"/>
    <w:rsid w:val="00C74E68"/>
    <w:pPr>
      <w:widowControl/>
      <w:spacing w:before="360"/>
      <w:jc w:val="center"/>
    </w:pPr>
    <w:rPr>
      <w:rFonts w:eastAsiaTheme="minorHAnsi"/>
      <w:szCs w:val="22"/>
      <w:lang w:eastAsia="en-US"/>
    </w:rPr>
  </w:style>
  <w:style w:type="paragraph" w:customStyle="1" w:styleId="Rfrenceinterinstitutionnelle">
    <w:name w:val="Référence interinstitutionnelle"/>
    <w:basedOn w:val="Normal"/>
    <w:next w:val="Statut"/>
    <w:rsid w:val="00C74E68"/>
    <w:pPr>
      <w:widowControl/>
      <w:ind w:left="5103"/>
    </w:pPr>
    <w:rPr>
      <w:rFonts w:eastAsiaTheme="minorHAnsi"/>
      <w:szCs w:val="22"/>
      <w:lang w:eastAsia="en-US"/>
    </w:rPr>
  </w:style>
  <w:style w:type="paragraph" w:customStyle="1" w:styleId="Typedudocument">
    <w:name w:val="Type du document"/>
    <w:basedOn w:val="Normal"/>
    <w:next w:val="Titreobjet"/>
    <w:rsid w:val="00C74E68"/>
    <w:pPr>
      <w:widowControl/>
      <w:spacing w:before="360"/>
      <w:jc w:val="center"/>
    </w:pPr>
    <w:rPr>
      <w:rFonts w:eastAsiaTheme="minorHAnsi"/>
      <w:b/>
      <w:szCs w:val="22"/>
      <w:lang w:eastAsia="en-US"/>
    </w:rPr>
  </w:style>
  <w:style w:type="paragraph" w:customStyle="1" w:styleId="IntrtEEE">
    <w:name w:val="Intérêt EEE"/>
    <w:basedOn w:val="Normal"/>
    <w:next w:val="Normal"/>
    <w:rsid w:val="00C74E68"/>
    <w:pPr>
      <w:widowControl/>
      <w:spacing w:before="360" w:after="240"/>
      <w:jc w:val="center"/>
    </w:pPr>
    <w:rPr>
      <w:rFonts w:eastAsiaTheme="minorHAnsi"/>
      <w:szCs w:val="22"/>
      <w:lang w:eastAsia="en-US"/>
    </w:rPr>
  </w:style>
  <w:style w:type="paragraph" w:customStyle="1" w:styleId="Titreobjet">
    <w:name w:val="Titre objet"/>
    <w:basedOn w:val="Normal"/>
    <w:next w:val="IntrtEEE"/>
    <w:rsid w:val="00C74E68"/>
    <w:pPr>
      <w:widowControl/>
      <w:spacing w:before="360" w:after="360"/>
      <w:jc w:val="center"/>
    </w:pPr>
    <w:rPr>
      <w:rFonts w:eastAsiaTheme="minorHAnsi"/>
      <w:b/>
      <w:szCs w:val="22"/>
      <w:lang w:eastAsia="en-US"/>
    </w:rPr>
  </w:style>
  <w:style w:type="paragraph" w:customStyle="1" w:styleId="Normal12a">
    <w:name w:val="Normal12a"/>
    <w:basedOn w:val="Normal"/>
    <w:rsid w:val="00DC1323"/>
    <w:pPr>
      <w:spacing w:after="240"/>
    </w:pPr>
  </w:style>
  <w:style w:type="paragraph" w:customStyle="1" w:styleId="RollCallVotes">
    <w:name w:val="RollCallVotes"/>
    <w:basedOn w:val="Normal"/>
    <w:rsid w:val="00DC1323"/>
    <w:pPr>
      <w:spacing w:before="120" w:after="120"/>
      <w:jc w:val="center"/>
    </w:pPr>
    <w:rPr>
      <w:b/>
      <w:bCs/>
      <w:snapToGrid w:val="0"/>
      <w:sz w:val="16"/>
      <w:lang w:eastAsia="en-US"/>
    </w:rPr>
  </w:style>
  <w:style w:type="paragraph" w:customStyle="1" w:styleId="RollCallTabs">
    <w:name w:val="RollCallTabs"/>
    <w:basedOn w:val="Normal"/>
    <w:qFormat/>
    <w:rsid w:val="00DC1323"/>
    <w:pPr>
      <w:tabs>
        <w:tab w:val="center" w:pos="284"/>
        <w:tab w:val="left" w:pos="426"/>
      </w:tabs>
    </w:pPr>
    <w:rPr>
      <w:snapToGrid w:val="0"/>
      <w:lang w:eastAsia="en-US"/>
    </w:rPr>
  </w:style>
  <w:style w:type="paragraph" w:customStyle="1" w:styleId="RollCallSymbols14pt">
    <w:name w:val="RollCallSymbols14pt"/>
    <w:basedOn w:val="Normal"/>
    <w:rsid w:val="00DC1323"/>
    <w:pPr>
      <w:spacing w:before="120" w:after="120"/>
      <w:jc w:val="center"/>
    </w:pPr>
    <w:rPr>
      <w:rFonts w:ascii="Arial" w:hAnsi="Arial"/>
      <w:b/>
      <w:bCs/>
      <w:snapToGrid w:val="0"/>
      <w:sz w:val="28"/>
      <w:lang w:eastAsia="en-US"/>
    </w:rPr>
  </w:style>
  <w:style w:type="paragraph" w:customStyle="1" w:styleId="RollCallTable">
    <w:name w:val="RollCallTable"/>
    <w:basedOn w:val="Normal"/>
    <w:rsid w:val="00DC1323"/>
    <w:pPr>
      <w:spacing w:before="120" w:after="120"/>
    </w:pPr>
    <w:rPr>
      <w:snapToGrid w:val="0"/>
      <w:sz w:val="16"/>
      <w:lang w:eastAsia="en-US"/>
    </w:rPr>
  </w:style>
  <w:style w:type="paragraph" w:customStyle="1" w:styleId="PELeft">
    <w:name w:val="PELeft"/>
    <w:basedOn w:val="Normal"/>
    <w:rsid w:val="00DC1323"/>
    <w:pPr>
      <w:spacing w:before="40" w:after="40"/>
    </w:pPr>
    <w:rPr>
      <w:rFonts w:ascii="Arial" w:hAnsi="Arial" w:cs="Arial"/>
      <w:snapToGrid w:val="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334A10-DE46-41EA-85C1-8A5D90B573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3092</Words>
  <Characters>18677</Characters>
  <Application>Microsoft Office Word</Application>
  <DocSecurity>0</DocSecurity>
  <Lines>518</Lines>
  <Paragraphs>320</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21449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EINHORNOVA Marta</dc:creator>
  <cp:lastModifiedBy>VYROUBALOVA Jana</cp:lastModifiedBy>
  <cp:revision>2</cp:revision>
  <cp:lastPrinted>2004-11-04T09:41:00Z</cp:lastPrinted>
  <dcterms:created xsi:type="dcterms:W3CDTF">2024-01-09T08:52:00Z</dcterms:created>
  <dcterms:modified xsi:type="dcterms:W3CDTF">2024-01-09T08:52:00Z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1292181</vt:lpwstr>
  </property>
  <property fmtid="{D5CDD505-2E9C-101B-9397-08002B2CF9AE}" pid="4" name="&lt;Model&gt;">
    <vt:lpwstr>PR_COD_1amCom</vt:lpwstr>
  </property>
  <property fmtid="{D5CDD505-2E9C-101B-9397-08002B2CF9AE}" pid="5" name="&lt;ModelCod&gt;">
    <vt:lpwstr>\\eiciLUXpr1\pdocep$\DocEP\DOCS\General\PR\PR_Leg\COD\COD_1st\PR_COD_1amCom.dotx(17/04/2020 19:27:09)</vt:lpwstr>
  </property>
  <property fmtid="{D5CDD505-2E9C-101B-9397-08002B2CF9AE}" pid="6" name="&lt;ModelTra&gt;">
    <vt:lpwstr>\\eiciLUXpr1\pdocep$\DocEP\TRANSFIL\CS\PR_COD_1amCom.CS(29/06/2022 10:20:42)</vt:lpwstr>
  </property>
  <property fmtid="{D5CDD505-2E9C-101B-9397-08002B2CF9AE}" pid="7" name="&lt;Type&gt;">
    <vt:lpwstr>RR</vt:lpwstr>
  </property>
  <property fmtid="{D5CDD505-2E9C-101B-9397-08002B2CF9AE}" pid="8" name="Bookout">
    <vt:lpwstr>OK - 2024/01/09 09:51</vt:lpwstr>
  </property>
  <property fmtid="{D5CDD505-2E9C-101B-9397-08002B2CF9AE}" pid="9" name="Created with">
    <vt:lpwstr>9.15.0 Build [20230501]</vt:lpwstr>
  </property>
  <property fmtid="{D5CDD505-2E9C-101B-9397-08002B2CF9AE}" pid="10" name="FooterPath">
    <vt:lpwstr>RR\1292181CS.docx</vt:lpwstr>
  </property>
  <property fmtid="{D5CDD505-2E9C-101B-9397-08002B2CF9AE}" pid="11" name="LastEdited with">
    <vt:lpwstr>9.17.0 Build [20231101]</vt:lpwstr>
  </property>
  <property fmtid="{D5CDD505-2E9C-101B-9397-08002B2CF9AE}" pid="12" name="PE number">
    <vt:lpwstr>749.905</vt:lpwstr>
  </property>
  <property fmtid="{D5CDD505-2E9C-101B-9397-08002B2CF9AE}" pid="13" name="SDLStudio">
    <vt:lpwstr/>
  </property>
</Properties>
</file>