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Pr="00040CBD" w:rsidR="00775B91" w:rsidTr="00C85D0F">
        <w:trPr>
          <w:trHeight w:val="1418" w:hRule="exact"/>
        </w:trPr>
        <w:tc>
          <w:tcPr>
            <w:tcW w:w="6804" w:type="dxa"/>
            <w:shd w:val="clear" w:color="auto" w:fill="auto"/>
            <w:vAlign w:val="center"/>
          </w:tcPr>
          <w:p w:rsidRPr="00040CBD" w:rsidR="00775B91" w:rsidP="00C85D0F" w:rsidRDefault="00105D1B">
            <w:pPr>
              <w:pStyle w:val="EPName"/>
            </w:pPr>
            <w:r>
              <w:t xml:space="preserve">Parlement européen</w:t>
            </w:r>
          </w:p>
          <w:p w:rsidRPr="00040CBD" w:rsidR="00775B91" w:rsidP="00107F15" w:rsidRDefault="00107F15">
            <w:pPr>
              <w:pStyle w:val="EPTerm"/>
            </w:pPr>
            <w:r>
              <w:t xml:space="preserve">2019-2024</w:t>
            </w:r>
          </w:p>
        </w:tc>
        <w:tc>
          <w:tcPr>
            <w:tcW w:w="2268" w:type="dxa"/>
            <w:shd w:val="clear" w:color="auto" w:fill="auto"/>
          </w:tcPr>
          <w:p w:rsidRPr="00040CBD" w:rsidR="00775B91" w:rsidP="00C85D0F" w:rsidRDefault="00775B91">
            <w:pPr>
              <w:pStyle w:val="EPLogo"/>
            </w:pPr>
            <w:r w:rsidRPr="00040CBD">
              <w:rPr>
                <w:noProof/>
                <w:lang w:eastAsia="fr-FR" w:bidi="he-IL"/>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Pr="00040CBD" w:rsidR="00332734" w:rsidP="00332734" w:rsidRDefault="00332734">
      <w:pPr>
        <w:pStyle w:val="LineTop"/>
      </w:pPr>
    </w:p>
    <w:p w:rsidRPr="00040CBD" w:rsidR="00332734" w:rsidP="006A6735" w:rsidRDefault="006A6735">
      <w:pPr>
        <w:pStyle w:val="EPBody"/>
      </w:pPr>
      <w:r>
        <w:t xml:space="preserve">Document de séance</w:t>
      </w:r>
    </w:p>
    <w:p w:rsidRPr="00D015E6" w:rsidR="006A6735" w:rsidP="006A6735" w:rsidRDefault="006A6735">
      <w:pPr>
        <w:pStyle w:val="LineBottom"/>
      </w:pPr>
    </w:p>
    <w:p w:rsidRPr="00D015E6" w:rsidR="006A6735" w:rsidP="006A6735" w:rsidRDefault="006A6735">
      <w:pPr>
        <w:pStyle w:val="CoverReference"/>
      </w:pPr>
      <w:r>
        <w:rPr>
          <w:rStyle w:val="HideTWBExt"/>
        </w:rPr>
        <w:t xml:space="preserve">&lt;NoDocSe&gt;</w:t>
      </w:r>
      <w:r>
        <w:t xml:space="preserve">A9-0399/2023</w:t>
      </w:r>
      <w:r>
        <w:rPr>
          <w:rStyle w:val="HideTWBExt"/>
        </w:rPr>
        <w:t xml:space="preserve">&lt;/NoDocSe&gt;</w:t>
      </w:r>
    </w:p>
    <w:p w:rsidRPr="00D015E6" w:rsidR="006A6735" w:rsidP="006A6735" w:rsidRDefault="006A6735">
      <w:pPr>
        <w:pStyle w:val="CoverDate"/>
      </w:pPr>
      <w:r>
        <w:rPr>
          <w:rStyle w:val="HideTWBExt"/>
        </w:rPr>
        <w:t xml:space="preserve">&lt;Date&gt;</w:t>
      </w:r>
      <w:r>
        <w:rPr>
          <w:rStyle w:val="HideTWBInt"/>
        </w:rPr>
        <w:t xml:space="preserve">{05/12/2023}</w:t>
      </w:r>
      <w:r>
        <w:t xml:space="preserve">5.12.2023</w:t>
      </w:r>
      <w:r>
        <w:rPr>
          <w:rStyle w:val="HideTWBExt"/>
        </w:rPr>
        <w:t xml:space="preserve">&lt;/Date&gt;</w:t>
      </w:r>
    </w:p>
    <w:p w:rsidRPr="00040CBD" w:rsidR="00ED0821" w:rsidRDefault="00ED0821">
      <w:pPr>
        <w:pStyle w:val="CoverDocType"/>
      </w:pPr>
      <w:r>
        <w:rPr>
          <w:rStyle w:val="HideTWBExt"/>
          <w:b w:val="0"/>
        </w:rPr>
        <w:t xml:space="preserve">&lt;RefProcLect&gt;</w:t>
      </w:r>
      <w:r>
        <w:t xml:space="preserve">***I</w:t>
      </w:r>
      <w:r>
        <w:rPr>
          <w:rStyle w:val="HideTWBExt"/>
          <w:b w:val="0"/>
        </w:rPr>
        <w:t xml:space="preserve">&lt;/RefProcLect&gt;</w:t>
      </w:r>
    </w:p>
    <w:p w:rsidRPr="00040CBD" w:rsidR="00ED0821" w:rsidRDefault="00ED0821">
      <w:pPr>
        <w:pStyle w:val="CoverDocType24a"/>
      </w:pPr>
      <w:r>
        <w:rPr>
          <w:rStyle w:val="HideTWBExt"/>
          <w:b w:val="0"/>
        </w:rPr>
        <w:t xml:space="preserve">&lt;TitreType&gt;</w:t>
      </w:r>
      <w:r>
        <w:t xml:space="preserve">RAPPORT</w:t>
      </w:r>
      <w:r>
        <w:rPr>
          <w:rStyle w:val="HideTWBExt"/>
          <w:b w:val="0"/>
        </w:rPr>
        <w:t xml:space="preserve">&lt;/TitreType&gt;</w:t>
      </w:r>
    </w:p>
    <w:p w:rsidRPr="00040CBD" w:rsidR="00ED0821" w:rsidP="00107F15" w:rsidRDefault="00ED0821">
      <w:pPr>
        <w:pStyle w:val="CoverNormal"/>
      </w:pPr>
      <w:r>
        <w:rPr>
          <w:rStyle w:val="HideTWBExt"/>
        </w:rPr>
        <w:t xml:space="preserve">&lt;Titre&gt;</w:t>
      </w:r>
      <w:r>
        <w:t xml:space="preserve">sur la proposition de directive du Parlement européen et du Conseil modifiant les directives 2009/65/UE, 2013/36/UE et (UE) 2019/2034 en ce qui concerne le traitement du risque de concentration vis-à-vis des contreparties centrales et du risque de contrepartie des transactions sur instruments dérivés faisant l’objet d’une compensation centrale</w:t>
      </w:r>
      <w:r>
        <w:rPr>
          <w:rStyle w:val="HideTWBExt"/>
        </w:rPr>
        <w:t xml:space="preserve">&lt;/Titre&gt;</w:t>
      </w:r>
    </w:p>
    <w:p w:rsidRPr="00040CBD" w:rsidR="00ED0821" w:rsidP="00107F15" w:rsidRDefault="00ED0821">
      <w:pPr>
        <w:pStyle w:val="CoverNormal24a"/>
      </w:pPr>
      <w:r>
        <w:rPr>
          <w:rStyle w:val="HideTWBExt"/>
        </w:rPr>
        <w:t xml:space="preserve">&lt;DocRef&gt;</w:t>
      </w:r>
      <w:r>
        <w:t xml:space="preserve">(COM(2022)0698 – C9</w:t>
      </w:r>
      <w:r>
        <w:noBreakHyphen/>
      </w:r>
      <w:r>
        <w:t xml:space="preserve">0411/2022 – 2022/0404(COD))</w:t>
      </w:r>
      <w:r>
        <w:rPr>
          <w:rStyle w:val="HideTWBExt"/>
        </w:rPr>
        <w:t xml:space="preserve">&lt;/DocRef&gt;</w:t>
      </w:r>
    </w:p>
    <w:p w:rsidRPr="00040CBD" w:rsidR="00ED0821" w:rsidP="00107F15" w:rsidRDefault="00ED0821">
      <w:pPr>
        <w:pStyle w:val="CoverNormal24a"/>
      </w:pPr>
      <w:r>
        <w:rPr>
          <w:rStyle w:val="HideTWBExt"/>
        </w:rPr>
        <w:t xml:space="preserve">&lt;Commission&gt;</w:t>
      </w:r>
      <w:r>
        <w:rPr>
          <w:rStyle w:val="HideTWBInt"/>
        </w:rPr>
        <w:t xml:space="preserve">{ECON}</w:t>
      </w:r>
      <w:r>
        <w:t xml:space="preserve">Commission des affaires économiques et monétaires</w:t>
      </w:r>
      <w:r>
        <w:rPr>
          <w:rStyle w:val="HideTWBExt"/>
        </w:rPr>
        <w:t xml:space="preserve">&lt;/Commission&gt;</w:t>
      </w:r>
    </w:p>
    <w:p w:rsidRPr="00040CBD" w:rsidR="00ED0821" w:rsidP="00107F15" w:rsidRDefault="00107F15">
      <w:pPr>
        <w:pStyle w:val="CoverNormal24a"/>
      </w:pPr>
      <w:r>
        <w:t xml:space="preserve">Rapporteure:</w:t>
      </w:r>
      <w:r>
        <w:t xml:space="preserve"> </w:t>
      </w:r>
      <w:r>
        <w:rPr>
          <w:rStyle w:val="HideTWBExt"/>
        </w:rPr>
        <w:t xml:space="preserve">&lt;Depute&gt;</w:t>
      </w:r>
      <w:r>
        <w:t xml:space="preserve">Danuta Maria Hübner</w:t>
      </w:r>
      <w:r>
        <w:rPr>
          <w:rStyle w:val="HideTWBExt"/>
        </w:rPr>
        <w:t xml:space="preserve">&lt;/Depute&gt;</w:t>
      </w:r>
    </w:p>
    <w:p w:rsidRPr="00040CBD" w:rsidR="00BE4EC7" w:rsidP="00BE4EC7" w:rsidRDefault="00BE4EC7">
      <w:pPr>
        <w:pStyle w:val="CoverNormal"/>
      </w:pPr>
    </w:p>
    <w:p w:rsidRPr="00040CBD" w:rsidR="00107F15" w:rsidP="00894923" w:rsidRDefault="00ED0821">
      <w:r>
        <w:br w:type="page"/>
      </w:r>
      <w:fldSimple w:instr=" TITLE  \* MERGEFORMAT " w:dirty="true">
        <w:r w:rsidR="006A6735">
          <w:t>PR_COD_1consamCom</w:t>
        </w:r>
      </w:fldSimple>
    </w:p>
    <w:p w:rsidRPr="00040CBD" w:rsidR="00107F15" w:rsidP="00894923" w:rsidRDefault="00107F15"/>
    <w:p w:rsidRPr="00040CBD" w:rsidR="00107F15" w:rsidP="00894923" w:rsidRDefault="00107F15"/>
    <w:tbl>
      <w:tblPr>
        <w:tblW w:w="0" w:type="auto"/>
        <w:tblInd w:w="1667" w:type="dxa"/>
        <w:tblBorders>
          <w:top w:val="single" w:color="auto" w:sz="4" w:space="0"/>
          <w:left w:val="single" w:color="auto" w:sz="4" w:space="0"/>
          <w:bottom w:val="single" w:color="auto" w:sz="4" w:space="0"/>
          <w:right w:val="single" w:color="auto" w:sz="4" w:space="0"/>
          <w:insideV w:val="single" w:color="auto" w:sz="4" w:space="0"/>
        </w:tblBorders>
        <w:tblLayout w:type="fixed"/>
        <w:tblCellMar>
          <w:left w:w="107" w:type="dxa"/>
          <w:right w:w="107" w:type="dxa"/>
        </w:tblCellMar>
        <w:tblLook w:val="0000" w:firstRow="0" w:lastRow="0" w:firstColumn="0" w:lastColumn="0" w:noHBand="0" w:noVBand="0"/>
      </w:tblPr>
      <w:tblGrid>
        <w:gridCol w:w="5811"/>
      </w:tblGrid>
      <w:tr w:rsidRPr="00040CBD" w:rsidR="00107F15">
        <w:tc>
          <w:tcPr>
            <w:tcW w:w="5811" w:type="dxa"/>
          </w:tcPr>
          <w:p w:rsidRPr="00040CBD" w:rsidR="00107F15" w:rsidP="00894923" w:rsidRDefault="00107F15">
            <w:pPr>
              <w:pStyle w:val="Lgendetitre"/>
            </w:pPr>
            <w:r>
              <w:t xml:space="preserve">Légende des signes utilisés</w:t>
            </w:r>
          </w:p>
        </w:tc>
      </w:tr>
      <w:tr w:rsidRPr="00040CBD" w:rsidR="00107F15" w:rsidTr="00C50C36">
        <w:trPr>
          <w:cantSplit/>
          <w:trHeight w:val="1944"/>
        </w:trPr>
        <w:tc>
          <w:tcPr>
            <w:tcW w:w="5811" w:type="dxa"/>
            <w:tcBorders>
              <w:bottom w:val="single" w:color="auto" w:sz="4" w:space="0"/>
            </w:tcBorders>
          </w:tcPr>
          <w:p w:rsidRPr="00040CBD" w:rsidR="00107F15" w:rsidP="0069092A" w:rsidRDefault="00107F15">
            <w:pPr>
              <w:pStyle w:val="Lgendesigne"/>
            </w:pPr>
            <w:r>
              <w:tab/>
            </w:r>
            <w:r>
              <w:t xml:space="preserve">*</w:t>
            </w:r>
            <w:r>
              <w:tab/>
            </w:r>
            <w:r>
              <w:t xml:space="preserve">Procédure de consultation</w:t>
            </w:r>
          </w:p>
          <w:p w:rsidRPr="00040CBD" w:rsidR="00107F15" w:rsidP="0069092A" w:rsidRDefault="00107F15">
            <w:pPr>
              <w:pStyle w:val="Lgendesigne"/>
            </w:pPr>
            <w:r>
              <w:tab/>
            </w:r>
            <w:r>
              <w:t xml:space="preserve">***</w:t>
            </w:r>
            <w:r>
              <w:tab/>
            </w:r>
            <w:r>
              <w:t xml:space="preserve">Procédure d’approbation</w:t>
            </w:r>
          </w:p>
          <w:p w:rsidRPr="00040CBD" w:rsidR="00107F15" w:rsidP="0069092A" w:rsidRDefault="00107F15">
            <w:pPr>
              <w:pStyle w:val="Lgendesigne"/>
            </w:pPr>
            <w:r>
              <w:tab/>
            </w:r>
            <w:r>
              <w:t xml:space="preserve">***I</w:t>
            </w:r>
            <w:r>
              <w:tab/>
            </w:r>
            <w:r>
              <w:t xml:space="preserve">Procédure législative ordinaire (première lecture)</w:t>
            </w:r>
          </w:p>
          <w:p w:rsidRPr="00040CBD" w:rsidR="00107F15" w:rsidP="0069092A" w:rsidRDefault="00107F15">
            <w:pPr>
              <w:pStyle w:val="Lgendesigne"/>
            </w:pPr>
            <w:r>
              <w:tab/>
            </w:r>
            <w:r>
              <w:t xml:space="preserve">***II</w:t>
            </w:r>
            <w:r>
              <w:tab/>
            </w:r>
            <w:r>
              <w:t xml:space="preserve">Procédure législative ordinaire (deuxième lecture)</w:t>
            </w:r>
          </w:p>
          <w:p w:rsidRPr="00040CBD" w:rsidR="00107F15" w:rsidP="0069092A" w:rsidRDefault="00107F15">
            <w:pPr>
              <w:pStyle w:val="Lgendesigne"/>
            </w:pPr>
            <w:r>
              <w:tab/>
            </w:r>
            <w:r>
              <w:t xml:space="preserve">***III</w:t>
            </w:r>
            <w:r>
              <w:tab/>
            </w:r>
            <w:r>
              <w:t xml:space="preserve">Procédure législative ordinaire (troisième lecture)</w:t>
            </w:r>
          </w:p>
          <w:p w:rsidRPr="00040CBD" w:rsidR="00107F15" w:rsidP="0069092A" w:rsidRDefault="00107F15">
            <w:pPr>
              <w:pStyle w:val="Lgendestandard"/>
              <w:rPr>
                <w:lang w:val="fr-FR"/>
              </w:rPr>
            </w:pPr>
          </w:p>
          <w:p w:rsidRPr="00040CBD" w:rsidR="00107F15" w:rsidP="0069092A" w:rsidRDefault="00107F15">
            <w:pPr>
              <w:pStyle w:val="Lgendestandard"/>
            </w:pPr>
            <w:r>
              <w:t xml:space="preserve">(La procédure indiquée est fondée sur la base juridique proposée par le projet d’acte.)</w:t>
            </w:r>
          </w:p>
          <w:p w:rsidRPr="00040CBD" w:rsidR="00107F15" w:rsidP="00784280" w:rsidRDefault="00107F15">
            <w:pPr>
              <w:pStyle w:val="Lgendestandard"/>
              <w:rPr>
                <w:lang w:val="fr-FR"/>
              </w:rPr>
            </w:pPr>
          </w:p>
        </w:tc>
      </w:tr>
    </w:tbl>
    <w:p w:rsidRPr="00040CBD" w:rsidR="00107F15" w:rsidP="00894923" w:rsidRDefault="00107F15"/>
    <w:p w:rsidRPr="00040CBD" w:rsidR="00107F15" w:rsidP="00894923" w:rsidRDefault="00107F15"/>
    <w:p w:rsidRPr="00040CBD" w:rsidR="00107F15" w:rsidP="00894923" w:rsidRDefault="00107F15"/>
    <w:p w:rsidRPr="00040CBD" w:rsidR="00107F15" w:rsidP="00894923" w:rsidRDefault="00107F15"/>
    <w:tbl>
      <w:tblPr>
        <w:tblW w:w="0" w:type="auto"/>
        <w:tblInd w:w="1668" w:type="dxa"/>
        <w:tblBorders>
          <w:top w:val="single" w:color="auto" w:sz="4" w:space="0"/>
          <w:left w:val="single" w:color="auto" w:sz="4" w:space="0"/>
          <w:bottom w:val="single" w:color="auto" w:sz="4" w:space="0"/>
          <w:right w:val="single" w:color="auto" w:sz="4" w:space="0"/>
          <w:insideV w:val="single" w:color="auto" w:sz="6" w:space="0"/>
        </w:tblBorders>
        <w:tblLayout w:type="fixed"/>
        <w:tblLook w:val="0000" w:firstRow="0" w:lastRow="0" w:firstColumn="0" w:lastColumn="0" w:noHBand="0" w:noVBand="0"/>
      </w:tblPr>
      <w:tblGrid>
        <w:gridCol w:w="5811"/>
      </w:tblGrid>
      <w:tr w:rsidRPr="00040CBD" w:rsidR="00107F15">
        <w:tc>
          <w:tcPr>
            <w:tcW w:w="5811" w:type="dxa"/>
          </w:tcPr>
          <w:p w:rsidRPr="00040CBD" w:rsidR="00107F15" w:rsidP="00894923" w:rsidRDefault="00107F15">
            <w:pPr>
              <w:pStyle w:val="Lgendetitre"/>
            </w:pPr>
            <w:r>
              <w:t xml:space="preserve">Amendements à un projet d’acte</w:t>
            </w:r>
          </w:p>
        </w:tc>
      </w:tr>
      <w:tr w:rsidRPr="00040CBD" w:rsidR="00107F15" w:rsidTr="00161731">
        <w:trPr>
          <w:trHeight w:val="4923"/>
        </w:trPr>
        <w:tc>
          <w:tcPr>
            <w:tcW w:w="5811" w:type="dxa"/>
          </w:tcPr>
          <w:p w:rsidRPr="00040CBD" w:rsidR="00107F15" w:rsidP="0069092A" w:rsidRDefault="00107F15">
            <w:pPr>
              <w:pStyle w:val="Lgendestandard"/>
              <w:rPr>
                <w:b/>
                <w:szCs w:val="18"/>
              </w:rPr>
            </w:pPr>
            <w:r>
              <w:rPr>
                <w:b/>
              </w:rPr>
              <w:t xml:space="preserve">Amendements du Parlement présentés en deux colonnes</w:t>
            </w:r>
          </w:p>
          <w:p w:rsidRPr="00040CBD" w:rsidR="00107F15" w:rsidP="0069092A" w:rsidRDefault="00107F15">
            <w:pPr>
              <w:pStyle w:val="Lgendestandard"/>
              <w:rPr>
                <w:szCs w:val="18"/>
                <w:lang w:val="fr-FR"/>
              </w:rPr>
            </w:pPr>
          </w:p>
          <w:p w:rsidRPr="00040CBD" w:rsidR="00107F15" w:rsidP="0069092A" w:rsidRDefault="00107F15">
            <w:pPr>
              <w:pStyle w:val="Lgendestandard"/>
              <w:rPr>
                <w:szCs w:val="18"/>
              </w:rPr>
            </w:pPr>
            <w:r>
              <w:t xml:space="preserve">Les suppressions sont signalées par des </w:t>
            </w:r>
            <w:r>
              <w:rPr>
                <w:b/>
                <w:i/>
              </w:rPr>
              <w:t xml:space="preserve">italiques gras</w:t>
            </w:r>
            <w:r>
              <w:t xml:space="preserve"> dans la colonne de gauche.</w:t>
            </w:r>
            <w:r>
              <w:t xml:space="preserve"> </w:t>
            </w:r>
            <w:r>
              <w:t xml:space="preserve">Les remplacements sont signalés par des </w:t>
            </w:r>
            <w:r>
              <w:rPr>
                <w:b/>
                <w:i/>
              </w:rPr>
              <w:t xml:space="preserve">italiques gras </w:t>
            </w:r>
            <w:r>
              <w:t xml:space="preserve">dans les deux colonnes.</w:t>
            </w:r>
            <w:r>
              <w:t xml:space="preserve"> </w:t>
            </w:r>
            <w:r>
              <w:t xml:space="preserve">Le texte nouveau est signalé par des</w:t>
            </w:r>
            <w:r>
              <w:rPr>
                <w:b/>
                <w:i/>
              </w:rPr>
              <w:t xml:space="preserve"> italiques gras</w:t>
            </w:r>
            <w:r>
              <w:t xml:space="preserve"> dans la colonne de droite.</w:t>
            </w:r>
          </w:p>
          <w:p w:rsidRPr="00040CBD" w:rsidR="00107F15" w:rsidP="0069092A" w:rsidRDefault="00107F15">
            <w:pPr>
              <w:pStyle w:val="Lgendestandard"/>
              <w:rPr>
                <w:lang w:val="fr-FR"/>
              </w:rPr>
            </w:pPr>
          </w:p>
          <w:p w:rsidRPr="00040CBD" w:rsidR="00107F15" w:rsidP="0069092A" w:rsidRDefault="00107F15">
            <w:pPr>
              <w:pStyle w:val="Lgendestandard"/>
            </w:pPr>
            <w:r>
              <w:t xml:space="preserve">Les première et deuxième lignes de l’en-tête de chaque amendement identifient le passage concerné dans le projet d’acte à l’examen.</w:t>
            </w:r>
            <w:r>
              <w:t xml:space="preserve"> </w:t>
            </w:r>
            <w:r>
              <w:t xml:space="preserve">Si un amendement porte sur un acte existant, que le projet d’acte entend modifier, l’en-tête comporte en outre une troisième et une quatrième lignes qui identifient respectivement l’acte existant et la disposition de celui-ci qui est concernée.</w:t>
            </w:r>
            <w:r>
              <w:t xml:space="preserve"> </w:t>
            </w:r>
          </w:p>
          <w:p w:rsidRPr="00040CBD" w:rsidR="00107F15" w:rsidP="0069092A" w:rsidRDefault="00107F15">
            <w:pPr>
              <w:pStyle w:val="Lgendestandard"/>
              <w:rPr>
                <w:lang w:val="fr-FR"/>
              </w:rPr>
            </w:pPr>
          </w:p>
          <w:p w:rsidRPr="00040CBD" w:rsidR="00107F15" w:rsidP="0069092A" w:rsidRDefault="00107F15">
            <w:pPr>
              <w:pStyle w:val="Lgendestandard"/>
              <w:rPr>
                <w:b/>
                <w:szCs w:val="18"/>
              </w:rPr>
            </w:pPr>
            <w:r>
              <w:rPr>
                <w:b/>
              </w:rPr>
              <w:t xml:space="preserve">Amendements du Parlement prenant la forme d’un texte consolidé</w:t>
            </w:r>
          </w:p>
          <w:p w:rsidRPr="00040CBD" w:rsidR="00107F15" w:rsidP="0069092A" w:rsidRDefault="00107F15">
            <w:pPr>
              <w:pStyle w:val="Lgendestandard"/>
              <w:rPr>
                <w:szCs w:val="18"/>
                <w:lang w:val="fr-FR"/>
              </w:rPr>
            </w:pPr>
          </w:p>
          <w:p w:rsidRPr="00040CBD" w:rsidR="00107F15" w:rsidP="0069092A" w:rsidRDefault="00107F15">
            <w:pPr>
              <w:pStyle w:val="Lgendestandard"/>
              <w:rPr>
                <w:szCs w:val="18"/>
              </w:rPr>
            </w:pPr>
            <w:r>
              <w:t xml:space="preserve">Les parties de textes nouvelles sont indiquées en </w:t>
            </w:r>
            <w:r>
              <w:rPr>
                <w:b/>
                <w:i/>
              </w:rPr>
              <w:t xml:space="preserve">italiques gras</w:t>
            </w:r>
            <w:r>
              <w:t xml:space="preserve">.</w:t>
            </w:r>
            <w:r>
              <w:t xml:space="preserve"> </w:t>
            </w:r>
            <w:r>
              <w:t xml:space="preserve">Les parties de texte supprimées sont indiquées par le symbole ▌ ou barrées.</w:t>
            </w:r>
            <w:r>
              <w:t xml:space="preserve"> </w:t>
            </w:r>
            <w:r>
              <w:t xml:space="preserve">Les remplacements sont signalés en indiquant en </w:t>
            </w:r>
            <w:r>
              <w:rPr>
                <w:b/>
                <w:i/>
              </w:rPr>
              <w:t xml:space="preserve">italiques gras </w:t>
            </w:r>
            <w:r>
              <w:t xml:space="preserve">le texte nouveau et en effaçant ou en barrant le texte remplacé.</w:t>
            </w:r>
            <w:r>
              <w:t xml:space="preserve"> </w:t>
            </w:r>
          </w:p>
          <w:p w:rsidRPr="00040CBD" w:rsidR="00107F15" w:rsidP="0069092A" w:rsidRDefault="00107F15">
            <w:pPr>
              <w:pStyle w:val="Lgendestandard"/>
            </w:pPr>
            <w:r>
              <w:t xml:space="preserve">Par exception, les modifications de nature strictement technique apportées par les services en vue de l’élaboration du texte final ne sont pas marquées.</w:t>
            </w:r>
          </w:p>
          <w:p w:rsidRPr="00040CBD" w:rsidR="00107F15" w:rsidP="0069092A" w:rsidRDefault="00107F15">
            <w:pPr>
              <w:pStyle w:val="Lgendestandard"/>
              <w:rPr>
                <w:lang w:val="fr-FR"/>
              </w:rPr>
            </w:pPr>
          </w:p>
        </w:tc>
      </w:tr>
    </w:tbl>
    <w:p w:rsidRPr="00040CBD" w:rsidR="00107F15" w:rsidP="00894923" w:rsidRDefault="00107F15"/>
    <w:p w:rsidRPr="00040CBD" w:rsidR="00ED0821" w:rsidP="00107F15" w:rsidRDefault="00ED0821">
      <w:pPr>
        <w:widowControl/>
        <w:tabs>
          <w:tab w:val="center" w:pos="4677"/>
        </w:tabs>
      </w:pPr>
    </w:p>
    <w:p w:rsidRPr="00040CBD" w:rsidR="00ED0821" w:rsidRDefault="00ED0821">
      <w:pPr>
        <w:pStyle w:val="TOCHeading"/>
      </w:pPr>
      <w:r>
        <w:br w:type="page"/>
      </w:r>
      <w:r>
        <w:t xml:space="preserve">SOMMAIRE</w:t>
      </w:r>
    </w:p>
    <w:p w:rsidRPr="00040CBD" w:rsidR="00ED0821" w:rsidRDefault="00105D1B">
      <w:pPr>
        <w:pStyle w:val="TOCPage"/>
      </w:pPr>
      <w:r>
        <w:t xml:space="preserve">Page</w:t>
      </w:r>
    </w:p>
    <w:p w:rsidR="006A6735" w:rsidRDefault="006506C7">
      <w:pPr>
        <w:pStyle w:val="TOC1"/>
        <w:tabs>
          <w:tab w:val="right" w:leader="dot" w:pos="9060"/>
        </w:tabs>
        <w:rPr>
          <w:noProof/>
          <w:sz w:val="22"/>
          <w:szCs w:val="22"/>
          <w:rFonts w:asciiTheme="minorHAnsi" w:hAnsiTheme="minorHAnsi" w:eastAsiaTheme="minorEastAsia" w:cstheme="minorBidi"/>
        </w:rPr>
      </w:pPr>
      <w:r w:rsidRPr="00040CBD">
        <w:rPr>
          <w:b/>
        </w:rPr>
        <w:fldChar w:fldCharType="begin" w:dirty="true"/>
      </w:r>
      <w:r w:rsidRPr="00040CBD">
        <w:rPr>
          <w:b/>
        </w:rPr>
        <w:instrText xml:space="preserve"> TOC \t "PageHeading</w:instrText>
      </w:r>
      <w:r w:rsidRPr="00040CBD" w:rsidR="00107F15">
        <w:rPr>
          <w:b/>
        </w:rPr>
        <w:instrText>;</w:instrText>
      </w:r>
      <w:r w:rsidRPr="00040CBD">
        <w:rPr>
          <w:b/>
        </w:rPr>
        <w:instrText xml:space="preserve">1" </w:instrText>
      </w:r>
      <w:r w:rsidRPr="00040CBD">
        <w:rPr>
          <w:b/>
        </w:rPr>
        <w:fldChar w:fldCharType="separate"/>
      </w:r>
      <w:r w:rsidR="006A6735">
        <w:t>PROJET DE RÉSOLUTION LÉGISLATIVE DU PARLEMENT EUROPÉEN</w:t>
      </w:r>
      <w:r w:rsidR="006A6735">
        <w:tab/>
      </w:r>
      <w:r w:rsidR="006A6735">
        <w:fldChar w:fldCharType="begin"/>
      </w:r>
      <w:r w:rsidR="006A6735">
        <w:instrText xml:space="preserve"> PAGEREF _Toc155193022 \h </w:instrText>
      </w:r>
      <w:r w:rsidR="006A6735"/>
      <w:r w:rsidR="006A6735">
        <w:fldChar w:fldCharType="separate"/>
      </w:r>
      <w:r w:rsidR="006A6735">
        <w:t>5</w:t>
      </w:r>
      <w:r w:rsidR="006A6735">
        <w:fldChar w:fldCharType="end"/>
      </w:r>
    </w:p>
    <w:p w:rsidR="006A6735" w:rsidRDefault="006A6735">
      <w:pPr>
        <w:pStyle w:val="TOC1"/>
        <w:tabs>
          <w:tab w:val="right" w:leader="dot" w:pos="9060"/>
        </w:tabs>
        <w:rPr>
          <w:sz w:val="22"/>
          <w:lang w:eastAsia="fr-FR" w:bidi="he-IL"/>
          <w:rFonts w:asciiTheme="minorHAnsi" w:hAnsiTheme="minorHAnsi" w:eastAsiaTheme="minorEastAsia" w:cstheme="minorBidi"/>
        </w:rPr>
      </w:pPr>
      <w:r>
        <w:t>ANNEX: LIST OF ENTITIES OR PERSONS FROM WHOM THE RAPPORTEUR HAS RECEIVED INPUT</w:t>
      </w:r>
      <w:r>
        <w:tab/>
      </w:r>
      <w:r>
        <w:fldChar w:fldCharType="begin"/>
      </w:r>
      <w:r>
        <w:instrText xml:space="preserve"> PAGEREF _Toc155193023 \h </w:instrText>
      </w:r>
      <w:r/>
      <w:r>
        <w:fldChar w:fldCharType="separate"/>
      </w:r>
      <w:r>
        <w:t>13</w:t>
      </w:r>
      <w:r>
        <w:fldChar w:fldCharType="end"/>
      </w:r>
    </w:p>
    <w:p w:rsidR="006A6735" w:rsidRDefault="006A6735">
      <w:pPr>
        <w:pStyle w:val="TOC1"/>
        <w:tabs>
          <w:tab w:val="right" w:leader="dot" w:pos="9060"/>
        </w:tabs>
        <w:rPr>
          <w:sz w:val="22"/>
          <w:lang w:eastAsia="fr-FR" w:bidi="he-IL"/>
          <w:rFonts w:asciiTheme="minorHAnsi" w:hAnsiTheme="minorHAnsi" w:eastAsiaTheme="minorEastAsia" w:cstheme="minorBidi"/>
        </w:rPr>
      </w:pPr>
      <w:r>
        <w:t>PROCEDURE – COMMITTEE RESPONSIBLE</w:t>
      </w:r>
      <w:r>
        <w:tab/>
      </w:r>
      <w:r>
        <w:fldChar w:fldCharType="begin"/>
      </w:r>
      <w:r>
        <w:instrText xml:space="preserve"> PAGEREF _Toc155193024 \h </w:instrText>
      </w:r>
      <w:r/>
      <w:r>
        <w:fldChar w:fldCharType="separate"/>
      </w:r>
      <w:r>
        <w:t>15</w:t>
      </w:r>
      <w:r>
        <w:fldChar w:fldCharType="end"/>
      </w:r>
    </w:p>
    <w:p w:rsidR="006A6735" w:rsidRDefault="006A6735">
      <w:pPr>
        <w:pStyle w:val="TOC1"/>
        <w:tabs>
          <w:tab w:val="right" w:leader="dot" w:pos="9060"/>
        </w:tabs>
        <w:rPr>
          <w:sz w:val="22"/>
          <w:lang w:eastAsia="fr-FR" w:bidi="he-IL"/>
          <w:rFonts w:asciiTheme="minorHAnsi" w:hAnsiTheme="minorHAnsi" w:eastAsiaTheme="minorEastAsia" w:cstheme="minorBidi"/>
        </w:rPr>
      </w:pPr>
      <w:r>
        <w:t>FINAL VOTE BY ROLL CALL IN COMMITTEE RESPONSIBLE</w:t>
      </w:r>
      <w:r>
        <w:tab/>
      </w:r>
      <w:r>
        <w:fldChar w:fldCharType="begin"/>
      </w:r>
      <w:r>
        <w:instrText xml:space="preserve"> PAGEREF _Toc155193025 \h </w:instrText>
      </w:r>
      <w:r/>
      <w:r>
        <w:fldChar w:fldCharType="separate"/>
      </w:r>
      <w:r>
        <w:t>16</w:t>
      </w:r>
      <w:r>
        <w:fldChar w:fldCharType="end"/>
      </w:r>
    </w:p>
    <w:p w:rsidRPr="00040CBD" w:rsidR="001A06D8" w:rsidP="002C16AB" w:rsidRDefault="006506C7">
      <w:r w:rsidRPr="00040CBD">
        <w:rPr>
          <w:b/>
        </w:rPr>
        <w:fldChar w:fldCharType="end"/>
      </w:r>
    </w:p>
    <w:p w:rsidRPr="00040CBD" w:rsidR="00ED0821" w:rsidRDefault="00ED0821">
      <w:pPr>
        <w:pStyle w:val="PageHeading"/>
      </w:pPr>
      <w:r>
        <w:br w:type="page"/>
      </w:r>
      <w:r>
        <w:br w:type="page"/>
      </w:r>
      <w:bookmarkStart w:id="1" w:name="_Toc155193022"/>
      <w:r>
        <w:t xml:space="preserve">PROJET DE RÉSOLUTION LÉGISLATIVE DU PARLEMENT EUROPÉEN</w:t>
      </w:r>
      <w:bookmarkEnd w:id="1"/>
    </w:p>
    <w:p w:rsidRPr="00040CBD" w:rsidR="00ED0821" w:rsidP="00107F15" w:rsidRDefault="00105D1B">
      <w:pPr>
        <w:pStyle w:val="NormalBold"/>
      </w:pPr>
      <w:r>
        <w:t xml:space="preserve">sur la proposition de directive du Parlement européen et du Conseil modifiant les directives 2009/65/UE, 2013/36/UE et (UE) 2019/2034 en ce qui concerne le traitement du risque de concentration vis-à-vis des contreparties centrales et du risque de contrepartie des transactions sur instruments dérivés faisant l’objet d’une compensation centrale</w:t>
      </w:r>
    </w:p>
    <w:p w:rsidRPr="00040CBD" w:rsidR="00ED0821" w:rsidP="00107F15" w:rsidRDefault="00105D1B">
      <w:pPr>
        <w:pStyle w:val="NormalBold12a"/>
      </w:pPr>
      <w:r>
        <w:t xml:space="preserve">(COM(2022)0698 – C9</w:t>
      </w:r>
      <w:r>
        <w:noBreakHyphen/>
      </w:r>
      <w:r>
        <w:t xml:space="preserve">0411/2022 – 2022/0404(COD))</w:t>
      </w:r>
    </w:p>
    <w:p w:rsidRPr="00040CBD" w:rsidR="00ED0821" w:rsidP="00B03ED6" w:rsidRDefault="00105D1B">
      <w:pPr>
        <w:pStyle w:val="NormalBold"/>
      </w:pPr>
      <w:r>
        <w:t xml:space="preserve">(Procédure législative ordinaire:</w:t>
      </w:r>
      <w:r>
        <w:t xml:space="preserve"> </w:t>
      </w:r>
      <w:r>
        <w:t xml:space="preserve">première lecture)</w:t>
      </w:r>
    </w:p>
    <w:p w:rsidRPr="00040CBD" w:rsidR="00ED0821" w:rsidRDefault="00105D1B">
      <w:pPr>
        <w:pStyle w:val="EPComma"/>
      </w:pPr>
      <w:r>
        <w:rPr>
          <w:i/>
        </w:rPr>
        <w:t xml:space="preserve">Le Parlement européen</w:t>
      </w:r>
      <w:r>
        <w:t xml:space="preserve">,</w:t>
      </w:r>
    </w:p>
    <w:p w:rsidRPr="00040CBD" w:rsidR="00203F23" w:rsidP="00203F23" w:rsidRDefault="00203F23">
      <w:pPr>
        <w:pStyle w:val="NormalHanging12a"/>
      </w:pPr>
      <w:r>
        <w:t xml:space="preserve">–</w:t>
      </w:r>
      <w:r>
        <w:tab/>
      </w:r>
      <w:r>
        <w:t xml:space="preserve">vu la proposition de la Commission au Parlement européen et au Conseil (COM(2022)0698),</w:t>
      </w:r>
    </w:p>
    <w:p w:rsidRPr="00040CBD" w:rsidR="00203F23" w:rsidP="00203F23" w:rsidRDefault="00203F23">
      <w:pPr>
        <w:pStyle w:val="NormalHanging12a"/>
      </w:pPr>
      <w:r>
        <w:t xml:space="preserve">–</w:t>
      </w:r>
      <w:r>
        <w:tab/>
      </w:r>
      <w:r>
        <w:t xml:space="preserve">vu l’article 294, paragraphe 2, et l’article 1 du traité sur le fonctionnement de l’Union européenne, conformément auxquels la proposition lui a été présentée par la Commission (C9</w:t>
      </w:r>
      <w:r>
        <w:noBreakHyphen/>
      </w:r>
      <w:r>
        <w:t xml:space="preserve">0411/2022),</w:t>
      </w:r>
    </w:p>
    <w:p w:rsidRPr="00040CBD" w:rsidR="00203F23" w:rsidP="00203F23" w:rsidRDefault="00203F23">
      <w:pPr>
        <w:pStyle w:val="NormalHanging12a"/>
      </w:pPr>
      <w:r>
        <w:t xml:space="preserve">–</w:t>
      </w:r>
      <w:r>
        <w:tab/>
      </w:r>
      <w:r>
        <w:t xml:space="preserve">vu l’article 294, paragraphe 3, du traité sur le fonctionnement de l’Union européenne,</w:t>
      </w:r>
    </w:p>
    <w:p w:rsidRPr="00040CBD" w:rsidR="00203F23" w:rsidP="00203F23" w:rsidRDefault="00203F23">
      <w:pPr>
        <w:pStyle w:val="NormalHanging12a"/>
      </w:pPr>
      <w:r>
        <w:t xml:space="preserve">–</w:t>
      </w:r>
      <w:r>
        <w:tab/>
      </w:r>
      <w:r>
        <w:t xml:space="preserve">vu l’article 59 de son règlement intérieur,</w:t>
      </w:r>
    </w:p>
    <w:p w:rsidRPr="00040CBD" w:rsidR="00203F23" w:rsidP="00203F23" w:rsidRDefault="00203F23">
      <w:pPr>
        <w:pStyle w:val="NormalHanging12a"/>
      </w:pPr>
      <w:r>
        <w:t xml:space="preserve">–</w:t>
      </w:r>
      <w:r>
        <w:tab/>
      </w:r>
      <w:r>
        <w:t xml:space="preserve">vu le rapport de la commission des affaires économiques et monétaires (A9-0399/2023),</w:t>
      </w:r>
    </w:p>
    <w:p w:rsidRPr="00040CBD" w:rsidR="00203F23" w:rsidP="00203F23" w:rsidRDefault="00203F23">
      <w:pPr>
        <w:pStyle w:val="NormalHanging12a"/>
      </w:pPr>
      <w:r>
        <w:t xml:space="preserve">1.</w:t>
      </w:r>
      <w:r>
        <w:tab/>
      </w:r>
      <w:r>
        <w:t xml:space="preserve">arrête la position en première lecture figurant ci-après;</w:t>
      </w:r>
    </w:p>
    <w:p w:rsidRPr="00040CBD" w:rsidR="00203F23" w:rsidP="00203F23" w:rsidRDefault="00203F23">
      <w:pPr>
        <w:pStyle w:val="NormalHanging12a"/>
      </w:pPr>
      <w:r>
        <w:t xml:space="preserve">2.</w:t>
      </w:r>
      <w:r>
        <w:tab/>
      </w:r>
      <w:r>
        <w:t xml:space="preserve">demande à la Commission de le saisir à nouveau, si elle remplace, modifie de manière substantielle ou entend modifier de manière substantielle sa proposition;</w:t>
      </w:r>
    </w:p>
    <w:p w:rsidRPr="00040CBD" w:rsidR="00203F23" w:rsidP="00203F23" w:rsidRDefault="00203F23">
      <w:pPr>
        <w:pStyle w:val="NormalHanging12a"/>
      </w:pPr>
      <w:r>
        <w:t xml:space="preserve">3.</w:t>
      </w:r>
      <w:r>
        <w:tab/>
      </w:r>
      <w:r>
        <w:t xml:space="preserve">charge sa Présidente de transmettre la position du Parlement au Conseil et à la Commission ainsi qu’aux parlements nationaux.</w:t>
      </w:r>
    </w:p>
    <w:p w:rsidRPr="00040CBD" w:rsidR="00203F23" w:rsidP="00203F23" w:rsidRDefault="00203F23"/>
    <w:p w:rsidRPr="00040CBD" w:rsidR="00203F23" w:rsidP="00203F23" w:rsidRDefault="00203F23">
      <w:pPr>
        <w:pStyle w:val="AmNumberTabs"/>
        <w:keepNext/>
      </w:pPr>
      <w:r>
        <w:t xml:space="preserve">Amendement</w:t>
      </w:r>
      <w:r>
        <w:tab/>
      </w:r>
      <w:r>
        <w:tab/>
      </w:r>
      <w:r>
        <w:t xml:space="preserve">1</w:t>
      </w:r>
    </w:p>
    <w:p w:rsidRPr="00040CBD" w:rsidR="00203F23" w:rsidP="00203F23" w:rsidRDefault="00203F23">
      <w:pPr>
        <w:pStyle w:val="AmHeadingConsam"/>
      </w:pPr>
      <w:r>
        <w:t xml:space="preserve">AMENDEMENTS DU PARLEMENT EUROPÉEN</w:t>
      </w:r>
      <w:r>
        <w:rPr>
          <w:rStyle w:val="FootnoteReference"/>
        </w:rPr>
        <w:footnoteReference w:customMarkFollows="1" w:id="1"/>
        <w:t xml:space="preserve">*</w:t>
      </w:r>
    </w:p>
    <w:p w:rsidRPr="00040CBD" w:rsidR="00203F23" w:rsidP="00203F23" w:rsidRDefault="00203F23">
      <w:pPr>
        <w:pStyle w:val="NormalCenter12a"/>
      </w:pPr>
      <w:r>
        <w:t xml:space="preserve">à la proposition de la Commission</w:t>
      </w:r>
    </w:p>
    <w:p w:rsidRPr="00040CBD" w:rsidR="00203F23" w:rsidP="00203F23" w:rsidRDefault="00203F23">
      <w:pPr>
        <w:pStyle w:val="NormalCenter12a"/>
      </w:pPr>
      <w:r>
        <w:t xml:space="preserve">---------------------------------------------------------</w:t>
      </w:r>
    </w:p>
    <w:p w:rsidRPr="00040CBD" w:rsidR="00203F23" w:rsidP="00203F23" w:rsidRDefault="00203F23">
      <w:pPr>
        <w:pStyle w:val="Rfrenceinterinstitutionnelle"/>
        <w:rPr>
          <w:noProof/>
        </w:rPr>
      </w:pPr>
      <w:r>
        <w:t xml:space="preserve">2022/0404 (COD)</w:t>
      </w:r>
    </w:p>
    <w:p w:rsidRPr="00040CBD" w:rsidR="00203F23" w:rsidP="00203F23" w:rsidRDefault="00203F23">
      <w:pPr>
        <w:pStyle w:val="Statut"/>
        <w:rPr>
          <w:noProof/>
        </w:rPr>
      </w:pPr>
      <w:r>
        <w:t xml:space="preserve">Proposition de</w:t>
      </w:r>
    </w:p>
    <w:p w:rsidRPr="00040CBD" w:rsidR="00203F23" w:rsidP="00203F23" w:rsidRDefault="00203F23">
      <w:pPr>
        <w:pStyle w:val="Typedudocument"/>
        <w:rPr>
          <w:noProof/>
        </w:rPr>
      </w:pPr>
      <w:r>
        <w:t xml:space="preserve">DIRECTIVE DU PARLEMENT EUROPÉEN ET DU CONSEIL</w:t>
      </w:r>
    </w:p>
    <w:p w:rsidRPr="00040CBD" w:rsidR="00203F23" w:rsidP="00203F23" w:rsidRDefault="00203F23">
      <w:pPr>
        <w:pStyle w:val="Titreobjet"/>
        <w:rPr>
          <w:noProof/>
        </w:rPr>
      </w:pPr>
      <w:r>
        <w:t xml:space="preserve">modifiant les directives 2009/65/UE, 2013/36/UE et (UE) 2019/2034 en ce qui concerne le traitement du risque de concentration vis-à-vis des contreparties centrales et du risque de contrepartie des transactions sur instruments dérivés faisant l’objet d’une compensation centrale</w:t>
      </w:r>
    </w:p>
    <w:p w:rsidRPr="00040CBD" w:rsidR="00203F23" w:rsidP="00203F23" w:rsidRDefault="00203F23">
      <w:pPr>
        <w:pStyle w:val="IntrtEEE"/>
        <w:rPr>
          <w:noProof/>
        </w:rPr>
      </w:pPr>
      <w:r>
        <w:t xml:space="preserve">(Texte présentant de l’intérêt pour l’EEE)</w:t>
      </w:r>
    </w:p>
    <w:p w:rsidRPr="00040CBD" w:rsidR="00203F23" w:rsidP="00203F23" w:rsidRDefault="00203F23">
      <w:pPr>
        <w:pStyle w:val="Institutionquiagit"/>
        <w:rPr>
          <w:noProof/>
        </w:rPr>
      </w:pPr>
      <w:r>
        <w:t xml:space="preserve">LE PARLEMENT EUROPÉEN ET LE CONSEIL DE L’UNION EUROPÉENNE,</w:t>
      </w:r>
    </w:p>
    <w:p w:rsidRPr="00040CBD" w:rsidR="00203F23" w:rsidP="00203F23" w:rsidRDefault="00203F23">
      <w:pPr>
        <w:shd w:val="clear" w:color="auto" w:fill="FFFFFF" w:themeFill="background1"/>
        <w:spacing w:line="312" w:lineRule="atLeast"/>
        <w:rPr>
          <w:noProof/>
          <w:color w:val="333333"/>
          <w:szCs w:val="24"/>
        </w:rPr>
      </w:pPr>
      <w:r>
        <w:rPr>
          <w:color w:val="333333"/>
        </w:rPr>
        <w:t xml:space="preserve">vu le traité sur le fonctionnement de l’Union européenne, et notamment son article 53, paragraphe 1,</w:t>
      </w:r>
    </w:p>
    <w:p w:rsidRPr="00040CBD" w:rsidR="00203F23" w:rsidP="00203F23" w:rsidRDefault="00203F23">
      <w:pPr>
        <w:shd w:val="clear" w:color="auto" w:fill="FFFFFF" w:themeFill="background1"/>
        <w:spacing w:line="312" w:lineRule="atLeast"/>
        <w:rPr>
          <w:noProof/>
          <w:color w:val="333333"/>
          <w:szCs w:val="24"/>
        </w:rPr>
      </w:pPr>
      <w:r>
        <w:rPr>
          <w:color w:val="333333"/>
        </w:rPr>
        <w:t xml:space="preserve">vu la proposition de la Commission européenne,</w:t>
      </w:r>
    </w:p>
    <w:p w:rsidRPr="00040CBD" w:rsidR="00203F23" w:rsidP="00203F23" w:rsidRDefault="00203F23">
      <w:pPr>
        <w:shd w:val="clear" w:color="auto" w:fill="FFFFFF" w:themeFill="background1"/>
        <w:spacing w:line="312" w:lineRule="atLeast"/>
        <w:rPr>
          <w:noProof/>
          <w:color w:val="333333"/>
          <w:szCs w:val="24"/>
        </w:rPr>
      </w:pPr>
      <w:r>
        <w:rPr>
          <w:color w:val="333333"/>
        </w:rPr>
        <w:t xml:space="preserve">après transmission du projet d’acte législatif aux parlements nationaux,</w:t>
      </w:r>
    </w:p>
    <w:p w:rsidRPr="00040CBD" w:rsidR="00203F23" w:rsidP="00203F23" w:rsidRDefault="00203F23">
      <w:pPr>
        <w:shd w:val="clear" w:color="auto" w:fill="FFFFFF" w:themeFill="background1"/>
        <w:spacing w:line="312" w:lineRule="atLeast"/>
        <w:rPr>
          <w:noProof/>
          <w:color w:val="333333"/>
          <w:szCs w:val="24"/>
        </w:rPr>
      </w:pPr>
      <w:r>
        <w:rPr>
          <w:color w:val="333333"/>
        </w:rPr>
        <w:t xml:space="preserve">vu l’avis de la Banque centrale européenne</w:t>
      </w:r>
      <w:r w:rsidRPr="00040CBD">
        <w:rPr>
          <w:rStyle w:val="FootnoteReference"/>
          <w:noProof/>
          <w:color w:val="333333"/>
          <w:szCs w:val="24"/>
        </w:rPr>
        <w:footnoteReference w:id="2"/>
      </w:r>
      <w:r>
        <w:rPr>
          <w:color w:val="333333"/>
        </w:rPr>
        <w:t xml:space="preserve">,</w:t>
      </w:r>
    </w:p>
    <w:p w:rsidRPr="00040CBD" w:rsidR="00203F23" w:rsidP="00203F23" w:rsidRDefault="00203F23">
      <w:pPr>
        <w:shd w:val="clear" w:color="auto" w:fill="FFFFFF" w:themeFill="background1"/>
        <w:spacing w:line="312" w:lineRule="atLeast"/>
        <w:rPr>
          <w:noProof/>
          <w:color w:val="333333"/>
          <w:szCs w:val="24"/>
        </w:rPr>
      </w:pPr>
      <w:r>
        <w:rPr>
          <w:color w:val="333333"/>
        </w:rPr>
        <w:t xml:space="preserve">statuant conformément à la procédure législative ordinaire</w:t>
      </w:r>
      <w:r w:rsidRPr="00040CBD">
        <w:rPr>
          <w:rStyle w:val="FootnoteReference"/>
          <w:noProof/>
          <w:color w:val="333333"/>
          <w:szCs w:val="24"/>
        </w:rPr>
        <w:footnoteReference w:id="3"/>
      </w:r>
      <w:r>
        <w:rPr>
          <w:color w:val="333333"/>
        </w:rPr>
        <w:t xml:space="preserve">,</w:t>
      </w:r>
    </w:p>
    <w:p w:rsidRPr="00040CBD" w:rsidR="00203F23" w:rsidP="00203F23" w:rsidRDefault="00203F23">
      <w:pPr>
        <w:rPr>
          <w:noProof/>
          <w:szCs w:val="22"/>
          <w:rFonts w:eastAsiaTheme="minorHAnsi"/>
        </w:rPr>
      </w:pPr>
      <w:r>
        <w:t xml:space="preserve">considérant ce qui suit:</w:t>
      </w:r>
    </w:p>
    <w:p w:rsidRPr="00040CBD" w:rsidR="00203F23" w:rsidP="00203F23" w:rsidRDefault="00203F23">
      <w:pPr>
        <w:pStyle w:val="ManualConsidrant"/>
        <w:rPr>
          <w:noProof/>
        </w:rPr>
      </w:pPr>
      <w:r>
        <w:t xml:space="preserve">(1)</w:t>
      </w:r>
      <w:r>
        <w:tab/>
      </w:r>
      <w:r>
        <w:t xml:space="preserve">Pour des raisons de cohérence avec le règlement (UE) nº 648/2012, et afin d’assurer le bon fonctionnement du marché intérieur, il est nécessaire d’inclure dans la directive 2009/65/UE un ensemble uniforme de règles sur le traitement du risque de contrepartie dans les transactions sur instruments dérivés effectuées par des organismes de placement collectif en valeurs mobilières (OPCVM), lorsque ces transactions ont été compensées par une contrepartie centrale agréée ou reconnue en vertu dudit règlement.</w:t>
      </w:r>
      <w:r>
        <w:t xml:space="preserve"> </w:t>
      </w:r>
      <w:r>
        <w:t xml:space="preserve">La directive 2009/65/UE n’impose de limites réglementaires au risque de contrepartie que pour les transactions sur instruments dérivés de gré à gré, que ceux-ci aient fait l’objet d’une compensation centrale ou non.</w:t>
      </w:r>
      <w:r>
        <w:t xml:space="preserve"> </w:t>
      </w:r>
      <w:r>
        <w:t xml:space="preserve">Étant donné que les accords de compensation centrale atténuent le risque de contrepartie inhérent aux contrats dérivés, il est nécessaire, lors de la définition des limites applicables au risque de contrepartie, de tenir compte du fait qu’un instrument dérivé a été ou non compensé par une contrepartie centrale agréée ou reconnue en vertu dudit règlement, et d’établir des conditions de concurrence équitables entre les dérivés négociés en bourse et les dérivés de gré à gré.</w:t>
      </w:r>
      <w:r>
        <w:t xml:space="preserve"> </w:t>
      </w:r>
      <w:r>
        <w:t xml:space="preserve">Il est également nécessaire, pour des raisons de réglementation et d’harmonisation, de ne lever les limites imposées au risque de contrepartie que lorsque les contreparties font appel à des contreparties centrales agréées dans un État membre ou reconnues conformément au règlement (UE) nº 648/2012 pour la fourniture de services de compensation à des membres compensateurs et à leurs clients.</w:t>
      </w:r>
    </w:p>
    <w:p w:rsidRPr="00040CBD" w:rsidR="00203F23" w:rsidP="00203F23" w:rsidRDefault="00203F23">
      <w:pPr>
        <w:pStyle w:val="ManualConsidrant"/>
        <w:rPr>
          <w:noProof/>
          <w:color w:val="333333"/>
        </w:rPr>
      </w:pPr>
      <w:r>
        <w:t xml:space="preserve">(2)</w:t>
      </w:r>
      <w:r>
        <w:tab/>
      </w:r>
      <w:r>
        <w:t xml:space="preserve">Afin de contribuer à la réalisation des objectifs de l’union des marchés des capitaux, il est nécessaire, pour une utilisation optimale des contreparties centrales, de supprimer de la directive 2009/65/UE certains obstacles au recours à la compensation centrale et de clarifier certains aspects des directives 2013/36/UE et (UE) 2019/2034.</w:t>
      </w:r>
      <w:r>
        <w:rPr>
          <w:color w:val="333333"/>
        </w:rPr>
        <w:t xml:space="preserve"> </w:t>
      </w:r>
      <w:r>
        <w:rPr>
          <w:color w:val="333333"/>
        </w:rPr>
        <w:t xml:space="preserve">La dépendance excessive du système financier de l’Union à l’égard de contreparties centrales de pays tiers d’importance systémique (contreparties centrales de catégorie 2) pourrait poser des problèmes de stabilité financière, qui appellent une réponse appropriée.</w:t>
      </w:r>
      <w:r>
        <w:rPr>
          <w:color w:val="333333"/>
        </w:rPr>
        <w:t xml:space="preserve"> </w:t>
      </w:r>
      <w:r>
        <w:rPr>
          <w:color w:val="333333"/>
        </w:rPr>
        <w:t xml:space="preserve">Il convient donc, pour garantir la stabilité financière de l’Union et réduire suffisamment les risques de contagion dans l’ensemble de son système financier, de prendre des mesures appropriées pour faciliter l’identification, la gestion et le suivi du risque de concentration lié aux expositions sur des contreparties centrales.</w:t>
      </w:r>
      <w:r>
        <w:rPr>
          <w:color w:val="333333"/>
        </w:rPr>
        <w:t xml:space="preserve"> </w:t>
      </w:r>
      <w:r>
        <w:rPr>
          <w:color w:val="333333"/>
        </w:rPr>
        <w:t xml:space="preserve">Dans ce contexte, il y a lieu de modifier les directives 2013/36/UE et (UE) 2019/2034 afin d’encourager les établissements et les entreprises d’investissement à prendre les dispositions nécessaires pour adapter leur modèle d’entreprise et le rendre cohérent avec les nouvelles exigences en matière de compensation introduites par la révision du règlement (UE) nº 648/2012, et à améliorer globalement leurs pratiques en matière de gestion des risques, en tenant compte aussi de la nature, de l’échelle et de la complexité de leurs activités de marché.</w:t>
      </w:r>
      <w:r>
        <w:rPr>
          <w:color w:val="333333"/>
        </w:rPr>
        <w:t xml:space="preserve"> </w:t>
      </w:r>
      <w:r>
        <w:rPr>
          <w:b/>
          <w:i/>
        </w:rPr>
        <w:t xml:space="preserve">Dans ce contexte, il y a lieu de modifier les directives 2013/36/UE et (UE) 2019/2034 afin d’encourager les établissements et les entreprises d’investissement à prendre les dispositions nécessaires pour adapter leur modèle d’entreprise et le rendre cohérent avec les nouvelles exigences en matière de compensation introduites par la révision du règlement (UE) nº 648/2012, et à améliorer globalement leurs pratiques en matière de gestion des risques, en tenant compte aussi de la nature, de l’échelle et de la complexité de leurs activités de marché.</w:t>
      </w:r>
      <w:r>
        <w:rPr>
          <w:b/>
          <w:i/>
        </w:rPr>
        <w:t xml:space="preserve"> </w:t>
      </w:r>
      <w:r>
        <w:rPr>
          <w:b/>
          <w:i/>
        </w:rPr>
        <w:t xml:space="preserve">En outre, les autorités compétentes</w:t>
      </w:r>
      <w:r>
        <w:t xml:space="preserve"> devraient être dotées, dans le cadre du pilier 2, d’outils et de pouvoirs supplémentaires plus ciblés, qui les placeraient en meilleure position pour prendre des mesures adaptées et décisives sur la base des conclusions de leurs évaluations prudentielles.</w:t>
      </w:r>
    </w:p>
    <w:p w:rsidRPr="00040CBD" w:rsidR="00203F23" w:rsidP="00203F23" w:rsidRDefault="00203F23">
      <w:pPr>
        <w:pStyle w:val="ManualConsidrant"/>
        <w:rPr>
          <w:b/>
          <w:i/>
          <w:noProof/>
          <w:color w:val="333333"/>
        </w:rPr>
      </w:pPr>
      <w:r>
        <w:rPr>
          <w:b/>
          <w:i/>
        </w:rPr>
        <w:t xml:space="preserve">(2 </w:t>
      </w:r>
      <w:r>
        <w:rPr>
          <w:b/>
          <w:i/>
          <w:i/>
        </w:rPr>
        <w:t xml:space="preserve">bis</w:t>
      </w:r>
      <w:r>
        <w:rPr>
          <w:b/>
          <w:i/>
        </w:rPr>
        <w:t xml:space="preserve">)</w:t>
      </w:r>
      <w:r>
        <w:rPr>
          <w:b/>
          <w:i/>
        </w:rPr>
        <w:tab/>
      </w:r>
      <w:r>
        <w:rPr>
          <w:b/>
          <w:i/>
        </w:rPr>
        <w:t xml:space="preserve">Les autorités compétentes devraient être habilitées à examiner les plans que les établissements de crédit et les entreprises d’investissement sont tenus d’élaborer, en tenant compte de la méthode de calibrage de l’exigence de compte actif.</w:t>
      </w:r>
      <w:r>
        <w:rPr>
          <w:b/>
          <w:i/>
        </w:rPr>
        <w:t xml:space="preserve"> </w:t>
      </w:r>
      <w:r>
        <w:rPr>
          <w:b/>
          <w:i/>
        </w:rPr>
        <w:t xml:space="preserve">Pour examiner ces plans de manière appropriée, les autorités compétentes devraient disposer des informations détaillées sur le niveau des services de compensation identifiés comme étant d’une importance systémique substantielle et devant être maintenus dans les comptes actifs des contreparties centrales de l’Union par les contreparties financières et non financières soumises à l’obligation de compensation spécifiée conformément à l’article 7 bis, paragraphe 5, du règlement (UE) n° 648/2012.</w:t>
      </w:r>
    </w:p>
    <w:p w:rsidRPr="00040CBD" w:rsidR="00203F23" w:rsidP="00203F23" w:rsidRDefault="00203F23">
      <w:pPr>
        <w:pStyle w:val="ManualConsidrant"/>
        <w:rPr>
          <w:noProof/>
        </w:rPr>
      </w:pPr>
      <w:r>
        <w:t xml:space="preserve">(3)</w:t>
      </w:r>
      <w:r>
        <w:tab/>
      </w:r>
      <w:r>
        <w:t xml:space="preserve">Il convient donc de modifier les directives 2009/65/UE, 2013/36/UE et (UE) 2019/2034 en conséquence.</w:t>
      </w:r>
      <w:r>
        <w:t xml:space="preserve"> </w:t>
      </w:r>
    </w:p>
    <w:p w:rsidRPr="00040CBD" w:rsidR="00203F23" w:rsidP="00203F23" w:rsidRDefault="00203F23">
      <w:pPr>
        <w:pStyle w:val="ManualConsidrant"/>
        <w:rPr>
          <w:noProof/>
        </w:rPr>
      </w:pPr>
      <w:r>
        <w:t xml:space="preserve">(4)</w:t>
      </w:r>
      <w:r>
        <w:tab/>
      </w:r>
      <w:r>
        <w:t xml:space="preserve">Étant donné que les objectifs de la présente directive, à savoir faire en sorte que les établissements de crédit, les entreprises d’investissement et leurs autorités compétentes surveillent et réduisent de manière adéquate le risque de concentration lié aux expositions sur des contreparties centrales de catégorie 2 qui offrent des services d’importance systémique substantielle, et supprimer les limites applicables au risque de contrepartie pour les transactions sur instruments dérivés compensés de manière centralisée par une contrepartie centrale agréée ou reconnue conformément au règlement (UE) nº 648/2012, ne peuvent pas être atteints de manière suffisante par les États membres mais peuvent, en raison de leurs dimensions et de leurs effets, l’être mieux au niveau de l’Union, celle-ci peut prendre des mesures en vertu du principe de subsidiarité consacré par l’article 5 du traité sur l’Union européenne.</w:t>
      </w:r>
      <w:r>
        <w:t xml:space="preserve"> </w:t>
      </w:r>
      <w:r>
        <w:t xml:space="preserve">Conformément au principe de proportionnalité tel qu’énoncé audit article, la présente directive n’excède pas ce qui est nécessaire pour atteindre ces objectifs,</w:t>
      </w:r>
    </w:p>
    <w:p w:rsidRPr="00040CBD" w:rsidR="00203F23" w:rsidP="00203F23" w:rsidRDefault="00203F23">
      <w:pPr>
        <w:pStyle w:val="ManualConsidrant"/>
        <w:rPr>
          <w:noProof/>
          <w:lang w:val="fr-FR"/>
        </w:rPr>
      </w:pPr>
    </w:p>
    <w:p w:rsidRPr="00040CBD" w:rsidR="00203F23" w:rsidP="00203F23" w:rsidRDefault="00203F23">
      <w:pPr>
        <w:pStyle w:val="Formuledadoption"/>
        <w:rPr>
          <w:noProof/>
        </w:rPr>
      </w:pPr>
      <w:r>
        <w:t xml:space="preserve">ONT ADOPTÉ LA PRÉSENTE DIRECTIVE:</w:t>
      </w:r>
    </w:p>
    <w:p w:rsidRPr="00040CBD" w:rsidR="00203F23" w:rsidP="00203F23" w:rsidRDefault="00203F23">
      <w:pPr>
        <w:pStyle w:val="Titrearticle"/>
        <w:rPr>
          <w:noProof/>
        </w:rPr>
      </w:pPr>
      <w:r>
        <w:t xml:space="preserve">Article 1</w:t>
      </w:r>
    </w:p>
    <w:p w:rsidRPr="00040CBD" w:rsidR="00203F23" w:rsidP="00203F23" w:rsidRDefault="00203F23">
      <w:pPr>
        <w:pStyle w:val="Titrearticle"/>
        <w:spacing w:before="120"/>
        <w:rPr>
          <w:noProof/>
        </w:rPr>
      </w:pPr>
      <w:r>
        <w:rPr>
          <w:b/>
          <w:i w:val="0"/>
        </w:rPr>
        <w:t xml:space="preserve">Modifications de la directive 2009/65/CE</w:t>
      </w:r>
      <w:r>
        <w:t xml:space="preserve"> </w:t>
      </w:r>
    </w:p>
    <w:p w:rsidRPr="00040CBD" w:rsidR="00203F23" w:rsidP="00203F23" w:rsidRDefault="00203F23">
      <w:pPr>
        <w:pStyle w:val="NoSpacing"/>
        <w:rPr>
          <w:b/>
          <w:noProof/>
          <w:szCs w:val="24"/>
          <w:rFonts w:eastAsia="Times New Roman"/>
        </w:rPr>
      </w:pPr>
      <w:r>
        <w:t xml:space="preserve">La directive 2009/65/CE est modifiée comme suit:</w:t>
      </w:r>
    </w:p>
    <w:p w:rsidRPr="00040CBD" w:rsidR="00203F23" w:rsidP="00203F23" w:rsidRDefault="00203F23">
      <w:pPr>
        <w:shd w:val="clear" w:color="auto" w:fill="FFFFFF" w:themeFill="background1"/>
        <w:tabs>
          <w:tab w:val="left" w:pos="567"/>
        </w:tabs>
        <w:spacing w:line="312" w:lineRule="atLeast"/>
        <w:rPr>
          <w:noProof/>
          <w:color w:val="333333"/>
          <w:szCs w:val="24"/>
        </w:rPr>
      </w:pPr>
      <w:r>
        <w:rPr>
          <w:color w:val="333333"/>
        </w:rPr>
        <w:t xml:space="preserve">1)</w:t>
      </w:r>
      <w:r>
        <w:rPr>
          <w:color w:val="333333"/>
        </w:rPr>
        <w:tab/>
      </w:r>
      <w:r>
        <w:rPr>
          <w:color w:val="333333"/>
        </w:rPr>
        <w:t xml:space="preserve">À l’article 2, paragraphe 1, le point u) suivant est ajouté:</w:t>
      </w:r>
    </w:p>
    <w:p w:rsidRPr="00040CBD" w:rsidR="00203F23" w:rsidP="00203F23" w:rsidRDefault="00203F23">
      <w:pPr>
        <w:shd w:val="clear" w:color="auto" w:fill="FFFFFF" w:themeFill="background1"/>
        <w:spacing w:line="312" w:lineRule="atLeast"/>
        <w:ind w:left="1134" w:hanging="567"/>
        <w:rPr>
          <w:noProof/>
          <w:color w:val="333333"/>
          <w:szCs w:val="24"/>
        </w:rPr>
      </w:pPr>
      <w:r>
        <w:t xml:space="preserve">«u)</w:t>
      </w:r>
      <w:r>
        <w:rPr>
          <w:color w:val="333333"/>
        </w:rPr>
        <w:tab/>
      </w:r>
      <w:r>
        <w:t xml:space="preserve">“contrepartie centrale” ou “CCP”, une contrepartie centrale au sens de l'article 2, point 1), du règlement (UE) nº 648/2012 du Parlement européen et du Conseil</w:t>
      </w:r>
      <w:r>
        <w:rPr>
          <w:vertAlign w:val="superscript"/>
        </w:rPr>
        <w:t xml:space="preserve">*</w:t>
      </w:r>
      <w:r>
        <w:rPr>
          <w:vertAlign w:val="superscript"/>
        </w:rPr>
        <w:t xml:space="preserve">2</w:t>
      </w:r>
      <w:r>
        <w:t xml:space="preserve">.</w:t>
      </w:r>
    </w:p>
    <w:p w:rsidRPr="00040CBD" w:rsidR="00203F23" w:rsidP="00203F23" w:rsidRDefault="00203F23">
      <w:pPr>
        <w:ind w:left="1134"/>
        <w:rPr>
          <w:noProof/>
          <w:szCs w:val="24"/>
          <w:rFonts w:eastAsiaTheme="minorHAnsi"/>
        </w:rPr>
      </w:pPr>
      <w:r>
        <w:t xml:space="preserve">___________</w:t>
      </w:r>
    </w:p>
    <w:p w:rsidRPr="00040CBD" w:rsidR="00203F23" w:rsidP="00203F23" w:rsidRDefault="00203F23">
      <w:pPr>
        <w:shd w:val="clear" w:color="auto" w:fill="FFFFFF" w:themeFill="background1"/>
        <w:spacing w:line="312" w:lineRule="atLeast"/>
        <w:ind w:left="1701" w:hanging="555"/>
        <w:rPr>
          <w:noProof/>
          <w:color w:val="333333"/>
          <w:sz w:val="20"/>
        </w:rPr>
      </w:pPr>
      <w:r>
        <w:rPr>
          <w:sz w:val="20"/>
          <w:vertAlign w:val="superscript"/>
        </w:rPr>
        <w:t xml:space="preserve">*2</w:t>
      </w:r>
      <w:r>
        <w:rPr>
          <w:sz w:val="20"/>
          <w:vertAlign w:val="superscript"/>
        </w:rPr>
        <w:tab/>
      </w:r>
      <w:r>
        <w:rPr>
          <w:sz w:val="20"/>
        </w:rPr>
        <w:t xml:space="preserve">Règlement (UE) nº 648/2012 du Parlement européen et du Conseil du 4 juillet 2012 sur les produits dérivés de gré à gré, les contreparties centrales et les référentiels centraux (JO L 201 du 27.7.2012, p. 1).»;</w:t>
      </w:r>
    </w:p>
    <w:p w:rsidRPr="00040CBD" w:rsidR="00203F23" w:rsidP="00203F23" w:rsidRDefault="00203F23">
      <w:pPr>
        <w:shd w:val="clear" w:color="auto" w:fill="FFFFFF" w:themeFill="background1"/>
        <w:tabs>
          <w:tab w:val="left" w:pos="567"/>
        </w:tabs>
        <w:spacing w:line="312" w:lineRule="atLeast"/>
        <w:rPr>
          <w:noProof/>
          <w:color w:val="333333"/>
          <w:szCs w:val="24"/>
        </w:rPr>
      </w:pPr>
      <w:r>
        <w:rPr>
          <w:color w:val="333333"/>
        </w:rPr>
        <w:t xml:space="preserve">2)</w:t>
      </w:r>
      <w:r>
        <w:rPr>
          <w:color w:val="333333"/>
        </w:rPr>
        <w:tab/>
      </w:r>
      <w:r>
        <w:rPr>
          <w:color w:val="333333"/>
        </w:rPr>
        <w:t xml:space="preserve">L’article 52 est modifié comme suit:</w:t>
      </w:r>
    </w:p>
    <w:p w:rsidRPr="00040CBD" w:rsidR="00203F23" w:rsidP="00203F23" w:rsidRDefault="00203F23">
      <w:pPr>
        <w:shd w:val="clear" w:color="auto" w:fill="FFFFFF" w:themeFill="background1"/>
        <w:spacing w:line="312" w:lineRule="atLeast"/>
        <w:ind w:left="1134" w:hanging="567"/>
        <w:rPr>
          <w:noProof/>
          <w:szCs w:val="24"/>
        </w:rPr>
      </w:pPr>
      <w:r>
        <w:rPr>
          <w:color w:val="333333"/>
        </w:rPr>
        <w:t xml:space="preserve">a)</w:t>
      </w:r>
      <w:r>
        <w:rPr>
          <w:color w:val="333333"/>
        </w:rPr>
        <w:tab/>
      </w:r>
      <w:r>
        <w:t xml:space="preserve">au paragraphe 1, deuxième alinéa, la partie introductive est remplacée par le texte suivant:</w:t>
      </w:r>
    </w:p>
    <w:p w:rsidRPr="00040CBD" w:rsidR="00203F23" w:rsidP="00203F23" w:rsidRDefault="00203F23">
      <w:pPr>
        <w:shd w:val="clear" w:color="auto" w:fill="FFFFFF" w:themeFill="background1"/>
        <w:spacing w:line="312" w:lineRule="atLeast"/>
        <w:ind w:left="1134"/>
        <w:rPr>
          <w:noProof/>
          <w:szCs w:val="24"/>
          <w:rFonts w:eastAsiaTheme="minorHAnsi"/>
        </w:rPr>
      </w:pPr>
      <w:r>
        <w:t xml:space="preserve">«Le risque de contrepartie de l’OPCVM dans une transaction sur instruments dérivés qui n’est pas compensée de manière centralisée par une contrepartie centrale agréée conformément à l’article 14 du règlement (UE) nº 648/2012, ou reconnue conformément à l’article 25 de ce règlement, ne peut excéder:»;</w:t>
      </w:r>
    </w:p>
    <w:p w:rsidRPr="00040CBD" w:rsidR="00203F23" w:rsidP="00203F23" w:rsidRDefault="00203F23">
      <w:pPr>
        <w:shd w:val="clear" w:color="auto" w:fill="FFFFFF" w:themeFill="background1"/>
        <w:spacing w:line="276" w:lineRule="auto"/>
        <w:ind w:left="1134" w:hanging="567"/>
        <w:rPr>
          <w:noProof/>
          <w:szCs w:val="24"/>
        </w:rPr>
      </w:pPr>
      <w:r>
        <w:t xml:space="preserve">b)</w:t>
      </w:r>
      <w:r>
        <w:tab/>
      </w:r>
      <w:r>
        <w:t xml:space="preserve">le paragraphe 2 est modifié comme suit:</w:t>
      </w:r>
    </w:p>
    <w:p w:rsidRPr="00040CBD" w:rsidR="00203F23" w:rsidP="00203F23" w:rsidRDefault="00203F23">
      <w:pPr>
        <w:shd w:val="clear" w:color="auto" w:fill="FFFFFF" w:themeFill="background1"/>
        <w:spacing w:line="276" w:lineRule="auto"/>
        <w:ind w:left="1701" w:hanging="567"/>
        <w:rPr>
          <w:noProof/>
          <w:szCs w:val="24"/>
        </w:rPr>
      </w:pPr>
      <w:r>
        <w:t xml:space="preserve">i)</w:t>
      </w:r>
      <w:r>
        <w:tab/>
      </w:r>
      <w:r>
        <w:t xml:space="preserve">le premier alinéa est remplacé par le texte suivant:</w:t>
      </w:r>
    </w:p>
    <w:p w:rsidRPr="00040CBD" w:rsidR="00203F23" w:rsidP="00203F23" w:rsidRDefault="00203F23">
      <w:pPr>
        <w:spacing w:line="276" w:lineRule="auto"/>
        <w:ind w:left="1701"/>
        <w:rPr>
          <w:noProof/>
          <w:szCs w:val="24"/>
        </w:rPr>
      </w:pPr>
      <w:r>
        <w:t xml:space="preserve">Les États membres peuvent porter la limite de 5 % prévue au paragraphe 1, premier alinéa, jusqu’à un maximum de 10 %.</w:t>
      </w:r>
      <w:r>
        <w:t xml:space="preserve"> </w:t>
      </w:r>
      <w:r>
        <w:t xml:space="preserve">Toutefois, en ce cas, la valeur totale des valeurs mobilières et des instruments du marché monétaire détenus par l’OPCVM auprès des émetteurs dans chacun desquels il investit plus de 5 % de ses actifs ne peut dépasser 40 % de la valeur de ses actifs.</w:t>
      </w:r>
      <w:r>
        <w:t xml:space="preserve"> </w:t>
      </w:r>
      <w:r>
        <w:t xml:space="preserve">Cette limite ne s’applique pas aux dépôts auprès d’établissements financiers faisant l’objet d’une surveillance prudentielle ni aux transactions sur instruments dérivés de gré à gré avec ces établissements.</w:t>
      </w:r>
    </w:p>
    <w:p w:rsidRPr="00040CBD" w:rsidR="00203F23" w:rsidP="00203F23" w:rsidRDefault="00203F23">
      <w:pPr>
        <w:ind w:left="1701" w:hanging="567"/>
        <w:rPr>
          <w:noProof/>
          <w:szCs w:val="24"/>
        </w:rPr>
      </w:pPr>
      <w:r>
        <w:t xml:space="preserve">ii)</w:t>
      </w:r>
      <w:r>
        <w:tab/>
      </w:r>
      <w:r>
        <w:t xml:space="preserve">au deuxième alinéa, le point c) est remplacé par le texte suivant:</w:t>
      </w:r>
    </w:p>
    <w:p w:rsidRPr="00040CBD" w:rsidR="00203F23" w:rsidP="00203F23" w:rsidRDefault="00203F23">
      <w:pPr>
        <w:ind w:left="1701"/>
        <w:rPr>
          <w:noProof/>
          <w:szCs w:val="24"/>
        </w:rPr>
      </w:pPr>
      <w:r>
        <w:t xml:space="preserve">«c) des expositions découlant de transactions sur instruments dérivés avec ladite entité qui ne sont pas compensées de manière centralisée par une contrepartie centrale agréée conformément à l’article 14 du règlement (UE) nº 648/2012, ou reconnue conformément à l’article 25 de ce règlement.».</w:t>
      </w:r>
    </w:p>
    <w:p w:rsidRPr="00040CBD" w:rsidR="00203F23" w:rsidP="00203F23" w:rsidRDefault="00203F23">
      <w:pPr>
        <w:pStyle w:val="Titrearticle"/>
        <w:rPr>
          <w:noProof/>
        </w:rPr>
      </w:pPr>
      <w:r>
        <w:t xml:space="preserve">Article 2</w:t>
      </w:r>
    </w:p>
    <w:p w:rsidRPr="00040CBD" w:rsidR="00203F23" w:rsidP="00203F23" w:rsidRDefault="00203F23">
      <w:pPr>
        <w:pStyle w:val="Titrearticle"/>
        <w:rPr>
          <w:noProof/>
        </w:rPr>
      </w:pPr>
      <w:bookmarkStart w:id="2" w:name="_Hlk116294275"/>
      <w:r>
        <w:rPr>
          <w:b/>
          <w:i w:val="0"/>
        </w:rPr>
        <w:t xml:space="preserve">Modifications de la directive 2013/36/UE</w:t>
      </w:r>
      <w:r>
        <w:t xml:space="preserve"> </w:t>
      </w:r>
      <w:bookmarkEnd w:id="2"/>
    </w:p>
    <w:p w:rsidRPr="00040CBD" w:rsidR="00203F23" w:rsidP="00203F23" w:rsidRDefault="00203F23">
      <w:pPr>
        <w:keepNext/>
        <w:keepLines/>
        <w:spacing w:before="240"/>
        <w:outlineLvl w:val="0"/>
        <w:rPr>
          <w:noProof/>
          <w:szCs w:val="24"/>
        </w:rPr>
      </w:pPr>
      <w:r>
        <w:t xml:space="preserve">La directive 2013/36/UE est modifiée comme suit:</w:t>
      </w:r>
      <w:r>
        <w:t xml:space="preserve"> </w:t>
      </w:r>
    </w:p>
    <w:p w:rsidRPr="00040CBD" w:rsidR="00203F23" w:rsidP="00203F23" w:rsidRDefault="00203F23">
      <w:pPr>
        <w:tabs>
          <w:tab w:val="left" w:pos="567"/>
        </w:tabs>
        <w:rPr>
          <w:noProof/>
          <w:szCs w:val="24"/>
          <w:rFonts w:eastAsiaTheme="minorHAnsi"/>
        </w:rPr>
      </w:pPr>
      <w:r>
        <w:t xml:space="preserve">1)</w:t>
      </w:r>
      <w:r>
        <w:tab/>
      </w:r>
      <w:r>
        <w:t xml:space="preserve">À l’article 74, paragraphe 1, [le point b)] est remplacé par le texte suivant:</w:t>
      </w:r>
    </w:p>
    <w:p w:rsidRPr="00040CBD" w:rsidR="00203F23" w:rsidP="00203F23" w:rsidRDefault="00203F23">
      <w:pPr>
        <w:rPr>
          <w:noProof/>
          <w:szCs w:val="22"/>
        </w:rPr>
      </w:pPr>
      <w:r>
        <w:t xml:space="preserve">«[b)] des processus efficaces d’identification, de gestion, de suivi et de déclaration des risques auxquels ils sont ou pourraient être exposés à court, moyen et long termes, y compris des risques environnementaux, sociaux et de gouvernance, ainsi que du risque de concentration découlant d’expositions sur des contreparties centrales, compte tenu des conditions énoncées à l’article 7 bis du règlement (UE) nº 648/2012 du Parlement européen et du Conseil</w:t>
      </w:r>
      <w:r>
        <w:rPr>
          <w:vertAlign w:val="superscript"/>
        </w:rPr>
        <w:t xml:space="preserve">*1</w:t>
      </w:r>
      <w:r>
        <w:t xml:space="preserve">;»</w:t>
      </w:r>
    </w:p>
    <w:p w:rsidRPr="00040CBD" w:rsidR="00203F23" w:rsidP="00203F23" w:rsidRDefault="00203F23">
      <w:pPr>
        <w:ind w:left="1134" w:hanging="567"/>
        <w:rPr>
          <w:noProof/>
          <w:sz w:val="20"/>
        </w:rPr>
      </w:pPr>
      <w:r>
        <w:rPr>
          <w:sz w:val="20"/>
        </w:rPr>
        <w:t xml:space="preserve">___________</w:t>
      </w:r>
    </w:p>
    <w:p w:rsidRPr="00040CBD" w:rsidR="00203F23" w:rsidP="00203F23" w:rsidRDefault="00203F23">
      <w:pPr>
        <w:ind w:left="1134" w:hanging="567"/>
        <w:rPr>
          <w:noProof/>
          <w:sz w:val="20"/>
        </w:rPr>
      </w:pPr>
      <w:r>
        <w:rPr>
          <w:sz w:val="20"/>
          <w:vertAlign w:val="superscript"/>
        </w:rPr>
        <w:t xml:space="preserve">*1</w:t>
      </w:r>
      <w:r>
        <w:rPr>
          <w:sz w:val="20"/>
          <w:vertAlign w:val="superscript"/>
        </w:rPr>
        <w:tab/>
      </w:r>
      <w:r>
        <w:rPr>
          <w:sz w:val="20"/>
        </w:rPr>
        <w:t xml:space="preserve">Règlement (UE) nº 648/2012 du Parlement européen et du Conseil du 4 juillet 2012 sur les produits dérivés de gré à gré, les contreparties centrales et les référentiels centraux (JO L 201 du 27.7.2012, p. 1).»;</w:t>
      </w:r>
    </w:p>
    <w:p w:rsidRPr="00040CBD" w:rsidR="00203F23" w:rsidP="00203F23" w:rsidRDefault="00203F23">
      <w:pPr>
        <w:tabs>
          <w:tab w:val="left" w:pos="567"/>
        </w:tabs>
        <w:rPr>
          <w:noProof/>
          <w:szCs w:val="24"/>
        </w:rPr>
      </w:pPr>
      <w:r>
        <w:t xml:space="preserve">2)</w:t>
      </w:r>
      <w:r>
        <w:tab/>
      </w:r>
      <w:r>
        <w:t xml:space="preserve">À l’article 76, paragraphe 2, l’alinéa suivant est ajouté:</w:t>
      </w:r>
    </w:p>
    <w:p w:rsidRPr="00040CBD" w:rsidR="00203F23" w:rsidP="00203F23" w:rsidRDefault="00203F23">
      <w:pPr>
        <w:ind w:left="567"/>
        <w:rPr>
          <w:noProof/>
          <w:szCs w:val="24"/>
        </w:rPr>
      </w:pPr>
      <w:r>
        <w:t xml:space="preserve">«Les États membres veillent à ce que l’organe de direction mette en place des plans spécifiques et des objectifs quantifiables, respectant les proportions fixées conformément à l’article 7 bis du règlement (UE) nº 648/2012, pour surveiller et traiter le risque de concentration découlant d’expositions sur des contreparties centrales qui offrent des services d’importance systémique substantielle pour l’Union ou pour un ou plusieurs de ses États membres.»;</w:t>
      </w:r>
    </w:p>
    <w:p w:rsidRPr="00040CBD" w:rsidR="00203F23" w:rsidP="00203F23" w:rsidRDefault="00203F23">
      <w:pPr>
        <w:tabs>
          <w:tab w:val="left" w:pos="567"/>
        </w:tabs>
        <w:rPr>
          <w:noProof/>
          <w:szCs w:val="24"/>
        </w:rPr>
      </w:pPr>
      <w:r>
        <w:t xml:space="preserve">3)</w:t>
      </w:r>
      <w:r>
        <w:tab/>
      </w:r>
      <w:r>
        <w:t xml:space="preserve">À l’article 81, le paragraphe suivant est ajouté:</w:t>
      </w:r>
    </w:p>
    <w:p w:rsidRPr="00040CBD" w:rsidR="00203F23" w:rsidP="00203F23" w:rsidRDefault="00203F23">
      <w:pPr>
        <w:ind w:left="567"/>
        <w:rPr>
          <w:noProof/>
          <w:szCs w:val="24"/>
        </w:rPr>
      </w:pPr>
      <w:r>
        <w:t xml:space="preserve">«Les autorités compétentes évaluent et suivent l’évolution des pratiques des établissements en matière de gestion de leurs risques de concentration découlant d’expositions sur des contreparties centrales, y compris les plans élaborés conformément à l’article 76, paragraphe 2, de la présente directive, ainsi que les progrès accomplis en termes d’adaptation de leur modèle d’entreprise aux objectifs stratégiques pertinents de l’Union, en tenant compte des exigences énoncées à l’article 7 bis du règlement (UE) nº 648/2012»;</w:t>
      </w:r>
    </w:p>
    <w:p w:rsidRPr="00040CBD" w:rsidR="00203F23" w:rsidP="00203F23" w:rsidRDefault="00203F23">
      <w:pPr>
        <w:tabs>
          <w:tab w:val="left" w:pos="567"/>
        </w:tabs>
        <w:rPr>
          <w:noProof/>
          <w:szCs w:val="24"/>
        </w:rPr>
      </w:pPr>
      <w:r>
        <w:t xml:space="preserve">4)</w:t>
      </w:r>
      <w:r>
        <w:tab/>
      </w:r>
      <w:r>
        <w:t xml:space="preserve">À l’article 100, le paragraphe [5] suivant est ajouté:</w:t>
      </w:r>
    </w:p>
    <w:p w:rsidRPr="00040CBD" w:rsidR="00203F23" w:rsidP="00203F23" w:rsidRDefault="00203F23">
      <w:pPr>
        <w:ind w:left="567"/>
        <w:rPr>
          <w:noProof/>
          <w:szCs w:val="24"/>
        </w:rPr>
      </w:pPr>
      <w:r>
        <w:t xml:space="preserve">«[5].</w:t>
      </w:r>
      <w:r>
        <w:t xml:space="preserve"> </w:t>
      </w:r>
      <w:r>
        <w:t xml:space="preserve">L’ABE, conformément à l’article 16 du règlement (UE) nº 1093/2010, élabore en coordination avec l’AEMF, conformément à l’article 16 du règlement (UE) nº 1095/2010, des orientations visant à garantir une méthode uniforme pour intégrer dans les tests de résistance prudentiels le risque de concentration découlant d’expositions sur des contreparties centrales.»;</w:t>
      </w:r>
    </w:p>
    <w:p w:rsidRPr="00040CBD" w:rsidR="00203F23" w:rsidP="00203F23" w:rsidRDefault="00203F23">
      <w:pPr>
        <w:tabs>
          <w:tab w:val="left" w:pos="567"/>
        </w:tabs>
        <w:rPr>
          <w:noProof/>
          <w:szCs w:val="24"/>
        </w:rPr>
      </w:pPr>
      <w:r>
        <w:t xml:space="preserve">5)</w:t>
      </w:r>
      <w:r>
        <w:tab/>
      </w:r>
      <w:r>
        <w:t xml:space="preserve">L’article 104, paragraphe 1, est modifié comme suit:</w:t>
      </w:r>
    </w:p>
    <w:p w:rsidRPr="00040CBD" w:rsidR="00203F23" w:rsidP="00203F23" w:rsidRDefault="00203F23">
      <w:pPr>
        <w:ind w:left="1134" w:hanging="567"/>
        <w:rPr>
          <w:noProof/>
          <w:szCs w:val="24"/>
        </w:rPr>
      </w:pPr>
      <w:bookmarkStart w:id="3" w:name="_Hlk116296096"/>
      <w:r>
        <w:t xml:space="preserve">a)</w:t>
      </w:r>
      <w:r>
        <w:tab/>
      </w:r>
      <w:r>
        <w:t xml:space="preserve">la partie introductive est remplacée par le texte suivant:</w:t>
      </w:r>
    </w:p>
    <w:p w:rsidRPr="00040CBD" w:rsidR="00203F23" w:rsidP="00203F23" w:rsidRDefault="00203F23">
      <w:pPr>
        <w:ind w:left="1134"/>
        <w:rPr>
          <w:noProof/>
          <w:szCs w:val="24"/>
        </w:rPr>
      </w:pPr>
      <w:r>
        <w:t xml:space="preserve">«Aux fins de l’article 97, de l’article 98, paragraphe 1, point b), de l’article 98, paragraphes 4, 5 et 9, de l’article 101, paragraphe 4, et de l’article 102 de la présente directive, ainsi que de l’application du règlement (UE) nº 575/2013, les autorités compétentes sont au moins habilitées à:»;</w:t>
      </w:r>
    </w:p>
    <w:p w:rsidRPr="00040CBD" w:rsidR="00203F23" w:rsidP="00203F23" w:rsidRDefault="00203F23">
      <w:pPr>
        <w:ind w:left="1134" w:hanging="567"/>
        <w:rPr>
          <w:noProof/>
          <w:szCs w:val="24"/>
        </w:rPr>
      </w:pPr>
      <w:r>
        <w:t xml:space="preserve">b)</w:t>
      </w:r>
      <w:r>
        <w:tab/>
      </w:r>
      <w:r>
        <w:t xml:space="preserve">le point [n)] suivant est ajouté:</w:t>
      </w:r>
    </w:p>
    <w:p w:rsidRPr="00040CBD" w:rsidR="00203F23" w:rsidP="00203F23" w:rsidRDefault="00203F23">
      <w:pPr>
        <w:ind w:left="1134"/>
        <w:rPr>
          <w:noProof/>
          <w:szCs w:val="24"/>
        </w:rPr>
      </w:pPr>
      <w:r>
        <w:t xml:space="preserve">«[n)] exiger des établissements, si elles estiment qu’il existe un risque de concentration excessif sur une contrepartie centrale, qu’ils réduisent leurs expositions sur celle-ci, ou qu’ils réalignent leurs expositions entre leurs différents comptes de compensation conformément à l’article 7 bis du règlement (UE) nº 648/2012.»;</w:t>
      </w:r>
      <w:bookmarkEnd w:id="3"/>
    </w:p>
    <w:p w:rsidRPr="00040CBD" w:rsidR="00203F23" w:rsidP="00203F23" w:rsidRDefault="00203F23">
      <w:pPr>
        <w:pStyle w:val="Titrearticle"/>
        <w:keepLines/>
        <w:rPr>
          <w:noProof/>
        </w:rPr>
      </w:pPr>
      <w:r>
        <w:t xml:space="preserve">Article 3</w:t>
      </w:r>
    </w:p>
    <w:p w:rsidRPr="00040CBD" w:rsidR="00203F23" w:rsidP="00203F23" w:rsidRDefault="00203F23">
      <w:pPr>
        <w:pStyle w:val="Titrearticle"/>
        <w:spacing w:before="120"/>
        <w:rPr>
          <w:b/>
          <w:i w:val="0"/>
          <w:noProof/>
        </w:rPr>
      </w:pPr>
      <w:r>
        <w:rPr>
          <w:b/>
          <w:i w:val="0"/>
        </w:rPr>
        <w:t xml:space="preserve">Modifications de la directive (UE) 2019/2034</w:t>
      </w:r>
    </w:p>
    <w:p w:rsidRPr="00040CBD" w:rsidR="00203F23" w:rsidP="00203F23" w:rsidRDefault="00203F23">
      <w:pPr>
        <w:keepNext/>
        <w:keepLines/>
        <w:spacing w:before="240"/>
        <w:outlineLvl w:val="0"/>
        <w:rPr>
          <w:noProof/>
          <w:szCs w:val="24"/>
        </w:rPr>
      </w:pPr>
      <w:r>
        <w:t xml:space="preserve">La directive (UE) 2019/2034 est modifiée comme suit:</w:t>
      </w:r>
    </w:p>
    <w:p w:rsidRPr="00040CBD" w:rsidR="00203F23" w:rsidP="00203F23" w:rsidRDefault="00203F23">
      <w:pPr>
        <w:tabs>
          <w:tab w:val="left" w:pos="567"/>
        </w:tabs>
        <w:rPr>
          <w:noProof/>
          <w:szCs w:val="24"/>
          <w:rFonts w:eastAsiaTheme="minorHAnsi"/>
        </w:rPr>
      </w:pPr>
      <w:r>
        <w:t xml:space="preserve">1)</w:t>
      </w:r>
      <w:r>
        <w:tab/>
      </w:r>
      <w:r>
        <w:t xml:space="preserve">À l’article 26, paragraphe 1, le point b) est remplacé par le texte suivant:</w:t>
      </w:r>
    </w:p>
    <w:p w:rsidRPr="00040CBD" w:rsidR="00203F23" w:rsidP="00203F23" w:rsidRDefault="00203F23">
      <w:pPr>
        <w:tabs>
          <w:tab w:val="left" w:pos="567"/>
        </w:tabs>
        <w:rPr>
          <w:noProof/>
          <w:szCs w:val="24"/>
        </w:rPr>
      </w:pPr>
      <w:r>
        <w:t xml:space="preserve">«b) des processus efficaces d’identification, de gestion, de suivi et de déclaration des risques auxquels ces entreprises d’investissement sont ou pourraient être exposées, ou des risques qu’elles font peser ou sont susceptibles de faire peser sur d’autres, y compris des risques de concentration découlant d’expositions sur des contreparties centrales, en tenant compte des conditions énoncées à l’article 7 bis du règlement (UE) nº 648/2012.»</w:t>
      </w:r>
    </w:p>
    <w:p w:rsidRPr="00040CBD" w:rsidR="00203F23" w:rsidP="00203F23" w:rsidRDefault="00203F23">
      <w:pPr>
        <w:tabs>
          <w:tab w:val="left" w:pos="567"/>
        </w:tabs>
        <w:rPr>
          <w:noProof/>
          <w:szCs w:val="24"/>
        </w:rPr>
      </w:pPr>
      <w:r>
        <w:t xml:space="preserve"> </w:t>
      </w:r>
      <w:r>
        <w:t xml:space="preserve">2)</w:t>
      </w:r>
      <w:r>
        <w:tab/>
      </w:r>
      <w:r>
        <w:t xml:space="preserve">L’article 29, paragraphe 1, est modifié comme suit:</w:t>
      </w:r>
    </w:p>
    <w:p w:rsidRPr="00040CBD" w:rsidR="00203F23" w:rsidP="00203F23" w:rsidRDefault="00203F23">
      <w:pPr>
        <w:ind w:left="1134" w:hanging="567"/>
        <w:rPr>
          <w:noProof/>
          <w:szCs w:val="24"/>
        </w:rPr>
      </w:pPr>
      <w:r>
        <w:t xml:space="preserve">a)</w:t>
      </w:r>
      <w:r>
        <w:tab/>
      </w:r>
      <w:r>
        <w:t xml:space="preserve">le point e) suivant est ajouté:</w:t>
      </w:r>
    </w:p>
    <w:p w:rsidRPr="00040CBD" w:rsidR="00203F23" w:rsidP="00203F23" w:rsidRDefault="00203F23">
      <w:pPr>
        <w:shd w:val="clear" w:color="auto" w:fill="FFFFFF" w:themeFill="background1"/>
        <w:spacing w:line="312" w:lineRule="atLeast"/>
        <w:ind w:left="1701" w:hanging="567"/>
        <w:rPr>
          <w:noProof/>
          <w:color w:val="333333"/>
          <w:szCs w:val="24"/>
        </w:rPr>
      </w:pPr>
      <w:r>
        <w:rPr>
          <w:color w:val="333333"/>
        </w:rPr>
        <w:t xml:space="preserve">«e)</w:t>
      </w:r>
      <w:r>
        <w:rPr>
          <w:color w:val="333333"/>
        </w:rPr>
        <w:tab/>
      </w:r>
      <w:r>
        <w:rPr>
          <w:color w:val="333333"/>
        </w:rPr>
        <w:t xml:space="preserve">les causes et effets significatifs des risques de concentration découlant d’expositions sur des contreparties centrales, et toute incidence significative sur les fonds propres.»;</w:t>
      </w:r>
    </w:p>
    <w:p w:rsidRPr="00040CBD" w:rsidR="00203F23" w:rsidP="00203F23" w:rsidRDefault="00203F23">
      <w:pPr>
        <w:shd w:val="clear" w:color="auto" w:fill="FFFFFF" w:themeFill="background1"/>
        <w:spacing w:line="312" w:lineRule="atLeast"/>
        <w:ind w:left="1134" w:hanging="567"/>
        <w:rPr>
          <w:noProof/>
          <w:color w:val="333333"/>
          <w:szCs w:val="24"/>
        </w:rPr>
      </w:pPr>
      <w:r>
        <w:rPr>
          <w:color w:val="333333"/>
        </w:rPr>
        <w:t xml:space="preserve">b)</w:t>
      </w:r>
      <w:r>
        <w:rPr>
          <w:color w:val="333333"/>
        </w:rPr>
        <w:tab/>
      </w:r>
      <w:r>
        <w:rPr>
          <w:color w:val="333333"/>
        </w:rPr>
        <w:t xml:space="preserve">l’alinéa suivant est ajouté:</w:t>
      </w:r>
    </w:p>
    <w:p w:rsidRPr="00040CBD" w:rsidR="00203F23" w:rsidP="00203F23" w:rsidRDefault="00203F23">
      <w:pPr>
        <w:shd w:val="clear" w:color="auto" w:fill="FFFFFF" w:themeFill="background1"/>
        <w:spacing w:line="312" w:lineRule="atLeast"/>
        <w:ind w:left="1134"/>
        <w:rPr>
          <w:noProof/>
          <w:color w:val="333333"/>
          <w:szCs w:val="24"/>
        </w:rPr>
      </w:pPr>
      <w:r>
        <w:rPr>
          <w:color w:val="333333"/>
        </w:rPr>
        <w:t xml:space="preserve">«Aux fins du premier alinéa, point e), les États membres veillent à ce que l’organe de direction mette en place des plans spécifiques et des objectifs quantifiables, respectant les proportions fixées conformément à l’article 7 bis du règlement (UE) nº 648/2012, pour surveiller et traiter le risque de concentration découlant d’expositions sur des contreparties centrales qui offrent des services d’importance systémique substantielle pour l’Union ou pour un ou plusieurs de ses États membres.»;</w:t>
      </w:r>
    </w:p>
    <w:p w:rsidRPr="00040CBD" w:rsidR="00203F23" w:rsidP="00203F23" w:rsidRDefault="00203F23">
      <w:pPr>
        <w:shd w:val="clear" w:color="auto" w:fill="FFFFFF" w:themeFill="background1"/>
        <w:tabs>
          <w:tab w:val="left" w:pos="567"/>
        </w:tabs>
        <w:spacing w:line="312" w:lineRule="atLeast"/>
        <w:rPr>
          <w:noProof/>
          <w:color w:val="333333"/>
          <w:szCs w:val="24"/>
        </w:rPr>
      </w:pPr>
      <w:r>
        <w:rPr>
          <w:color w:val="333333"/>
        </w:rPr>
        <w:t xml:space="preserve">3)</w:t>
      </w:r>
      <w:r>
        <w:rPr>
          <w:color w:val="333333"/>
        </w:rPr>
        <w:tab/>
      </w:r>
      <w:r>
        <w:rPr>
          <w:color w:val="333333"/>
        </w:rPr>
        <w:t xml:space="preserve">À l’article 36, paragraphe 1, l’alinéa suivant est ajouté:</w:t>
      </w:r>
    </w:p>
    <w:p w:rsidRPr="00040CBD" w:rsidR="00203F23" w:rsidP="00203F23" w:rsidRDefault="00203F23">
      <w:pPr>
        <w:shd w:val="clear" w:color="auto" w:fill="FFFFFF" w:themeFill="background1"/>
        <w:spacing w:line="312" w:lineRule="atLeast"/>
        <w:ind w:left="567"/>
        <w:rPr>
          <w:noProof/>
          <w:color w:val="333333"/>
          <w:szCs w:val="24"/>
        </w:rPr>
      </w:pPr>
      <w:r>
        <w:rPr>
          <w:color w:val="333333"/>
        </w:rPr>
        <w:t xml:space="preserve">«Aux fins du premier alinéa, point a), les autorités compétentes évaluent et suivent l’évolution des pratiques des entreprises d’investissement en matière de gestion de leurs risques de concentration découlant d’expositions sur des contreparties centrales, y compris les plans élaborés conformément à l’article 29, paragraphe 1, point e), de la présente directive, ainsi que les progrès accomplis en termes d’adaptation de leur modèle d’entreprise aux objectifs stratégiques pertinents de l’Union, en tenant compte des exigences énoncées à l’article 7 bis du règlement (UE) nº 648/2012.»;</w:t>
      </w:r>
    </w:p>
    <w:p w:rsidRPr="00040CBD" w:rsidR="00203F23" w:rsidP="00203F23" w:rsidRDefault="00203F23">
      <w:pPr>
        <w:shd w:val="clear" w:color="auto" w:fill="FFFFFF" w:themeFill="background1"/>
        <w:tabs>
          <w:tab w:val="left" w:pos="567"/>
        </w:tabs>
        <w:spacing w:line="312" w:lineRule="atLeast"/>
        <w:rPr>
          <w:noProof/>
          <w:color w:val="333333"/>
          <w:szCs w:val="24"/>
        </w:rPr>
      </w:pPr>
      <w:r>
        <w:rPr>
          <w:color w:val="333333"/>
        </w:rPr>
        <w:t xml:space="preserve">4)</w:t>
      </w:r>
      <w:r>
        <w:rPr>
          <w:color w:val="333333"/>
        </w:rPr>
        <w:t xml:space="preserve"> </w:t>
      </w:r>
      <w:r>
        <w:rPr>
          <w:color w:val="333333"/>
        </w:rPr>
        <w:tab/>
      </w:r>
      <w:r>
        <w:rPr>
          <w:color w:val="333333"/>
        </w:rPr>
        <w:t xml:space="preserve">L’article 39, paragraphe 2, est modifié comme suit:</w:t>
      </w:r>
    </w:p>
    <w:p w:rsidRPr="00040CBD" w:rsidR="00203F23" w:rsidP="00203F23" w:rsidRDefault="00203F23">
      <w:pPr>
        <w:shd w:val="clear" w:color="auto" w:fill="FFFFFF" w:themeFill="background1"/>
        <w:spacing w:line="312" w:lineRule="atLeast"/>
        <w:ind w:left="1134" w:hanging="567"/>
        <w:rPr>
          <w:noProof/>
          <w:color w:val="333333"/>
          <w:szCs w:val="24"/>
        </w:rPr>
      </w:pPr>
      <w:r>
        <w:rPr>
          <w:color w:val="333333"/>
        </w:rPr>
        <w:t xml:space="preserve">a)</w:t>
      </w:r>
      <w:r>
        <w:rPr>
          <w:color w:val="333333"/>
        </w:rPr>
        <w:tab/>
      </w:r>
      <w:r>
        <w:rPr>
          <w:color w:val="333333"/>
        </w:rPr>
        <w:t xml:space="preserve"> </w:t>
      </w:r>
      <w:r>
        <w:rPr>
          <w:color w:val="333333"/>
        </w:rPr>
        <w:t xml:space="preserve">la partie introductive est remplacée par le texte suivant:</w:t>
      </w:r>
    </w:p>
    <w:p w:rsidRPr="00040CBD" w:rsidR="00203F23" w:rsidP="00203F23" w:rsidRDefault="00203F23">
      <w:pPr>
        <w:shd w:val="clear" w:color="auto" w:fill="FFFFFF" w:themeFill="background1"/>
        <w:spacing w:line="312" w:lineRule="atLeast"/>
        <w:ind w:left="1134"/>
        <w:rPr>
          <w:noProof/>
          <w:color w:val="333333"/>
          <w:szCs w:val="24"/>
        </w:rPr>
      </w:pPr>
      <w:r>
        <w:rPr>
          <w:color w:val="333333"/>
        </w:rPr>
        <w:t xml:space="preserve">«Aux fins de l’article 29, point e), de l’article 36, de l’article 37, paragraphe 3, et de l’article 39 de la présente directive, ainsi que de l’application du règlement (UE) nº 575/2013, les autorités compétentes sont au moins habilitées à:»;</w:t>
      </w:r>
    </w:p>
    <w:p w:rsidRPr="00040CBD" w:rsidR="00203F23" w:rsidP="00203F23" w:rsidRDefault="00203F23">
      <w:pPr>
        <w:shd w:val="clear" w:color="auto" w:fill="FFFFFF" w:themeFill="background1"/>
        <w:spacing w:line="312" w:lineRule="atLeast"/>
        <w:ind w:left="1134" w:hanging="567"/>
        <w:rPr>
          <w:noProof/>
          <w:color w:val="333333"/>
          <w:szCs w:val="24"/>
        </w:rPr>
      </w:pPr>
      <w:r>
        <w:rPr>
          <w:color w:val="333333"/>
        </w:rPr>
        <w:t xml:space="preserve">b)</w:t>
      </w:r>
      <w:r>
        <w:rPr>
          <w:color w:val="333333"/>
        </w:rPr>
        <w:tab/>
      </w:r>
      <w:r>
        <w:rPr>
          <w:color w:val="333333"/>
        </w:rPr>
        <w:t xml:space="preserve">le point n) suivant est ajouté:</w:t>
      </w:r>
    </w:p>
    <w:p w:rsidRPr="00040CBD" w:rsidR="00203F23" w:rsidP="00203F23" w:rsidRDefault="00203F23">
      <w:pPr>
        <w:shd w:val="clear" w:color="auto" w:fill="FFFFFF" w:themeFill="background1"/>
        <w:spacing w:line="312" w:lineRule="atLeast"/>
        <w:ind w:left="1701" w:hanging="567"/>
        <w:rPr>
          <w:noProof/>
          <w:color w:val="333333"/>
          <w:szCs w:val="24"/>
        </w:rPr>
      </w:pPr>
      <w:r>
        <w:rPr>
          <w:color w:val="333333"/>
        </w:rPr>
        <w:t xml:space="preserve">«n)</w:t>
      </w:r>
      <w:r>
        <w:rPr>
          <w:color w:val="333333"/>
        </w:rPr>
        <w:tab/>
      </w:r>
      <w:r>
        <w:rPr>
          <w:color w:val="333333"/>
        </w:rPr>
        <w:t xml:space="preserve">«exiger des établissements, si elles estiment qu’il existe un risque de concentration excessif sur une contrepartie centrale, qu’ils réduisent leurs expositions sur celle-ci ou qu’ils réalignent leurs expositions entre leurs différents comptes de compensation, conformément à l’article 7 bis du règlement (UE) nº 648/2012.»;</w:t>
      </w:r>
    </w:p>
    <w:p w:rsidRPr="00040CBD" w:rsidR="00203F23" w:rsidP="00203F23" w:rsidRDefault="00203F23">
      <w:pPr>
        <w:pStyle w:val="Titrearticle"/>
        <w:rPr>
          <w:noProof/>
        </w:rPr>
      </w:pPr>
      <w:r>
        <w:t xml:space="preserve">Article 4</w:t>
      </w:r>
    </w:p>
    <w:p w:rsidRPr="00040CBD" w:rsidR="00203F23" w:rsidP="00203F23" w:rsidRDefault="00203F23">
      <w:pPr>
        <w:pStyle w:val="Titrearticle"/>
        <w:spacing w:before="120"/>
        <w:rPr>
          <w:b/>
          <w:i w:val="0"/>
          <w:noProof/>
        </w:rPr>
      </w:pPr>
      <w:r>
        <w:rPr>
          <w:b/>
          <w:i w:val="0"/>
        </w:rPr>
        <w:t xml:space="preserve">Transposition</w:t>
      </w:r>
    </w:p>
    <w:p w:rsidRPr="00040CBD" w:rsidR="00203F23" w:rsidP="00203F23" w:rsidRDefault="00203F23">
      <w:pPr>
        <w:shd w:val="clear" w:color="auto" w:fill="FFFFFF" w:themeFill="background1"/>
        <w:tabs>
          <w:tab w:val="left" w:pos="567"/>
        </w:tabs>
        <w:spacing w:line="312" w:lineRule="atLeast"/>
        <w:rPr>
          <w:noProof/>
          <w:color w:val="333333"/>
          <w:szCs w:val="24"/>
        </w:rPr>
      </w:pPr>
      <w:r>
        <w:rPr>
          <w:color w:val="333333"/>
        </w:rPr>
        <w:t xml:space="preserve">1.</w:t>
      </w:r>
      <w:r>
        <w:rPr>
          <w:color w:val="333333"/>
        </w:rPr>
        <w:tab/>
      </w:r>
      <w:r>
        <w:rPr>
          <w:color w:val="333333"/>
        </w:rPr>
        <w:t xml:space="preserve">Les États membres mettent en vigueur les dispositions législatives, réglementaires et administratives nécessaires pour se conformer à la présente directive au plus tard le … [</w:t>
      </w:r>
      <w:r>
        <w:rPr>
          <w:color w:val="333333"/>
          <w:i/>
          <w:iCs/>
        </w:rPr>
        <w:t xml:space="preserve">OP: veuillez insérer la date correspondant à 12 mois après la date d’entrée en vigueur du règlement révisant le règlement EMIR</w:t>
      </w:r>
      <w:r>
        <w:rPr>
          <w:color w:val="333333"/>
        </w:rPr>
        <w:t xml:space="preserve">].</w:t>
      </w:r>
      <w:r>
        <w:rPr>
          <w:color w:val="333333"/>
        </w:rPr>
        <w:t xml:space="preserve"> </w:t>
      </w:r>
      <w:r>
        <w:rPr>
          <w:color w:val="333333"/>
        </w:rPr>
        <w:t xml:space="preserve">Ils communiquent immédiatement à la Commission le texte de ces dispositions.</w:t>
      </w:r>
    </w:p>
    <w:p w:rsidRPr="00040CBD" w:rsidR="00203F23" w:rsidP="00203F23" w:rsidRDefault="00203F23">
      <w:pPr>
        <w:shd w:val="clear" w:color="auto" w:fill="FFFFFF" w:themeFill="background1"/>
        <w:tabs>
          <w:tab w:val="left" w:pos="567"/>
        </w:tabs>
        <w:spacing w:line="312" w:lineRule="atLeast"/>
        <w:rPr>
          <w:noProof/>
          <w:color w:val="333333"/>
          <w:szCs w:val="24"/>
        </w:rPr>
      </w:pPr>
      <w:r>
        <w:rPr>
          <w:color w:val="333333"/>
        </w:rPr>
        <w:t xml:space="preserve">Lorsque les États membres adoptent ces dispositions, celles-ci contiennent une référence à la présente directive ou sont accompagnées d’une telle référence lors de leur publication officielle.</w:t>
      </w:r>
      <w:r>
        <w:rPr>
          <w:color w:val="333333"/>
        </w:rPr>
        <w:t xml:space="preserve"> </w:t>
      </w:r>
      <w:r>
        <w:rPr>
          <w:color w:val="333333"/>
        </w:rPr>
        <w:t xml:space="preserve">Les modalités de cette référence sont arrêtées par les États membres.</w:t>
      </w:r>
      <w:r>
        <w:rPr>
          <w:color w:val="333333"/>
        </w:rPr>
        <w:t xml:space="preserve"> </w:t>
      </w:r>
    </w:p>
    <w:p w:rsidRPr="00040CBD" w:rsidR="00203F23" w:rsidP="00203F23" w:rsidRDefault="00203F23">
      <w:pPr>
        <w:shd w:val="clear" w:color="auto" w:fill="FFFFFF" w:themeFill="background1"/>
        <w:tabs>
          <w:tab w:val="left" w:pos="567"/>
        </w:tabs>
        <w:spacing w:line="312" w:lineRule="atLeast"/>
        <w:rPr>
          <w:noProof/>
          <w:color w:val="333333"/>
          <w:szCs w:val="24"/>
        </w:rPr>
      </w:pPr>
      <w:r>
        <w:rPr>
          <w:color w:val="333333"/>
        </w:rPr>
        <w:t xml:space="preserve">2.</w:t>
      </w:r>
      <w:r>
        <w:rPr>
          <w:color w:val="333333"/>
        </w:rPr>
        <w:tab/>
      </w:r>
      <w:r>
        <w:rPr>
          <w:color w:val="333333"/>
        </w:rPr>
        <w:t xml:space="preserve">Les États membres communiquent à la Commission le texte des dispositions essentielles de droit interne qu’ils adoptent dans le domaine couvert par la présente directive.</w:t>
      </w:r>
    </w:p>
    <w:p w:rsidRPr="00040CBD" w:rsidR="00203F23" w:rsidP="00203F23" w:rsidRDefault="00203F23">
      <w:pPr>
        <w:pStyle w:val="Titrearticle"/>
        <w:rPr>
          <w:noProof/>
        </w:rPr>
      </w:pPr>
      <w:r>
        <w:t xml:space="preserve">Article 5</w:t>
      </w:r>
    </w:p>
    <w:p w:rsidRPr="00040CBD" w:rsidR="00203F23" w:rsidP="00203F23" w:rsidRDefault="00203F23">
      <w:pPr>
        <w:pStyle w:val="Titrearticle"/>
        <w:spacing w:before="120"/>
        <w:rPr>
          <w:b/>
          <w:bCs/>
          <w:i w:val="0"/>
          <w:noProof/>
        </w:rPr>
      </w:pPr>
      <w:r>
        <w:rPr>
          <w:b/>
          <w:i w:val="0"/>
        </w:rPr>
        <w:t xml:space="preserve">Entrée en vigueur</w:t>
      </w:r>
    </w:p>
    <w:p w:rsidRPr="00040CBD" w:rsidR="00203F23" w:rsidP="00203F23" w:rsidRDefault="00203F23">
      <w:pPr>
        <w:shd w:val="clear" w:color="auto" w:fill="FFFFFF" w:themeFill="background1"/>
        <w:spacing w:line="312" w:lineRule="atLeast"/>
        <w:rPr>
          <w:noProof/>
          <w:color w:val="333333"/>
          <w:szCs w:val="24"/>
        </w:rPr>
      </w:pPr>
      <w:r>
        <w:rPr>
          <w:color w:val="333333"/>
        </w:rPr>
        <w:t xml:space="preserve">La présente directive entre en vigueur le vingtième jour suivant celui de sa publication au Journal officiel de l’Union européenne.</w:t>
      </w:r>
    </w:p>
    <w:p w:rsidRPr="00040CBD" w:rsidR="00203F23" w:rsidP="00203F23" w:rsidRDefault="00203F23">
      <w:pPr>
        <w:pStyle w:val="Titrearticle"/>
        <w:rPr>
          <w:noProof/>
        </w:rPr>
      </w:pPr>
      <w:r>
        <w:t xml:space="preserve">Article 6</w:t>
      </w:r>
    </w:p>
    <w:p w:rsidRPr="00040CBD" w:rsidR="00203F23" w:rsidP="00203F23" w:rsidRDefault="00203F23">
      <w:pPr>
        <w:pStyle w:val="Titrearticle"/>
        <w:spacing w:before="120"/>
        <w:rPr>
          <w:b/>
          <w:bCs/>
          <w:i w:val="0"/>
          <w:noProof/>
        </w:rPr>
      </w:pPr>
      <w:r>
        <w:rPr>
          <w:b/>
          <w:i w:val="0"/>
        </w:rPr>
        <w:t xml:space="preserve">Destinataires</w:t>
      </w:r>
    </w:p>
    <w:p w:rsidRPr="00040CBD" w:rsidR="00203F23" w:rsidP="00203F23" w:rsidRDefault="00203F23">
      <w:pPr>
        <w:keepNext/>
        <w:keepLines/>
        <w:shd w:val="clear" w:color="auto" w:fill="FFFFFF" w:themeFill="background1"/>
        <w:spacing w:line="312" w:lineRule="atLeast"/>
        <w:rPr>
          <w:noProof/>
        </w:rPr>
      </w:pPr>
      <w:r>
        <w:rPr>
          <w:color w:val="333333"/>
        </w:rPr>
        <w:t xml:space="preserve">Les États membres sont destinataires de la présente directive.</w:t>
      </w:r>
    </w:p>
    <w:p w:rsidRPr="00040CBD" w:rsidR="00203F23" w:rsidP="00203F23" w:rsidRDefault="00203F23">
      <w:pPr>
        <w:pStyle w:val="Fait"/>
        <w:rPr>
          <w:noProof/>
        </w:rPr>
      </w:pPr>
      <w:r>
        <w:t xml:space="preserve">Fait à Bruxelles, le</w:t>
      </w:r>
    </w:p>
    <w:p w:rsidRPr="00040CBD" w:rsidR="00203F23" w:rsidP="00203F23" w:rsidRDefault="00203F23">
      <w:pPr>
        <w:pStyle w:val="Institutionquisigne"/>
        <w:rPr>
          <w:noProof/>
        </w:rPr>
      </w:pPr>
      <w:r>
        <w:tab/>
      </w:r>
      <w:r>
        <w:t xml:space="preserve">Par la Commission</w:t>
      </w:r>
    </w:p>
    <w:p w:rsidRPr="00040CBD" w:rsidR="00203F23" w:rsidP="00203F23" w:rsidRDefault="00203F23">
      <w:pPr>
        <w:pStyle w:val="Personnequisigne"/>
        <w:rPr>
          <w:noProof/>
        </w:rPr>
      </w:pPr>
      <w:r>
        <w:tab/>
      </w:r>
      <w:r>
        <w:t xml:space="preserve">La Présidente</w:t>
      </w:r>
      <w:r>
        <w:br/>
      </w:r>
      <w:r>
        <w:tab/>
      </w:r>
      <w:r>
        <w:t xml:space="preserve">Ursula VON DER LEYEN</w:t>
      </w:r>
    </w:p>
    <w:p w:rsidRPr="00040CBD" w:rsidR="00203F23" w:rsidP="00203F23" w:rsidRDefault="00203F23">
      <w:pPr>
        <w:pStyle w:val="NormalCenter12a"/>
      </w:pPr>
    </w:p>
    <w:p w:rsidRPr="00040CBD" w:rsidR="00203F23" w:rsidP="00203F23" w:rsidRDefault="00203F23">
      <w:pPr>
        <w:widowControl/>
        <w:sectPr w:rsidRPr="00040CBD" w:rsidR="00203F23" w:rsidSect="00203F2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Pr="00040CBD" w:rsidR="00203F23" w:rsidP="00203F23" w:rsidRDefault="00203F23">
      <w:pPr>
        <w:widowControl/>
      </w:pPr>
    </w:p>
    <w:p w:rsidRPr="00040CBD" w:rsidR="00203F23" w:rsidP="00203F23" w:rsidRDefault="00203F23">
      <w:pPr>
        <w:pStyle w:val="PageHeading"/>
      </w:pPr>
      <w:r>
        <w:br w:type="page"/>
      </w:r>
      <w:bookmarkStart w:id="4" w:name="_Toc152692086"/>
      <w:bookmarkStart w:id="5" w:name="_Toc155193023"/>
      <w:r>
        <w:t xml:space="preserve">ANNEXE:</w:t>
      </w:r>
      <w:r>
        <w:t xml:space="preserve"> </w:t>
      </w:r>
      <w:r>
        <w:t xml:space="preserve">ENTITÉS OU PERSONNES</w:t>
      </w:r>
      <w:r>
        <w:br/>
      </w:r>
      <w:r>
        <w:t xml:space="preserve">DONT LE RAPPORTEUR POUR AVIS A REÇU DES CONTRIBUTIONS</w:t>
      </w:r>
      <w:bookmarkEnd w:id="4"/>
      <w:bookmarkEnd w:id="5"/>
    </w:p>
    <w:p w:rsidRPr="00040CBD" w:rsidR="00203F23" w:rsidP="00203F23" w:rsidRDefault="00203F23"/>
    <w:p w:rsidRPr="00040CBD" w:rsidR="00203F23" w:rsidP="00203F23" w:rsidRDefault="00203F23">
      <w:pPr>
        <w:widowControl/>
      </w:pPr>
    </w:p>
    <w:p w:rsidRPr="00040CBD" w:rsidR="00203F23" w:rsidP="00203F23" w:rsidRDefault="00203F23">
      <w:pPr>
        <w:rPr>
          <w:sz w:val="22"/>
          <w:szCs w:val="22"/>
          <w:rFonts w:eastAsia="Calibri"/>
        </w:rPr>
      </w:pPr>
      <w:r>
        <w:rPr>
          <w:sz w:val="22"/>
        </w:rPr>
        <w:t xml:space="preserve">Conformément à l’article 8 de l’annexe I du règlement intérieur, la rapporteure déclare avoir reçu des contributions des entités ou personnes suivantes pour l’élaboration du rapport, préalablement à son adoption en commission:</w:t>
      </w:r>
    </w:p>
    <w:p w:rsidRPr="00040CBD" w:rsidR="00203F23" w:rsidP="00203F23" w:rsidRDefault="00203F23">
      <w:pPr>
        <w:rPr>
          <w:rFonts w:eastAsia="Calibri"/>
          <w:sz w:val="22"/>
          <w:szCs w:val="22"/>
        </w:rPr>
      </w:pPr>
    </w:p>
    <w:p w:rsidRPr="00040CBD" w:rsidR="00203F23" w:rsidP="00203F23" w:rsidRDefault="00203F23"/>
    <w:tbl>
      <w:tblPr>
        <w:tblW w:w="9067" w:type="dxa"/>
        <w:tblInd w:w="98" w:type="dxa"/>
        <w:tblLayout w:type="fixed"/>
        <w:tblCellMar>
          <w:left w:w="0" w:type="dxa"/>
          <w:right w:w="0" w:type="dxa"/>
        </w:tblCellMar>
        <w:tblLook w:val="01E0" w:firstRow="1" w:lastRow="1" w:firstColumn="1" w:lastColumn="1" w:noHBand="0" w:noVBand="0"/>
      </w:tblPr>
      <w:tblGrid>
        <w:gridCol w:w="9067"/>
      </w:tblGrid>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hideMark/>
          </w:tcPr>
          <w:p w:rsidRPr="00040CBD" w:rsidR="00203F23" w:rsidP="005A7C50" w:rsidRDefault="00203F23">
            <w:pPr>
              <w:spacing w:line="260" w:lineRule="exact"/>
              <w:ind w:left="3567" w:right="3563"/>
              <w:jc w:val="both"/>
              <w:rPr>
                <w:b/>
                <w:sz w:val="22"/>
                <w:szCs w:val="22"/>
                <w:rFonts w:eastAsia="Calibri"/>
              </w:rPr>
            </w:pPr>
            <w:r>
              <w:rPr>
                <w:b/>
                <w:sz w:val="22"/>
              </w:rPr>
              <w:t xml:space="preserve">Entité et/ou personne</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hideMark/>
          </w:tcPr>
          <w:p w:rsidRPr="00040CBD" w:rsidR="00203F23" w:rsidP="005A7C50" w:rsidRDefault="00203F23">
            <w:r>
              <w:t xml:space="preserve">ABN AMRO Clearing Bank</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Alternative Investment Management Association (AIMA)</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Association Française Des Marchés Financiers (AMAFI)</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Assonime, the Association of Italian Joint-Stock Companies</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Bank of America</w:t>
            </w:r>
            <w:r>
              <w:t xml:space="preserve"> </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Banque de France</w:t>
            </w:r>
            <w:r>
              <w:t xml:space="preserve"> </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Blackrock</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BNP Paribas</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BNY Mellon</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Bundesverband deutscher Banken (BdB)</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BVI Bundesverband Investment und.</w:t>
            </w:r>
            <w:r>
              <w:t xml:space="preserve"> </w:t>
            </w:r>
            <w:r>
              <w:t xml:space="preserve">Asset Management</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Cboe Clear Europe</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Citigroup</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Commodity Markets Council Europe (CMCE)</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Crédit Agricole</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Depository Trust and Clearing Corporation (DTCC)</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Deutsche Bank AG</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Deutsche Börse AG</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Deutsches Aktieninstitut</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DG FISMA</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Euronext Clearing</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European Association of Central Counterparty Clearing Houses (EACH)</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European Association of Corporate Treasurers (EACT)</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European Banking Federation (EBF)</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European Central Bank (ECB)</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European Economic and Social Committee (EESC)</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European Federation of Energy Traders (EFET)</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European Fund and Asset Management Association (EFAMA)</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European Securities and Markets Authority (ESMA)</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European Systemic Risk Board (ESRB)</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FIA European Principal Traders Association</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FleishmanHillard</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French Tresor</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FTI Consulting</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Goldman Sachs</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Hanbury Strategy</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HM Treasury</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Intercontinental Exchange (ICE)</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International Swaps and Derivatives Association (ISDA)</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Intesa Sanpaolo</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Joint Energy Associations Group (JEAG)</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JPMorgan Chase &amp; Co</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KDPW CCP Spółka Akcyjna</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Kreab</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LCH</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LCH SA</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NASDAQ</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Nordic Securities Association</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Permanent Representation of Belgium</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Permanent Representation of France</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Permanent Representation of Germany</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Permanent Representation of Spain</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Permanent Representation of the Netherlands</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Société Générale</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UK Mission to the European Union</w:t>
            </w:r>
          </w:p>
        </w:tc>
      </w:tr>
      <w:tr w:rsidRPr="00040CBD" w:rsidR="00203F23" w:rsidTr="005A7C50">
        <w:trPr>
          <w:trHeight w:val="278"/>
        </w:trPr>
        <w:tc>
          <w:tcPr>
            <w:tcW w:w="9067" w:type="dxa"/>
            <w:tcBorders>
              <w:top w:val="single" w:color="000000" w:sz="4" w:space="0"/>
              <w:left w:val="single" w:color="000000" w:sz="4" w:space="0"/>
              <w:bottom w:val="single" w:color="000000" w:sz="4" w:space="0"/>
              <w:right w:val="single" w:color="000000" w:sz="4" w:space="0"/>
            </w:tcBorders>
          </w:tcPr>
          <w:p w:rsidRPr="00040CBD" w:rsidR="00203F23" w:rsidP="005A7C50" w:rsidRDefault="00203F23">
            <w:r>
              <w:t xml:space="preserve">UniCredit</w:t>
            </w:r>
          </w:p>
        </w:tc>
      </w:tr>
    </w:tbl>
    <w:p w:rsidRPr="00040CBD" w:rsidR="00203F23" w:rsidP="00203F23" w:rsidRDefault="00203F23"/>
    <w:p w:rsidRPr="00040CBD" w:rsidR="00203F23" w:rsidP="00203F23" w:rsidRDefault="00203F23">
      <w:r>
        <w:rPr>
          <w:snapToGrid w:val="0"/>
        </w:rPr>
        <w:t xml:space="preserve">La liste ci-dessus est établie sous la responsabilité exclusive de la rapporteure.</w:t>
      </w:r>
      <w:r>
        <w:br w:type="page"/>
      </w:r>
    </w:p>
    <w:p w:rsidRPr="00040CBD" w:rsidR="00203F23" w:rsidP="00203F23" w:rsidRDefault="00203F23">
      <w:pPr>
        <w:pStyle w:val="PageHeading"/>
      </w:pPr>
      <w:bookmarkStart w:id="6" w:name="_Toc152692087"/>
      <w:bookmarkStart w:id="7" w:name="ProcPageRR"/>
      <w:bookmarkStart w:id="8" w:name="_Toc155193024"/>
      <w:r>
        <w:t xml:space="preserve">PROCÉDURE DE LA COMMISSION COMPÉTENTE AU FOND</w:t>
      </w:r>
      <w:bookmarkEnd w:id="6"/>
      <w:bookmarkEnd w:id="8"/>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Pr="00040CBD" w:rsidR="00203F23" w:rsidTr="005A7C50">
        <w:tc>
          <w:tcPr>
            <w:tcW w:w="3685" w:type="dxa"/>
            <w:tcBorders>
              <w:top w:val="single" w:color="000000" w:sz="8" w:space="0"/>
              <w:left w:val="single" w:color="000000" w:sz="8" w:space="0"/>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b/>
                <w:bCs/>
                <w:color w:val="000000"/>
                <w:sz w:val="20"/>
              </w:rPr>
            </w:pPr>
            <w:r>
              <w:rPr>
                <w:b/>
                <w:color w:val="000000"/>
                <w:sz w:val="20"/>
              </w:rPr>
              <w:t xml:space="preserve">Titre</w:t>
            </w:r>
          </w:p>
        </w:tc>
        <w:tc>
          <w:tcPr>
            <w:tcW w:w="5952" w:type="dxa"/>
            <w:gridSpan w:val="4"/>
            <w:tcBorders>
              <w:top w:val="single" w:color="000000" w:sz="8" w:space="0"/>
              <w:left w:val="nil"/>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color w:val="000000"/>
                <w:sz w:val="20"/>
              </w:rPr>
            </w:pPr>
            <w:r>
              <w:rPr>
                <w:color w:val="000000"/>
                <w:sz w:val="20"/>
              </w:rPr>
              <w:t xml:space="preserve">modifiant les directives 2009/65/UE, 2013/36/UE et (UE) 2019/2034 en ce qui concerne le traitement du risque de concentration vis-à-vis des contreparties centrales et du risque de contrepartie des transactions sur instruments dérivés faisant l’objet d’une compensation centrale</w:t>
            </w:r>
          </w:p>
        </w:tc>
      </w:tr>
      <w:tr w:rsidRPr="00040CBD" w:rsidR="00203F23" w:rsidTr="005A7C50">
        <w:tc>
          <w:tcPr>
            <w:tcW w:w="3685" w:type="dxa"/>
            <w:tcBorders>
              <w:top w:val="nil"/>
              <w:left w:val="single" w:color="000000" w:sz="8" w:space="0"/>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b/>
                <w:bCs/>
                <w:color w:val="000000"/>
                <w:sz w:val="20"/>
              </w:rPr>
            </w:pPr>
            <w:r>
              <w:rPr>
                <w:b/>
                <w:color w:val="000000"/>
                <w:sz w:val="20"/>
              </w:rPr>
              <w:t xml:space="preserve">Références</w:t>
            </w:r>
          </w:p>
        </w:tc>
        <w:tc>
          <w:tcPr>
            <w:tcW w:w="5952" w:type="dxa"/>
            <w:gridSpan w:val="4"/>
            <w:tcBorders>
              <w:top w:val="nil"/>
              <w:left w:val="nil"/>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color w:val="000000"/>
                <w:sz w:val="20"/>
              </w:rPr>
            </w:pPr>
            <w:r>
              <w:rPr>
                <w:color w:val="000000"/>
                <w:sz w:val="20"/>
              </w:rPr>
              <w:t xml:space="preserve">COM(2022)0698 – C9-0411/2022 – 2022/0404(COD)</w:t>
            </w:r>
          </w:p>
        </w:tc>
      </w:tr>
      <w:tr w:rsidRPr="00040CBD" w:rsidR="00203F23" w:rsidTr="005A7C50">
        <w:tc>
          <w:tcPr>
            <w:tcW w:w="3685" w:type="dxa"/>
            <w:tcBorders>
              <w:top w:val="single" w:color="000000" w:sz="8" w:space="0"/>
              <w:left w:val="single" w:color="000000" w:sz="8" w:space="0"/>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b/>
                <w:bCs/>
                <w:color w:val="000000"/>
                <w:sz w:val="20"/>
              </w:rPr>
            </w:pPr>
            <w:r>
              <w:rPr>
                <w:b/>
                <w:color w:val="000000"/>
                <w:sz w:val="20"/>
              </w:rPr>
              <w:t xml:space="preserve">Date de la présentation au PE</w:t>
            </w:r>
          </w:p>
        </w:tc>
        <w:tc>
          <w:tcPr>
            <w:tcW w:w="1530" w:type="dxa"/>
            <w:tcBorders>
              <w:top w:val="single" w:color="000000" w:sz="8" w:space="0"/>
              <w:left w:val="nil"/>
              <w:bottom w:val="single" w:color="000000" w:sz="8" w:space="0"/>
              <w:right w:val="nil"/>
            </w:tcBorders>
            <w:tcMar>
              <w:top w:w="79" w:type="dxa"/>
              <w:left w:w="79" w:type="dxa"/>
              <w:bottom w:w="79" w:type="dxa"/>
              <w:right w:w="79" w:type="dxa"/>
            </w:tcMar>
          </w:tcPr>
          <w:p w:rsidRPr="00040CBD" w:rsidR="00203F23" w:rsidP="005A7C50" w:rsidRDefault="00203F23">
            <w:pPr>
              <w:autoSpaceDE w:val="0"/>
              <w:autoSpaceDN w:val="0"/>
              <w:adjustRightInd w:val="0"/>
              <w:rPr>
                <w:color w:val="000000"/>
                <w:sz w:val="20"/>
              </w:rPr>
            </w:pPr>
            <w:r>
              <w:rPr>
                <w:color w:val="000000"/>
                <w:sz w:val="20"/>
              </w:rPr>
              <w:t xml:space="preserve">8.12.2022</w:t>
            </w:r>
          </w:p>
        </w:tc>
        <w:tc>
          <w:tcPr>
            <w:tcW w:w="1474" w:type="dxa"/>
            <w:tcBorders>
              <w:top w:val="single" w:color="000000" w:sz="8" w:space="0"/>
              <w:left w:val="nil"/>
              <w:bottom w:val="single" w:color="000000" w:sz="8" w:space="0"/>
              <w:right w:val="nil"/>
            </w:tcBorders>
            <w:tcMar>
              <w:top w:w="79" w:type="dxa"/>
              <w:left w:w="79" w:type="dxa"/>
              <w:bottom w:w="79" w:type="dxa"/>
              <w:right w:w="79" w:type="dxa"/>
            </w:tcMar>
          </w:tcPr>
          <w:p w:rsidRPr="00040CBD" w:rsidR="00203F23" w:rsidP="005A7C50" w:rsidRDefault="00203F23">
            <w:pPr>
              <w:autoSpaceDE w:val="0"/>
              <w:autoSpaceDN w:val="0"/>
              <w:adjustRightInd w:val="0"/>
              <w:rPr>
                <w:rFonts w:ascii="sans-serif" w:hAnsi="sans-serif" w:cs="sans-serif"/>
                <w:color w:val="000000"/>
                <w:szCs w:val="24"/>
              </w:rPr>
            </w:pPr>
          </w:p>
        </w:tc>
        <w:tc>
          <w:tcPr>
            <w:tcW w:w="1474" w:type="dxa"/>
            <w:tcBorders>
              <w:top w:val="single" w:color="000000" w:sz="8" w:space="0"/>
              <w:left w:val="nil"/>
              <w:bottom w:val="single" w:color="000000" w:sz="8" w:space="0"/>
              <w:right w:val="nil"/>
            </w:tcBorders>
            <w:tcMar>
              <w:top w:w="79" w:type="dxa"/>
              <w:left w:w="79" w:type="dxa"/>
              <w:bottom w:w="79" w:type="dxa"/>
              <w:right w:w="79" w:type="dxa"/>
            </w:tcMar>
          </w:tcPr>
          <w:p w:rsidRPr="00040CBD" w:rsidR="00203F23" w:rsidP="005A7C50" w:rsidRDefault="00203F23">
            <w:pPr>
              <w:autoSpaceDE w:val="0"/>
              <w:autoSpaceDN w:val="0"/>
              <w:adjustRightInd w:val="0"/>
              <w:rPr>
                <w:rFonts w:ascii="sans-serif" w:hAnsi="sans-serif" w:cs="sans-serif"/>
                <w:color w:val="000000"/>
                <w:szCs w:val="24"/>
              </w:rPr>
            </w:pPr>
          </w:p>
        </w:tc>
        <w:tc>
          <w:tcPr>
            <w:tcW w:w="1474" w:type="dxa"/>
            <w:tcBorders>
              <w:top w:val="single" w:color="000000" w:sz="8" w:space="0"/>
              <w:left w:val="nil"/>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rFonts w:ascii="sans-serif" w:hAnsi="sans-serif" w:cs="sans-serif"/>
                <w:color w:val="000000"/>
                <w:szCs w:val="24"/>
              </w:rPr>
            </w:pPr>
          </w:p>
        </w:tc>
      </w:tr>
      <w:tr w:rsidRPr="00040CBD" w:rsidR="00203F23" w:rsidTr="005A7C50">
        <w:tc>
          <w:tcPr>
            <w:tcW w:w="3685" w:type="dxa"/>
            <w:tcBorders>
              <w:top w:val="nil"/>
              <w:left w:val="single" w:color="000000" w:sz="8" w:space="0"/>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b/>
                <w:bCs/>
                <w:color w:val="000000"/>
                <w:sz w:val="20"/>
              </w:rPr>
            </w:pPr>
            <w:r>
              <w:rPr>
                <w:b/>
                <w:color w:val="000000"/>
                <w:sz w:val="20"/>
              </w:rPr>
              <w:t xml:space="preserve">Commission compétente au fond</w:t>
            </w:r>
          </w:p>
          <w:p w:rsidRPr="00040CBD" w:rsidR="00203F23" w:rsidP="005A7C50" w:rsidRDefault="00203F23">
            <w:pPr>
              <w:autoSpaceDE w:val="0"/>
              <w:autoSpaceDN w:val="0"/>
              <w:adjustRightInd w:val="0"/>
              <w:rPr>
                <w:color w:val="000000"/>
                <w:sz w:val="20"/>
              </w:rPr>
            </w:pPr>
            <w:r>
              <w:rPr>
                <w:color w:val="000000"/>
                <w:sz w:val="20"/>
              </w:rPr>
              <w:t xml:space="preserve">       </w:t>
            </w:r>
            <w:r>
              <w:rPr>
                <w:color w:val="000000"/>
                <w:sz w:val="20"/>
              </w:rPr>
              <w:t xml:space="preserve">Date de l’annonce en séance</w:t>
            </w:r>
          </w:p>
        </w:tc>
        <w:tc>
          <w:tcPr>
            <w:tcW w:w="1530" w:type="dxa"/>
            <w:tcBorders>
              <w:top w:val="nil"/>
              <w:left w:val="nil"/>
              <w:bottom w:val="single" w:color="000000" w:sz="8" w:space="0"/>
              <w:right w:val="nil"/>
            </w:tcBorders>
            <w:tcMar>
              <w:top w:w="79" w:type="dxa"/>
              <w:left w:w="79" w:type="dxa"/>
              <w:bottom w:w="79" w:type="dxa"/>
              <w:right w:w="79" w:type="dxa"/>
            </w:tcMar>
          </w:tcPr>
          <w:p w:rsidRPr="00040CBD" w:rsidR="00203F23" w:rsidP="005A7C50" w:rsidRDefault="00203F23">
            <w:pPr>
              <w:autoSpaceDE w:val="0"/>
              <w:autoSpaceDN w:val="0"/>
              <w:adjustRightInd w:val="0"/>
              <w:rPr>
                <w:color w:val="000000"/>
                <w:sz w:val="20"/>
              </w:rPr>
            </w:pPr>
            <w:r>
              <w:rPr>
                <w:color w:val="000000"/>
                <w:sz w:val="20"/>
              </w:rPr>
              <w:t xml:space="preserve">ECON</w:t>
            </w:r>
          </w:p>
          <w:p w:rsidRPr="00040CBD" w:rsidR="00203F23" w:rsidP="005A7C50" w:rsidRDefault="00203F23">
            <w:pPr>
              <w:autoSpaceDE w:val="0"/>
              <w:autoSpaceDN w:val="0"/>
              <w:adjustRightInd w:val="0"/>
              <w:rPr>
                <w:color w:val="000000"/>
                <w:sz w:val="20"/>
              </w:rPr>
            </w:pPr>
            <w:r>
              <w:rPr>
                <w:color w:val="000000"/>
                <w:sz w:val="20"/>
              </w:rPr>
              <w:t xml:space="preserve">1.2.2023</w:t>
            </w:r>
          </w:p>
        </w:tc>
        <w:tc>
          <w:tcPr>
            <w:tcW w:w="1474" w:type="dxa"/>
            <w:tcBorders>
              <w:top w:val="nil"/>
              <w:left w:val="nil"/>
              <w:bottom w:val="single" w:color="000000" w:sz="8" w:space="0"/>
              <w:right w:val="nil"/>
            </w:tcBorders>
            <w:tcMar>
              <w:top w:w="79" w:type="dxa"/>
              <w:left w:w="79" w:type="dxa"/>
              <w:bottom w:w="79" w:type="dxa"/>
              <w:right w:w="79" w:type="dxa"/>
            </w:tcMar>
          </w:tcPr>
          <w:p w:rsidRPr="00040CBD" w:rsidR="00203F23" w:rsidP="005A7C50" w:rsidRDefault="00203F23">
            <w:pPr>
              <w:autoSpaceDE w:val="0"/>
              <w:autoSpaceDN w:val="0"/>
              <w:adjustRightInd w:val="0"/>
              <w:rPr>
                <w:rFonts w:ascii="sans-serif" w:hAnsi="sans-serif" w:cs="sans-serif"/>
                <w:color w:val="000000"/>
                <w:szCs w:val="24"/>
              </w:rPr>
            </w:pPr>
          </w:p>
        </w:tc>
        <w:tc>
          <w:tcPr>
            <w:tcW w:w="1474" w:type="dxa"/>
            <w:tcBorders>
              <w:top w:val="nil"/>
              <w:left w:val="nil"/>
              <w:bottom w:val="single" w:color="000000" w:sz="8" w:space="0"/>
              <w:right w:val="nil"/>
            </w:tcBorders>
            <w:tcMar>
              <w:top w:w="79" w:type="dxa"/>
              <w:left w:w="79" w:type="dxa"/>
              <w:bottom w:w="79" w:type="dxa"/>
              <w:right w:w="79" w:type="dxa"/>
            </w:tcMar>
          </w:tcPr>
          <w:p w:rsidRPr="00040CBD" w:rsidR="00203F23" w:rsidP="005A7C50" w:rsidRDefault="00203F23">
            <w:pPr>
              <w:autoSpaceDE w:val="0"/>
              <w:autoSpaceDN w:val="0"/>
              <w:adjustRightInd w:val="0"/>
              <w:rPr>
                <w:rFonts w:ascii="sans-serif" w:hAnsi="sans-serif" w:cs="sans-serif"/>
                <w:color w:val="000000"/>
                <w:szCs w:val="24"/>
              </w:rPr>
            </w:pPr>
          </w:p>
        </w:tc>
        <w:tc>
          <w:tcPr>
            <w:tcW w:w="1474" w:type="dxa"/>
            <w:tcBorders>
              <w:top w:val="nil"/>
              <w:left w:val="nil"/>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rFonts w:ascii="sans-serif" w:hAnsi="sans-serif" w:cs="sans-serif"/>
                <w:color w:val="000000"/>
                <w:szCs w:val="24"/>
              </w:rPr>
            </w:pPr>
          </w:p>
        </w:tc>
      </w:tr>
      <w:tr w:rsidRPr="00040CBD" w:rsidR="00203F23" w:rsidTr="005A7C50">
        <w:tc>
          <w:tcPr>
            <w:tcW w:w="3685" w:type="dxa"/>
            <w:tcBorders>
              <w:top w:val="single" w:color="000000" w:sz="8" w:space="0"/>
              <w:left w:val="single" w:color="000000" w:sz="8" w:space="0"/>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b/>
                <w:bCs/>
                <w:color w:val="000000"/>
                <w:sz w:val="20"/>
              </w:rPr>
            </w:pPr>
            <w:r>
              <w:rPr>
                <w:b/>
                <w:color w:val="000000"/>
                <w:sz w:val="20"/>
              </w:rPr>
              <w:t xml:space="preserve">Commissions saisies pour avis</w:t>
            </w:r>
          </w:p>
          <w:p w:rsidRPr="00040CBD" w:rsidR="00203F23" w:rsidP="005A7C50" w:rsidRDefault="00203F23">
            <w:pPr>
              <w:autoSpaceDE w:val="0"/>
              <w:autoSpaceDN w:val="0"/>
              <w:adjustRightInd w:val="0"/>
              <w:rPr>
                <w:color w:val="000000"/>
                <w:sz w:val="20"/>
              </w:rPr>
            </w:pPr>
            <w:r>
              <w:rPr>
                <w:color w:val="000000"/>
                <w:sz w:val="20"/>
              </w:rPr>
              <w:t xml:space="preserve">       </w:t>
            </w:r>
            <w:r>
              <w:rPr>
                <w:color w:val="000000"/>
                <w:sz w:val="20"/>
              </w:rPr>
              <w:t xml:space="preserve">Date de l’annonce en séance</w:t>
            </w:r>
          </w:p>
        </w:tc>
        <w:tc>
          <w:tcPr>
            <w:tcW w:w="1530" w:type="dxa"/>
            <w:tcBorders>
              <w:top w:val="single" w:color="000000" w:sz="8" w:space="0"/>
              <w:left w:val="nil"/>
              <w:bottom w:val="single" w:color="000000" w:sz="8" w:space="0"/>
              <w:right w:val="nil"/>
            </w:tcBorders>
            <w:tcMar>
              <w:top w:w="79" w:type="dxa"/>
              <w:left w:w="79" w:type="dxa"/>
              <w:bottom w:w="79" w:type="dxa"/>
              <w:right w:w="79" w:type="dxa"/>
            </w:tcMar>
          </w:tcPr>
          <w:p w:rsidRPr="00040CBD" w:rsidR="00203F23" w:rsidP="005A7C50" w:rsidRDefault="00203F23">
            <w:pPr>
              <w:autoSpaceDE w:val="0"/>
              <w:autoSpaceDN w:val="0"/>
              <w:adjustRightInd w:val="0"/>
              <w:rPr>
                <w:color w:val="000000"/>
                <w:sz w:val="20"/>
              </w:rPr>
            </w:pPr>
            <w:r>
              <w:rPr>
                <w:color w:val="000000"/>
                <w:sz w:val="20"/>
              </w:rPr>
              <w:t xml:space="preserve">JURI</w:t>
            </w:r>
          </w:p>
          <w:p w:rsidRPr="00040CBD" w:rsidR="00203F23" w:rsidP="005A7C50" w:rsidRDefault="00203F23">
            <w:pPr>
              <w:autoSpaceDE w:val="0"/>
              <w:autoSpaceDN w:val="0"/>
              <w:adjustRightInd w:val="0"/>
              <w:rPr>
                <w:color w:val="000000"/>
                <w:sz w:val="20"/>
              </w:rPr>
            </w:pPr>
            <w:r>
              <w:rPr>
                <w:color w:val="000000"/>
                <w:sz w:val="20"/>
              </w:rPr>
              <w:t xml:space="preserve">1.2.2023</w:t>
            </w:r>
          </w:p>
        </w:tc>
        <w:tc>
          <w:tcPr>
            <w:tcW w:w="1474" w:type="dxa"/>
            <w:tcBorders>
              <w:top w:val="single" w:color="000000" w:sz="8" w:space="0"/>
              <w:left w:val="nil"/>
              <w:bottom w:val="single" w:color="000000" w:sz="8" w:space="0"/>
              <w:right w:val="nil"/>
            </w:tcBorders>
            <w:tcMar>
              <w:top w:w="79" w:type="dxa"/>
              <w:left w:w="79" w:type="dxa"/>
              <w:bottom w:w="79" w:type="dxa"/>
              <w:right w:w="79" w:type="dxa"/>
            </w:tcMar>
          </w:tcPr>
          <w:p w:rsidRPr="00040CBD" w:rsidR="00203F23" w:rsidP="005A7C50" w:rsidRDefault="00203F23">
            <w:pPr>
              <w:autoSpaceDE w:val="0"/>
              <w:autoSpaceDN w:val="0"/>
              <w:adjustRightInd w:val="0"/>
              <w:rPr>
                <w:rFonts w:ascii="sans-serif" w:hAnsi="sans-serif" w:cs="sans-serif"/>
                <w:color w:val="000000"/>
                <w:szCs w:val="24"/>
              </w:rPr>
            </w:pPr>
          </w:p>
        </w:tc>
        <w:tc>
          <w:tcPr>
            <w:tcW w:w="1474" w:type="dxa"/>
            <w:tcBorders>
              <w:top w:val="single" w:color="000000" w:sz="8" w:space="0"/>
              <w:left w:val="nil"/>
              <w:bottom w:val="single" w:color="000000" w:sz="8" w:space="0"/>
              <w:right w:val="nil"/>
            </w:tcBorders>
            <w:tcMar>
              <w:top w:w="79" w:type="dxa"/>
              <w:left w:w="79" w:type="dxa"/>
              <w:bottom w:w="79" w:type="dxa"/>
              <w:right w:w="79" w:type="dxa"/>
            </w:tcMar>
          </w:tcPr>
          <w:p w:rsidRPr="00040CBD" w:rsidR="00203F23" w:rsidP="005A7C50" w:rsidRDefault="00203F23">
            <w:pPr>
              <w:autoSpaceDE w:val="0"/>
              <w:autoSpaceDN w:val="0"/>
              <w:adjustRightInd w:val="0"/>
              <w:rPr>
                <w:rFonts w:ascii="sans-serif" w:hAnsi="sans-serif" w:cs="sans-serif"/>
                <w:color w:val="000000"/>
                <w:szCs w:val="24"/>
              </w:rPr>
            </w:pPr>
          </w:p>
        </w:tc>
        <w:tc>
          <w:tcPr>
            <w:tcW w:w="1474" w:type="dxa"/>
            <w:tcBorders>
              <w:top w:val="single" w:color="000000" w:sz="8" w:space="0"/>
              <w:left w:val="nil"/>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rFonts w:ascii="sans-serif" w:hAnsi="sans-serif" w:cs="sans-serif"/>
                <w:color w:val="000000"/>
                <w:szCs w:val="24"/>
              </w:rPr>
            </w:pPr>
          </w:p>
        </w:tc>
      </w:tr>
      <w:tr w:rsidRPr="00040CBD" w:rsidR="00203F23" w:rsidTr="005A7C50">
        <w:tc>
          <w:tcPr>
            <w:tcW w:w="3685" w:type="dxa"/>
            <w:tcBorders>
              <w:top w:val="nil"/>
              <w:left w:val="single" w:color="000000" w:sz="8" w:space="0"/>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b/>
                <w:bCs/>
                <w:color w:val="000000"/>
                <w:sz w:val="20"/>
              </w:rPr>
            </w:pPr>
            <w:r>
              <w:rPr>
                <w:b/>
                <w:color w:val="000000"/>
                <w:sz w:val="20"/>
              </w:rPr>
              <w:t xml:space="preserve">Avis non émis</w:t>
            </w:r>
          </w:p>
          <w:p w:rsidRPr="00040CBD" w:rsidR="00203F23" w:rsidP="005A7C50" w:rsidRDefault="00203F23">
            <w:pPr>
              <w:autoSpaceDE w:val="0"/>
              <w:autoSpaceDN w:val="0"/>
              <w:adjustRightInd w:val="0"/>
              <w:rPr>
                <w:color w:val="000000"/>
                <w:sz w:val="20"/>
              </w:rPr>
            </w:pPr>
            <w:r>
              <w:rPr>
                <w:color w:val="000000"/>
                <w:sz w:val="20"/>
              </w:rPr>
              <w:t xml:space="preserve">       </w:t>
            </w:r>
            <w:r>
              <w:rPr>
                <w:color w:val="000000"/>
                <w:sz w:val="20"/>
              </w:rPr>
              <w:t xml:space="preserve">Date de la décision</w:t>
            </w:r>
          </w:p>
        </w:tc>
        <w:tc>
          <w:tcPr>
            <w:tcW w:w="1530" w:type="dxa"/>
            <w:tcBorders>
              <w:top w:val="nil"/>
              <w:left w:val="nil"/>
              <w:bottom w:val="single" w:color="000000" w:sz="8" w:space="0"/>
              <w:right w:val="nil"/>
            </w:tcBorders>
            <w:tcMar>
              <w:top w:w="79" w:type="dxa"/>
              <w:left w:w="79" w:type="dxa"/>
              <w:bottom w:w="79" w:type="dxa"/>
              <w:right w:w="79" w:type="dxa"/>
            </w:tcMar>
          </w:tcPr>
          <w:p w:rsidRPr="00040CBD" w:rsidR="00203F23" w:rsidP="005A7C50" w:rsidRDefault="00203F23">
            <w:pPr>
              <w:autoSpaceDE w:val="0"/>
              <w:autoSpaceDN w:val="0"/>
              <w:adjustRightInd w:val="0"/>
              <w:rPr>
                <w:color w:val="000000"/>
                <w:sz w:val="20"/>
              </w:rPr>
            </w:pPr>
            <w:r>
              <w:rPr>
                <w:color w:val="000000"/>
                <w:sz w:val="20"/>
              </w:rPr>
              <w:t xml:space="preserve">JURI</w:t>
            </w:r>
          </w:p>
          <w:p w:rsidRPr="00040CBD" w:rsidR="00203F23" w:rsidP="005A7C50" w:rsidRDefault="00203F23">
            <w:pPr>
              <w:autoSpaceDE w:val="0"/>
              <w:autoSpaceDN w:val="0"/>
              <w:adjustRightInd w:val="0"/>
              <w:rPr>
                <w:color w:val="000000"/>
                <w:sz w:val="20"/>
              </w:rPr>
            </w:pPr>
            <w:r>
              <w:rPr>
                <w:color w:val="000000"/>
                <w:sz w:val="20"/>
              </w:rPr>
              <w:t xml:space="preserve">31.1.2023</w:t>
            </w:r>
          </w:p>
        </w:tc>
        <w:tc>
          <w:tcPr>
            <w:tcW w:w="1474" w:type="dxa"/>
            <w:tcBorders>
              <w:top w:val="nil"/>
              <w:left w:val="nil"/>
              <w:bottom w:val="single" w:color="000000" w:sz="8" w:space="0"/>
              <w:right w:val="nil"/>
            </w:tcBorders>
            <w:tcMar>
              <w:top w:w="79" w:type="dxa"/>
              <w:left w:w="79" w:type="dxa"/>
              <w:bottom w:w="79" w:type="dxa"/>
              <w:right w:w="79" w:type="dxa"/>
            </w:tcMar>
          </w:tcPr>
          <w:p w:rsidRPr="00040CBD" w:rsidR="00203F23" w:rsidP="005A7C50" w:rsidRDefault="00203F23">
            <w:pPr>
              <w:autoSpaceDE w:val="0"/>
              <w:autoSpaceDN w:val="0"/>
              <w:adjustRightInd w:val="0"/>
              <w:rPr>
                <w:rFonts w:ascii="sans-serif" w:hAnsi="sans-serif" w:cs="sans-serif"/>
                <w:color w:val="000000"/>
                <w:szCs w:val="24"/>
              </w:rPr>
            </w:pPr>
          </w:p>
        </w:tc>
        <w:tc>
          <w:tcPr>
            <w:tcW w:w="1474" w:type="dxa"/>
            <w:tcBorders>
              <w:top w:val="nil"/>
              <w:left w:val="nil"/>
              <w:bottom w:val="single" w:color="000000" w:sz="8" w:space="0"/>
              <w:right w:val="nil"/>
            </w:tcBorders>
            <w:tcMar>
              <w:top w:w="79" w:type="dxa"/>
              <w:left w:w="79" w:type="dxa"/>
              <w:bottom w:w="79" w:type="dxa"/>
              <w:right w:w="79" w:type="dxa"/>
            </w:tcMar>
          </w:tcPr>
          <w:p w:rsidRPr="00040CBD" w:rsidR="00203F23" w:rsidP="005A7C50" w:rsidRDefault="00203F23">
            <w:pPr>
              <w:autoSpaceDE w:val="0"/>
              <w:autoSpaceDN w:val="0"/>
              <w:adjustRightInd w:val="0"/>
              <w:rPr>
                <w:rFonts w:ascii="sans-serif" w:hAnsi="sans-serif" w:cs="sans-serif"/>
                <w:color w:val="000000"/>
                <w:szCs w:val="24"/>
              </w:rPr>
            </w:pPr>
          </w:p>
        </w:tc>
        <w:tc>
          <w:tcPr>
            <w:tcW w:w="1474" w:type="dxa"/>
            <w:tcBorders>
              <w:top w:val="nil"/>
              <w:left w:val="nil"/>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rFonts w:ascii="sans-serif" w:hAnsi="sans-serif" w:cs="sans-serif"/>
                <w:color w:val="000000"/>
                <w:szCs w:val="24"/>
              </w:rPr>
            </w:pPr>
          </w:p>
        </w:tc>
      </w:tr>
      <w:tr w:rsidRPr="00040CBD" w:rsidR="00203F23" w:rsidTr="005A7C50">
        <w:tc>
          <w:tcPr>
            <w:tcW w:w="3685" w:type="dxa"/>
            <w:tcBorders>
              <w:top w:val="single" w:color="000000" w:sz="8" w:space="0"/>
              <w:left w:val="single" w:color="000000" w:sz="8" w:space="0"/>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b/>
                <w:bCs/>
                <w:color w:val="000000"/>
                <w:sz w:val="20"/>
              </w:rPr>
            </w:pPr>
            <w:r>
              <w:rPr>
                <w:b/>
                <w:color w:val="000000"/>
                <w:sz w:val="20"/>
              </w:rPr>
              <w:t xml:space="preserve">Rapporteurs</w:t>
            </w:r>
          </w:p>
          <w:p w:rsidRPr="00040CBD" w:rsidR="00203F23" w:rsidP="005A7C50" w:rsidRDefault="00203F23">
            <w:pPr>
              <w:autoSpaceDE w:val="0"/>
              <w:autoSpaceDN w:val="0"/>
              <w:adjustRightInd w:val="0"/>
              <w:rPr>
                <w:color w:val="000000"/>
                <w:sz w:val="20"/>
              </w:rPr>
            </w:pPr>
            <w:r>
              <w:rPr>
                <w:color w:val="000000"/>
                <w:sz w:val="20"/>
              </w:rPr>
              <w:t xml:space="preserve">       </w:t>
            </w:r>
            <w:r>
              <w:rPr>
                <w:color w:val="000000"/>
                <w:sz w:val="20"/>
              </w:rPr>
              <w:t xml:space="preserve">Date de la nomination</w:t>
            </w:r>
          </w:p>
        </w:tc>
        <w:tc>
          <w:tcPr>
            <w:tcW w:w="1530" w:type="dxa"/>
            <w:tcBorders>
              <w:top w:val="single" w:color="000000" w:sz="8" w:space="0"/>
              <w:left w:val="nil"/>
              <w:bottom w:val="single" w:color="000000" w:sz="8" w:space="0"/>
              <w:right w:val="nil"/>
            </w:tcBorders>
            <w:tcMar>
              <w:top w:w="79" w:type="dxa"/>
              <w:left w:w="79" w:type="dxa"/>
              <w:bottom w:w="79" w:type="dxa"/>
              <w:right w:w="79" w:type="dxa"/>
            </w:tcMar>
          </w:tcPr>
          <w:p w:rsidRPr="00040CBD" w:rsidR="00203F23" w:rsidP="005A7C50" w:rsidRDefault="00203F23">
            <w:pPr>
              <w:autoSpaceDE w:val="0"/>
              <w:autoSpaceDN w:val="0"/>
              <w:adjustRightInd w:val="0"/>
              <w:rPr>
                <w:color w:val="000000"/>
                <w:sz w:val="20"/>
              </w:rPr>
            </w:pPr>
            <w:r>
              <w:rPr>
                <w:color w:val="000000"/>
                <w:sz w:val="20"/>
              </w:rPr>
              <w:t xml:space="preserve">Danuta Maria Hübner</w:t>
            </w:r>
          </w:p>
          <w:p w:rsidRPr="00040CBD" w:rsidR="00203F23" w:rsidP="005A7C50" w:rsidRDefault="00203F23">
            <w:pPr>
              <w:autoSpaceDE w:val="0"/>
              <w:autoSpaceDN w:val="0"/>
              <w:adjustRightInd w:val="0"/>
              <w:rPr>
                <w:color w:val="000000"/>
                <w:sz w:val="20"/>
              </w:rPr>
            </w:pPr>
            <w:r>
              <w:rPr>
                <w:color w:val="000000"/>
                <w:sz w:val="20"/>
              </w:rPr>
              <w:t xml:space="preserve">25.1.2023</w:t>
            </w:r>
          </w:p>
        </w:tc>
        <w:tc>
          <w:tcPr>
            <w:tcW w:w="1474" w:type="dxa"/>
            <w:tcBorders>
              <w:top w:val="single" w:color="000000" w:sz="8" w:space="0"/>
              <w:left w:val="nil"/>
              <w:bottom w:val="single" w:color="000000" w:sz="8" w:space="0"/>
              <w:right w:val="nil"/>
            </w:tcBorders>
            <w:tcMar>
              <w:top w:w="79" w:type="dxa"/>
              <w:left w:w="79" w:type="dxa"/>
              <w:bottom w:w="79" w:type="dxa"/>
              <w:right w:w="79" w:type="dxa"/>
            </w:tcMar>
          </w:tcPr>
          <w:p w:rsidRPr="00040CBD" w:rsidR="00203F23" w:rsidP="005A7C50" w:rsidRDefault="00203F23">
            <w:pPr>
              <w:autoSpaceDE w:val="0"/>
              <w:autoSpaceDN w:val="0"/>
              <w:adjustRightInd w:val="0"/>
              <w:rPr>
                <w:rFonts w:ascii="sans-serif" w:hAnsi="sans-serif" w:cs="sans-serif"/>
                <w:color w:val="000000"/>
                <w:szCs w:val="24"/>
              </w:rPr>
            </w:pPr>
          </w:p>
        </w:tc>
        <w:tc>
          <w:tcPr>
            <w:tcW w:w="1474" w:type="dxa"/>
            <w:tcBorders>
              <w:top w:val="single" w:color="000000" w:sz="8" w:space="0"/>
              <w:left w:val="nil"/>
              <w:bottom w:val="single" w:color="000000" w:sz="8" w:space="0"/>
              <w:right w:val="nil"/>
            </w:tcBorders>
            <w:tcMar>
              <w:top w:w="79" w:type="dxa"/>
              <w:left w:w="79" w:type="dxa"/>
              <w:bottom w:w="79" w:type="dxa"/>
              <w:right w:w="79" w:type="dxa"/>
            </w:tcMar>
          </w:tcPr>
          <w:p w:rsidRPr="00040CBD" w:rsidR="00203F23" w:rsidP="005A7C50" w:rsidRDefault="00203F23">
            <w:pPr>
              <w:autoSpaceDE w:val="0"/>
              <w:autoSpaceDN w:val="0"/>
              <w:adjustRightInd w:val="0"/>
              <w:rPr>
                <w:rFonts w:ascii="sans-serif" w:hAnsi="sans-serif" w:cs="sans-serif"/>
                <w:color w:val="000000"/>
                <w:szCs w:val="24"/>
              </w:rPr>
            </w:pPr>
          </w:p>
        </w:tc>
        <w:tc>
          <w:tcPr>
            <w:tcW w:w="1474" w:type="dxa"/>
            <w:tcBorders>
              <w:top w:val="single" w:color="000000" w:sz="8" w:space="0"/>
              <w:left w:val="nil"/>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rFonts w:ascii="sans-serif" w:hAnsi="sans-serif" w:cs="sans-serif"/>
                <w:color w:val="000000"/>
                <w:szCs w:val="24"/>
              </w:rPr>
            </w:pPr>
          </w:p>
        </w:tc>
      </w:tr>
      <w:tr w:rsidRPr="00040CBD" w:rsidR="00203F23" w:rsidTr="005A7C50">
        <w:tc>
          <w:tcPr>
            <w:tcW w:w="3685" w:type="dxa"/>
            <w:tcBorders>
              <w:top w:val="single" w:color="000000" w:sz="8" w:space="0"/>
              <w:left w:val="single" w:color="000000" w:sz="8" w:space="0"/>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b/>
                <w:bCs/>
                <w:color w:val="000000"/>
                <w:sz w:val="20"/>
              </w:rPr>
            </w:pPr>
            <w:r>
              <w:rPr>
                <w:b/>
                <w:color w:val="000000"/>
                <w:sz w:val="20"/>
              </w:rPr>
              <w:t xml:space="preserve">Examen en commission</w:t>
            </w:r>
          </w:p>
        </w:tc>
        <w:tc>
          <w:tcPr>
            <w:tcW w:w="1530" w:type="dxa"/>
            <w:tcBorders>
              <w:top w:val="single" w:color="000000" w:sz="8" w:space="0"/>
              <w:left w:val="nil"/>
              <w:bottom w:val="single" w:color="000000" w:sz="8" w:space="0"/>
              <w:right w:val="nil"/>
            </w:tcBorders>
            <w:tcMar>
              <w:top w:w="79" w:type="dxa"/>
              <w:left w:w="79" w:type="dxa"/>
              <w:bottom w:w="79" w:type="dxa"/>
              <w:right w:w="79" w:type="dxa"/>
            </w:tcMar>
          </w:tcPr>
          <w:p w:rsidRPr="00040CBD" w:rsidR="00203F23" w:rsidP="005A7C50" w:rsidRDefault="00203F23">
            <w:pPr>
              <w:autoSpaceDE w:val="0"/>
              <w:autoSpaceDN w:val="0"/>
              <w:adjustRightInd w:val="0"/>
              <w:rPr>
                <w:color w:val="000000"/>
                <w:sz w:val="20"/>
              </w:rPr>
            </w:pPr>
            <w:r>
              <w:rPr>
                <w:color w:val="000000"/>
                <w:sz w:val="20"/>
              </w:rPr>
              <w:t xml:space="preserve">5.6.2023</w:t>
            </w:r>
          </w:p>
        </w:tc>
        <w:tc>
          <w:tcPr>
            <w:tcW w:w="1474" w:type="dxa"/>
            <w:tcBorders>
              <w:top w:val="single" w:color="000000" w:sz="8" w:space="0"/>
              <w:left w:val="nil"/>
              <w:bottom w:val="single" w:color="000000" w:sz="8" w:space="0"/>
              <w:right w:val="nil"/>
            </w:tcBorders>
            <w:tcMar>
              <w:top w:w="79" w:type="dxa"/>
              <w:left w:w="79" w:type="dxa"/>
              <w:bottom w:w="79" w:type="dxa"/>
              <w:right w:w="79" w:type="dxa"/>
            </w:tcMar>
          </w:tcPr>
          <w:p w:rsidRPr="00040CBD" w:rsidR="00203F23" w:rsidP="005A7C50" w:rsidRDefault="00203F23">
            <w:pPr>
              <w:autoSpaceDE w:val="0"/>
              <w:autoSpaceDN w:val="0"/>
              <w:adjustRightInd w:val="0"/>
              <w:rPr>
                <w:color w:val="000000"/>
                <w:sz w:val="20"/>
              </w:rPr>
            </w:pPr>
            <w:r>
              <w:rPr>
                <w:color w:val="000000"/>
                <w:sz w:val="20"/>
              </w:rPr>
              <w:t xml:space="preserve">28.6.2023</w:t>
            </w:r>
          </w:p>
        </w:tc>
        <w:tc>
          <w:tcPr>
            <w:tcW w:w="1474" w:type="dxa"/>
            <w:tcBorders>
              <w:top w:val="single" w:color="000000" w:sz="8" w:space="0"/>
              <w:left w:val="nil"/>
              <w:bottom w:val="single" w:color="000000" w:sz="8" w:space="0"/>
              <w:right w:val="nil"/>
            </w:tcBorders>
            <w:tcMar>
              <w:top w:w="79" w:type="dxa"/>
              <w:left w:w="79" w:type="dxa"/>
              <w:bottom w:w="79" w:type="dxa"/>
              <w:right w:w="79" w:type="dxa"/>
            </w:tcMar>
          </w:tcPr>
          <w:p w:rsidRPr="00040CBD" w:rsidR="00203F23" w:rsidP="005A7C50" w:rsidRDefault="00203F23">
            <w:pPr>
              <w:autoSpaceDE w:val="0"/>
              <w:autoSpaceDN w:val="0"/>
              <w:adjustRightInd w:val="0"/>
              <w:rPr>
                <w:color w:val="000000"/>
                <w:sz w:val="20"/>
              </w:rPr>
            </w:pPr>
            <w:r>
              <w:rPr>
                <w:color w:val="000000"/>
                <w:sz w:val="20"/>
              </w:rPr>
              <w:t xml:space="preserve">30.8.2023</w:t>
            </w:r>
          </w:p>
        </w:tc>
        <w:tc>
          <w:tcPr>
            <w:tcW w:w="1474" w:type="dxa"/>
            <w:tcBorders>
              <w:top w:val="single" w:color="000000" w:sz="8" w:space="0"/>
              <w:left w:val="nil"/>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rFonts w:ascii="sans-serif" w:hAnsi="sans-serif" w:cs="sans-serif"/>
                <w:color w:val="000000"/>
                <w:szCs w:val="24"/>
              </w:rPr>
            </w:pPr>
          </w:p>
        </w:tc>
      </w:tr>
      <w:tr w:rsidRPr="00040CBD" w:rsidR="00203F23" w:rsidTr="005A7C50">
        <w:tc>
          <w:tcPr>
            <w:tcW w:w="3685" w:type="dxa"/>
            <w:tcBorders>
              <w:top w:val="nil"/>
              <w:left w:val="single" w:color="000000" w:sz="8" w:space="0"/>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b/>
                <w:bCs/>
                <w:color w:val="000000"/>
                <w:sz w:val="20"/>
              </w:rPr>
            </w:pPr>
            <w:r>
              <w:rPr>
                <w:b/>
                <w:color w:val="000000"/>
                <w:sz w:val="20"/>
              </w:rPr>
              <w:t xml:space="preserve">Date de l'adoption</w:t>
            </w:r>
          </w:p>
        </w:tc>
        <w:tc>
          <w:tcPr>
            <w:tcW w:w="1530" w:type="dxa"/>
            <w:tcBorders>
              <w:top w:val="nil"/>
              <w:left w:val="nil"/>
              <w:bottom w:val="single" w:color="000000" w:sz="8" w:space="0"/>
              <w:right w:val="nil"/>
            </w:tcBorders>
            <w:tcMar>
              <w:top w:w="79" w:type="dxa"/>
              <w:left w:w="79" w:type="dxa"/>
              <w:bottom w:w="79" w:type="dxa"/>
              <w:right w:w="79" w:type="dxa"/>
            </w:tcMar>
          </w:tcPr>
          <w:p w:rsidRPr="00040CBD" w:rsidR="00203F23" w:rsidP="005A7C50" w:rsidRDefault="00203F23">
            <w:pPr>
              <w:autoSpaceDE w:val="0"/>
              <w:autoSpaceDN w:val="0"/>
              <w:adjustRightInd w:val="0"/>
              <w:rPr>
                <w:color w:val="000000"/>
                <w:sz w:val="20"/>
              </w:rPr>
            </w:pPr>
            <w:r>
              <w:rPr>
                <w:color w:val="000000"/>
                <w:sz w:val="20"/>
              </w:rPr>
              <w:t xml:space="preserve">28.11.2023</w:t>
            </w:r>
          </w:p>
        </w:tc>
        <w:tc>
          <w:tcPr>
            <w:tcW w:w="1474" w:type="dxa"/>
            <w:tcBorders>
              <w:top w:val="nil"/>
              <w:left w:val="nil"/>
              <w:bottom w:val="single" w:color="000000" w:sz="8" w:space="0"/>
              <w:right w:val="nil"/>
            </w:tcBorders>
            <w:tcMar>
              <w:top w:w="79" w:type="dxa"/>
              <w:left w:w="79" w:type="dxa"/>
              <w:bottom w:w="79" w:type="dxa"/>
              <w:right w:w="79" w:type="dxa"/>
            </w:tcMar>
          </w:tcPr>
          <w:p w:rsidRPr="00040CBD" w:rsidR="00203F23" w:rsidP="005A7C50" w:rsidRDefault="00203F23">
            <w:pPr>
              <w:autoSpaceDE w:val="0"/>
              <w:autoSpaceDN w:val="0"/>
              <w:adjustRightInd w:val="0"/>
              <w:rPr>
                <w:rFonts w:ascii="sans-serif" w:hAnsi="sans-serif" w:cs="sans-serif"/>
                <w:color w:val="000000"/>
                <w:szCs w:val="24"/>
              </w:rPr>
            </w:pPr>
          </w:p>
        </w:tc>
        <w:tc>
          <w:tcPr>
            <w:tcW w:w="1474" w:type="dxa"/>
            <w:tcBorders>
              <w:top w:val="nil"/>
              <w:left w:val="nil"/>
              <w:bottom w:val="single" w:color="000000" w:sz="8" w:space="0"/>
              <w:right w:val="nil"/>
            </w:tcBorders>
            <w:tcMar>
              <w:top w:w="79" w:type="dxa"/>
              <w:left w:w="79" w:type="dxa"/>
              <w:bottom w:w="79" w:type="dxa"/>
              <w:right w:w="79" w:type="dxa"/>
            </w:tcMar>
          </w:tcPr>
          <w:p w:rsidRPr="00040CBD" w:rsidR="00203F23" w:rsidP="005A7C50" w:rsidRDefault="00203F23">
            <w:pPr>
              <w:autoSpaceDE w:val="0"/>
              <w:autoSpaceDN w:val="0"/>
              <w:adjustRightInd w:val="0"/>
              <w:rPr>
                <w:rFonts w:ascii="sans-serif" w:hAnsi="sans-serif" w:cs="sans-serif"/>
                <w:color w:val="000000"/>
                <w:szCs w:val="24"/>
              </w:rPr>
            </w:pPr>
          </w:p>
        </w:tc>
        <w:tc>
          <w:tcPr>
            <w:tcW w:w="1474" w:type="dxa"/>
            <w:tcBorders>
              <w:top w:val="nil"/>
              <w:left w:val="nil"/>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rFonts w:ascii="sans-serif" w:hAnsi="sans-serif" w:cs="sans-serif"/>
                <w:color w:val="000000"/>
                <w:szCs w:val="24"/>
              </w:rPr>
            </w:pPr>
          </w:p>
        </w:tc>
      </w:tr>
      <w:tr w:rsidRPr="00040CBD" w:rsidR="00203F23" w:rsidTr="005A7C50">
        <w:tc>
          <w:tcPr>
            <w:tcW w:w="3685" w:type="dxa"/>
            <w:tcBorders>
              <w:top w:val="single" w:color="000000" w:sz="8" w:space="0"/>
              <w:left w:val="single" w:color="000000" w:sz="8" w:space="0"/>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b/>
                <w:bCs/>
                <w:color w:val="000000"/>
                <w:sz w:val="20"/>
              </w:rPr>
            </w:pPr>
            <w:r>
              <w:rPr>
                <w:b/>
                <w:color w:val="000000"/>
                <w:sz w:val="20"/>
              </w:rPr>
              <w:t xml:space="preserve">Résultat du vote final</w:t>
            </w:r>
          </w:p>
        </w:tc>
        <w:tc>
          <w:tcPr>
            <w:tcW w:w="1530" w:type="dxa"/>
            <w:tcBorders>
              <w:top w:val="single" w:color="000000" w:sz="8" w:space="0"/>
              <w:left w:val="nil"/>
              <w:bottom w:val="single" w:color="000000" w:sz="8" w:space="0"/>
              <w:right w:val="nil"/>
            </w:tcBorders>
            <w:tcMar>
              <w:top w:w="79" w:type="dxa"/>
              <w:left w:w="79" w:type="dxa"/>
              <w:bottom w:w="79" w:type="dxa"/>
              <w:right w:w="79" w:type="dxa"/>
            </w:tcMar>
          </w:tcPr>
          <w:p w:rsidRPr="00040CBD" w:rsidR="00203F23" w:rsidP="005A7C50" w:rsidRDefault="00203F23">
            <w:pPr>
              <w:autoSpaceDE w:val="0"/>
              <w:autoSpaceDN w:val="0"/>
              <w:adjustRightInd w:val="0"/>
              <w:rPr>
                <w:color w:val="000000"/>
                <w:sz w:val="20"/>
              </w:rPr>
            </w:pPr>
            <w:r>
              <w:rPr>
                <w:color w:val="000000"/>
                <w:sz w:val="20"/>
              </w:rPr>
              <w:t xml:space="preserve">+:</w:t>
            </w:r>
          </w:p>
          <w:p w:rsidRPr="00040CBD" w:rsidR="00203F23" w:rsidP="005A7C50" w:rsidRDefault="00203F23">
            <w:pPr>
              <w:autoSpaceDE w:val="0"/>
              <w:autoSpaceDN w:val="0"/>
              <w:adjustRightInd w:val="0"/>
              <w:rPr>
                <w:color w:val="000000"/>
                <w:sz w:val="20"/>
              </w:rPr>
            </w:pPr>
            <w:r>
              <w:rPr>
                <w:color w:val="000000"/>
                <w:sz w:val="20"/>
              </w:rPr>
              <w:t xml:space="preserve">–:</w:t>
            </w:r>
          </w:p>
          <w:p w:rsidRPr="00040CBD" w:rsidR="00203F23" w:rsidP="005A7C50" w:rsidRDefault="00203F23">
            <w:pPr>
              <w:autoSpaceDE w:val="0"/>
              <w:autoSpaceDN w:val="0"/>
              <w:adjustRightInd w:val="0"/>
              <w:rPr>
                <w:color w:val="000000"/>
                <w:sz w:val="20"/>
              </w:rPr>
            </w:pPr>
            <w:r>
              <w:rPr>
                <w:color w:val="000000"/>
                <w:sz w:val="20"/>
              </w:rPr>
              <w:t xml:space="preserve">0:</w:t>
            </w:r>
          </w:p>
        </w:tc>
        <w:tc>
          <w:tcPr>
            <w:tcW w:w="4422" w:type="dxa"/>
            <w:gridSpan w:val="3"/>
            <w:tcBorders>
              <w:top w:val="single" w:color="000000" w:sz="8" w:space="0"/>
              <w:left w:val="nil"/>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color w:val="000000"/>
                <w:sz w:val="20"/>
              </w:rPr>
            </w:pPr>
            <w:r>
              <w:rPr>
                <w:color w:val="000000"/>
                <w:sz w:val="20"/>
              </w:rPr>
              <w:t xml:space="preserve">47</w:t>
            </w:r>
          </w:p>
          <w:p w:rsidRPr="00040CBD" w:rsidR="00203F23" w:rsidP="005A7C50" w:rsidRDefault="00203F23">
            <w:pPr>
              <w:autoSpaceDE w:val="0"/>
              <w:autoSpaceDN w:val="0"/>
              <w:adjustRightInd w:val="0"/>
              <w:rPr>
                <w:color w:val="000000"/>
                <w:sz w:val="20"/>
              </w:rPr>
            </w:pPr>
            <w:r>
              <w:rPr>
                <w:color w:val="000000"/>
                <w:sz w:val="20"/>
              </w:rPr>
              <w:t xml:space="preserve">3</w:t>
            </w:r>
          </w:p>
          <w:p w:rsidRPr="00040CBD" w:rsidR="00203F23" w:rsidP="005A7C50" w:rsidRDefault="00203F23">
            <w:pPr>
              <w:autoSpaceDE w:val="0"/>
              <w:autoSpaceDN w:val="0"/>
              <w:adjustRightInd w:val="0"/>
              <w:rPr>
                <w:color w:val="000000"/>
                <w:sz w:val="20"/>
              </w:rPr>
            </w:pPr>
            <w:r>
              <w:rPr>
                <w:color w:val="000000"/>
                <w:sz w:val="20"/>
              </w:rPr>
              <w:t xml:space="preserve">3</w:t>
            </w:r>
          </w:p>
        </w:tc>
      </w:tr>
      <w:tr w:rsidRPr="00040CBD" w:rsidR="00203F23" w:rsidTr="005A7C50">
        <w:tc>
          <w:tcPr>
            <w:tcW w:w="3685" w:type="dxa"/>
            <w:tcBorders>
              <w:top w:val="single" w:color="000000" w:sz="8" w:space="0"/>
              <w:left w:val="single" w:color="000000" w:sz="8" w:space="0"/>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b/>
                <w:bCs/>
                <w:color w:val="000000"/>
                <w:sz w:val="20"/>
              </w:rPr>
            </w:pPr>
            <w:r>
              <w:rPr>
                <w:b/>
                <w:color w:val="000000"/>
                <w:sz w:val="20"/>
              </w:rPr>
              <w:t xml:space="preserve">Membres présents au moment du vote final</w:t>
            </w:r>
          </w:p>
        </w:tc>
        <w:tc>
          <w:tcPr>
            <w:tcW w:w="5952" w:type="dxa"/>
            <w:gridSpan w:val="4"/>
            <w:tcBorders>
              <w:top w:val="single" w:color="000000" w:sz="8" w:space="0"/>
              <w:left w:val="nil"/>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color w:val="000000"/>
                <w:sz w:val="20"/>
              </w:rPr>
            </w:pPr>
            <w:r>
              <w:rPr>
                <w:color w:val="000000"/>
                <w:sz w:val="20"/>
              </w:rPr>
              <w:t xml:space="preserve">Rasmus Andresen, Anna-Michelle Asimakopoulou, Gunnar Beck, Marek Belka, Isabel Benjumea Benjumea, Stefan Berger, Engin Eroglu, Markus Ferber, Jonás Fernández, Frances Fitzgerald, José Manuel García-Margallo y Marfil, Claude Gruffat, José Gusmão, Enikő Győri, Eero Heinäluoma, Danuta Maria Hübner, Stasys Jakeliūnas, France Jamet, Othmar Karas, Billy Kelleher, Ondřej Kovařík, Georgios Kyrtsos, Aurore Lalucq, Philippe Lamberts, Pedro Marques, Denis Nesci, Luděk Niedermayer, Lefteris Nikolaou-Alavanos, Kira Marie Peter-Hansen, Eva Maria Poptcheva, Antonio Maria Rinaldi, Dorien Rookmaker, Alfred Sant, Joachim Schuster, Ralf Seekatz, Pedro Silva Pereira, Paul Tang, Irene Tinagli, Inese Vaidere, Johan Van Overtveldt, Roberts Zīle</w:t>
            </w:r>
          </w:p>
        </w:tc>
      </w:tr>
      <w:tr w:rsidRPr="00040CBD" w:rsidR="00203F23" w:rsidTr="005A7C50">
        <w:tc>
          <w:tcPr>
            <w:tcW w:w="3685" w:type="dxa"/>
            <w:tcBorders>
              <w:top w:val="nil"/>
              <w:left w:val="single" w:color="000000" w:sz="8" w:space="0"/>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b/>
                <w:bCs/>
                <w:color w:val="000000"/>
                <w:sz w:val="20"/>
              </w:rPr>
            </w:pPr>
            <w:r>
              <w:rPr>
                <w:b/>
                <w:color w:val="000000"/>
                <w:sz w:val="20"/>
              </w:rPr>
              <w:t xml:space="preserve">Suppléants présents au moment du vote final</w:t>
            </w:r>
          </w:p>
        </w:tc>
        <w:tc>
          <w:tcPr>
            <w:tcW w:w="5952" w:type="dxa"/>
            <w:gridSpan w:val="4"/>
            <w:tcBorders>
              <w:top w:val="nil"/>
              <w:left w:val="nil"/>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color w:val="000000"/>
                <w:sz w:val="20"/>
              </w:rPr>
            </w:pPr>
            <w:r>
              <w:rPr>
                <w:color w:val="000000"/>
                <w:sz w:val="20"/>
              </w:rPr>
              <w:t xml:space="preserve">Ivars Ijabs, Janusz Lewandowski, Andżelika Anna Możdżanowska, Erik Poulsen, René Repasi</w:t>
            </w:r>
          </w:p>
        </w:tc>
      </w:tr>
      <w:tr w:rsidRPr="00040CBD" w:rsidR="00203F23" w:rsidTr="005A7C50">
        <w:tc>
          <w:tcPr>
            <w:tcW w:w="3685" w:type="dxa"/>
            <w:tcBorders>
              <w:top w:val="nil"/>
              <w:left w:val="single" w:color="000000" w:sz="8" w:space="0"/>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b/>
                <w:bCs/>
                <w:color w:val="000000"/>
                <w:sz w:val="20"/>
              </w:rPr>
            </w:pPr>
            <w:r>
              <w:rPr>
                <w:b/>
                <w:color w:val="000000"/>
                <w:sz w:val="20"/>
              </w:rPr>
              <w:t xml:space="preserve">Suppléants (art. 209, par. 7) présents au moment du vote final</w:t>
            </w:r>
          </w:p>
        </w:tc>
        <w:tc>
          <w:tcPr>
            <w:tcW w:w="5952" w:type="dxa"/>
            <w:gridSpan w:val="4"/>
            <w:tcBorders>
              <w:top w:val="nil"/>
              <w:left w:val="nil"/>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color w:val="000000"/>
                <w:sz w:val="20"/>
              </w:rPr>
            </w:pPr>
            <w:r>
              <w:rPr>
                <w:color w:val="000000"/>
                <w:sz w:val="20"/>
              </w:rPr>
              <w:t xml:space="preserve">Barry Andrews, Alessandra Basso, Theresa Bielowski, Carlos Coelho, Francisco Guerreiro, Fabienne Keller, Liudas Mažylis</w:t>
            </w:r>
          </w:p>
        </w:tc>
      </w:tr>
      <w:tr w:rsidRPr="00040CBD" w:rsidR="00203F23" w:rsidTr="005A7C50">
        <w:tc>
          <w:tcPr>
            <w:tcW w:w="3685" w:type="dxa"/>
            <w:tcBorders>
              <w:top w:val="nil"/>
              <w:left w:val="single" w:color="000000" w:sz="8" w:space="0"/>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b/>
                <w:bCs/>
                <w:color w:val="000000"/>
                <w:sz w:val="20"/>
              </w:rPr>
            </w:pPr>
            <w:r>
              <w:rPr>
                <w:b/>
                <w:color w:val="000000"/>
                <w:sz w:val="20"/>
              </w:rPr>
              <w:t xml:space="preserve">Date du dépôt</w:t>
            </w:r>
          </w:p>
        </w:tc>
        <w:tc>
          <w:tcPr>
            <w:tcW w:w="5952" w:type="dxa"/>
            <w:gridSpan w:val="4"/>
            <w:tcBorders>
              <w:top w:val="nil"/>
              <w:left w:val="nil"/>
              <w:bottom w:val="single" w:color="000000" w:sz="8" w:space="0"/>
              <w:right w:val="single" w:color="000000" w:sz="8" w:space="0"/>
            </w:tcBorders>
            <w:tcMar>
              <w:top w:w="79" w:type="dxa"/>
              <w:left w:w="79" w:type="dxa"/>
              <w:bottom w:w="79" w:type="dxa"/>
              <w:right w:w="79" w:type="dxa"/>
            </w:tcMar>
          </w:tcPr>
          <w:p w:rsidRPr="00040CBD" w:rsidR="00203F23" w:rsidP="005A7C50" w:rsidRDefault="00203F23">
            <w:pPr>
              <w:autoSpaceDE w:val="0"/>
              <w:autoSpaceDN w:val="0"/>
              <w:adjustRightInd w:val="0"/>
              <w:rPr>
                <w:color w:val="000000"/>
                <w:sz w:val="20"/>
              </w:rPr>
            </w:pPr>
            <w:r>
              <w:rPr>
                <w:color w:val="000000"/>
                <w:sz w:val="20"/>
              </w:rPr>
              <w:t xml:space="preserve">5.12.2023</w:t>
            </w:r>
          </w:p>
        </w:tc>
      </w:tr>
    </w:tbl>
    <w:p w:rsidRPr="00040CBD" w:rsidR="00203F23" w:rsidP="00203F23" w:rsidRDefault="00203F23"/>
    <w:bookmarkEnd w:id="7"/>
    <w:p w:rsidRPr="00040CBD" w:rsidR="00203F23" w:rsidP="00203F23" w:rsidRDefault="00203F23">
      <w:pPr>
        <w:sectPr w:rsidRPr="00040CBD" w:rsidR="00203F23" w:rsidSect="00BF3303">
          <w:footnotePr>
            <w:numRestart w:val="eachSect"/>
          </w:footnotePr>
          <w:endnotePr>
            <w:numFmt w:val="decimal"/>
          </w:endnotePr>
          <w:pgSz w:w="11906" w:h="16838" w:code="9"/>
          <w:pgMar w:top="1134" w:right="1418" w:bottom="1418" w:left="1418" w:header="1134" w:footer="567" w:gutter="0"/>
          <w:cols w:space="720"/>
          <w:noEndnote/>
          <w:docGrid w:linePitch="326"/>
        </w:sectPr>
      </w:pPr>
    </w:p>
    <w:p w:rsidRPr="00040CBD" w:rsidR="00203F23" w:rsidP="00203F23" w:rsidRDefault="00203F23">
      <w:pPr>
        <w:pStyle w:val="PageHeading"/>
      </w:pPr>
      <w:bookmarkStart w:id="9" w:name="_Toc152692088"/>
      <w:bookmarkStart w:id="10" w:name="RollCallPageRR"/>
      <w:bookmarkStart w:id="11" w:name="_Toc155193025"/>
      <w:r>
        <w:t xml:space="preserve">VOTE FINAL PAR APPEL NOMINAL</w:t>
      </w:r>
      <w:r>
        <w:br/>
      </w:r>
      <w:r>
        <w:t xml:space="preserve">EN COMMISSION COMPÉTENTE AU FOND</w:t>
      </w:r>
      <w:bookmarkEnd w:id="9"/>
      <w:bookmarkEnd w:id="11"/>
    </w:p>
    <w:tbl>
      <w:tblPr>
        <w:tblW w:w="0" w:type="auto"/>
        <w:tblInd w:w="145" w:type="dxa"/>
        <w:tblBorders>
          <w:top w:val="double" w:color="000000" w:sz="2" w:space="0"/>
          <w:left w:val="double" w:color="000000" w:sz="2" w:space="0"/>
          <w:bottom w:val="double" w:color="000000" w:sz="2" w:space="0"/>
          <w:right w:val="double" w:color="000000" w:sz="2" w:space="0"/>
          <w:insideH w:val="single" w:color="000000" w:sz="2" w:space="0"/>
          <w:insideV w:val="single" w:color="000000" w:sz="2" w:space="0"/>
        </w:tblBorders>
        <w:tblLayout w:type="fixed"/>
        <w:tblCellMar>
          <w:left w:w="145" w:type="dxa"/>
          <w:right w:w="145" w:type="dxa"/>
        </w:tblCellMar>
        <w:tblLook w:val="0000" w:firstRow="0" w:lastRow="0" w:firstColumn="0" w:lastColumn="0" w:noHBand="0" w:noVBand="0"/>
      </w:tblPr>
      <w:tblGrid>
        <w:gridCol w:w="1701"/>
        <w:gridCol w:w="7371"/>
      </w:tblGrid>
      <w:tr w:rsidRPr="00040CBD" w:rsidR="00203F23" w:rsidTr="005A7C50">
        <w:trPr>
          <w:cantSplit/>
        </w:trPr>
        <w:tc>
          <w:tcPr>
            <w:tcW w:w="1701" w:type="dxa"/>
            <w:shd w:val="pct10" w:color="000000" w:fill="FFFFFF"/>
            <w:vAlign w:val="center"/>
          </w:tcPr>
          <w:p w:rsidRPr="00040CBD" w:rsidR="00203F23" w:rsidP="005A7C50" w:rsidRDefault="00203F23">
            <w:pPr>
              <w:pStyle w:val="RollCallVotes"/>
            </w:pPr>
            <w:r>
              <w:t xml:space="preserve">47</w:t>
            </w:r>
          </w:p>
        </w:tc>
        <w:tc>
          <w:tcPr>
            <w:tcW w:w="7371" w:type="dxa"/>
            <w:shd w:val="pct10" w:color="000000" w:fill="FFFFFF"/>
          </w:tcPr>
          <w:p w:rsidRPr="00040CBD" w:rsidR="00203F23" w:rsidP="005A7C50" w:rsidRDefault="00203F23">
            <w:pPr>
              <w:pStyle w:val="RollCallSymbols14pt"/>
            </w:pPr>
            <w:r>
              <w:t xml:space="preserve">+</w:t>
            </w:r>
          </w:p>
        </w:tc>
      </w:tr>
      <w:tr w:rsidRPr="00040CBD" w:rsidR="00203F23" w:rsidTr="005A7C50">
        <w:trPr>
          <w:cantSplit/>
        </w:trPr>
        <w:tc>
          <w:tcPr>
            <w:tcW w:w="1701" w:type="dxa"/>
            <w:shd w:val="clear" w:color="auto" w:fill="FFFFFF"/>
          </w:tcPr>
          <w:p w:rsidRPr="00040CBD" w:rsidR="00203F23" w:rsidP="005A7C50" w:rsidRDefault="00203F23">
            <w:pPr>
              <w:pStyle w:val="RollCallTable"/>
            </w:pPr>
            <w:r>
              <w:t xml:space="preserve">ECR</w:t>
            </w:r>
          </w:p>
        </w:tc>
        <w:tc>
          <w:tcPr>
            <w:tcW w:w="7371" w:type="dxa"/>
            <w:shd w:val="clear" w:color="auto" w:fill="FFFFFF"/>
          </w:tcPr>
          <w:p w:rsidRPr="00040CBD" w:rsidR="00203F23" w:rsidP="005A7C50" w:rsidRDefault="00203F23">
            <w:pPr>
              <w:pStyle w:val="RollCallTable"/>
            </w:pPr>
            <w:r>
              <w:t xml:space="preserve">Andżelika Anna Możdżanowska, Dorien Rookmaker, Johan Van Overtveldt, Roberts Zīle</w:t>
            </w:r>
          </w:p>
        </w:tc>
      </w:tr>
      <w:tr w:rsidRPr="00040CBD" w:rsidR="00203F23" w:rsidTr="005A7C50">
        <w:trPr>
          <w:cantSplit/>
        </w:trPr>
        <w:tc>
          <w:tcPr>
            <w:tcW w:w="1701" w:type="dxa"/>
            <w:shd w:val="clear" w:color="auto" w:fill="FFFFFF"/>
          </w:tcPr>
          <w:p w:rsidRPr="00040CBD" w:rsidR="00203F23" w:rsidP="005A7C50" w:rsidRDefault="00203F23">
            <w:pPr>
              <w:pStyle w:val="RollCallTable"/>
            </w:pPr>
            <w:r>
              <w:t xml:space="preserve">ID</w:t>
            </w:r>
          </w:p>
        </w:tc>
        <w:tc>
          <w:tcPr>
            <w:tcW w:w="7371" w:type="dxa"/>
            <w:shd w:val="clear" w:color="auto" w:fill="FFFFFF"/>
          </w:tcPr>
          <w:p w:rsidRPr="00040CBD" w:rsidR="00203F23" w:rsidP="005A7C50" w:rsidRDefault="00203F23">
            <w:pPr>
              <w:pStyle w:val="RollCallTable"/>
            </w:pPr>
            <w:r>
              <w:t xml:space="preserve">France Jamet</w:t>
            </w:r>
          </w:p>
        </w:tc>
      </w:tr>
      <w:tr w:rsidRPr="00040CBD" w:rsidR="00203F23" w:rsidTr="005A7C50">
        <w:trPr>
          <w:cantSplit/>
        </w:trPr>
        <w:tc>
          <w:tcPr>
            <w:tcW w:w="1701" w:type="dxa"/>
            <w:shd w:val="clear" w:color="auto" w:fill="FFFFFF"/>
          </w:tcPr>
          <w:p w:rsidRPr="00040CBD" w:rsidR="00203F23" w:rsidP="005A7C50" w:rsidRDefault="00203F23">
            <w:pPr>
              <w:pStyle w:val="RollCallTable"/>
            </w:pPr>
            <w:r>
              <w:t xml:space="preserve">NI</w:t>
            </w:r>
          </w:p>
        </w:tc>
        <w:tc>
          <w:tcPr>
            <w:tcW w:w="7371" w:type="dxa"/>
            <w:shd w:val="clear" w:color="auto" w:fill="FFFFFF"/>
          </w:tcPr>
          <w:p w:rsidRPr="00040CBD" w:rsidR="00203F23" w:rsidP="005A7C50" w:rsidRDefault="00203F23">
            <w:pPr>
              <w:pStyle w:val="RollCallTable"/>
            </w:pPr>
            <w:r>
              <w:t xml:space="preserve">Enikő Győri</w:t>
            </w:r>
          </w:p>
        </w:tc>
      </w:tr>
      <w:tr w:rsidRPr="00040CBD" w:rsidR="00203F23" w:rsidTr="005A7C50">
        <w:trPr>
          <w:cantSplit/>
        </w:trPr>
        <w:tc>
          <w:tcPr>
            <w:tcW w:w="1701" w:type="dxa"/>
            <w:shd w:val="clear" w:color="auto" w:fill="FFFFFF"/>
          </w:tcPr>
          <w:p w:rsidRPr="00040CBD" w:rsidR="00203F23" w:rsidP="005A7C50" w:rsidRDefault="00203F23">
            <w:pPr>
              <w:pStyle w:val="RollCallTable"/>
            </w:pPr>
            <w:r>
              <w:t xml:space="preserve">PPE</w:t>
            </w:r>
          </w:p>
        </w:tc>
        <w:tc>
          <w:tcPr>
            <w:tcW w:w="7371" w:type="dxa"/>
            <w:shd w:val="clear" w:color="auto" w:fill="FFFFFF"/>
          </w:tcPr>
          <w:p w:rsidRPr="00040CBD" w:rsidR="00203F23" w:rsidP="005A7C50" w:rsidRDefault="00203F23">
            <w:pPr>
              <w:pStyle w:val="RollCallTable"/>
            </w:pPr>
            <w:r>
              <w:t xml:space="preserve">Anna-Michelle Asimakopoulou, Isabel Benjumea Benjumea, Stefan Berger, Carlos Coelho, Markus Ferber, Frances Fitzgerald, José Manuel García-Margallo y Marfil, Danuta Maria Hübner, Othmar Karas, Janusz Lewandowski, Liudas Mažylis, Luděk Niedermayer, Ralf Seekatz, Inese Vaidere</w:t>
            </w:r>
          </w:p>
        </w:tc>
      </w:tr>
      <w:tr w:rsidRPr="00040CBD" w:rsidR="00203F23" w:rsidTr="005A7C50">
        <w:trPr>
          <w:cantSplit/>
        </w:trPr>
        <w:tc>
          <w:tcPr>
            <w:tcW w:w="1701" w:type="dxa"/>
            <w:shd w:val="clear" w:color="auto" w:fill="FFFFFF"/>
          </w:tcPr>
          <w:p w:rsidRPr="00040CBD" w:rsidR="00203F23" w:rsidP="005A7C50" w:rsidRDefault="00203F23">
            <w:pPr>
              <w:pStyle w:val="RollCallTable"/>
            </w:pPr>
            <w:r>
              <w:t xml:space="preserve">Renew</w:t>
            </w:r>
          </w:p>
        </w:tc>
        <w:tc>
          <w:tcPr>
            <w:tcW w:w="7371" w:type="dxa"/>
            <w:shd w:val="clear" w:color="auto" w:fill="FFFFFF"/>
          </w:tcPr>
          <w:p w:rsidRPr="00040CBD" w:rsidR="00203F23" w:rsidP="005A7C50" w:rsidRDefault="00203F23">
            <w:pPr>
              <w:pStyle w:val="RollCallTable"/>
            </w:pPr>
            <w:r>
              <w:t xml:space="preserve">Barry Andrews, Engin Eroglu, Ivars Ijabs, Billy Kelleher, Fabienne Keller, Ondřej Kovařík, Georgios Kyrtsos, Eva Maria Poptcheva, Erik Poulsen</w:t>
            </w:r>
          </w:p>
        </w:tc>
      </w:tr>
      <w:tr w:rsidRPr="00040CBD" w:rsidR="00203F23" w:rsidTr="005A7C50">
        <w:trPr>
          <w:cantSplit/>
        </w:trPr>
        <w:tc>
          <w:tcPr>
            <w:tcW w:w="1701" w:type="dxa"/>
            <w:shd w:val="clear" w:color="auto" w:fill="FFFFFF"/>
          </w:tcPr>
          <w:p w:rsidRPr="00040CBD" w:rsidR="00203F23" w:rsidP="005A7C50" w:rsidRDefault="00203F23">
            <w:pPr>
              <w:pStyle w:val="RollCallTable"/>
            </w:pPr>
            <w:r>
              <w:t xml:space="preserve">S&amp;D</w:t>
            </w:r>
          </w:p>
        </w:tc>
        <w:tc>
          <w:tcPr>
            <w:tcW w:w="7371" w:type="dxa"/>
            <w:shd w:val="clear" w:color="auto" w:fill="FFFFFF"/>
          </w:tcPr>
          <w:p w:rsidRPr="00040CBD" w:rsidR="00203F23" w:rsidP="005A7C50" w:rsidRDefault="00203F23">
            <w:pPr>
              <w:pStyle w:val="RollCallTable"/>
            </w:pPr>
            <w:r>
              <w:t xml:space="preserve">Marek Belka, Theresa Bielowski, Jonás Fernández, Eero Heinäluoma, Aurore Lalucq, Pedro Marques, René Repasi, Alfred Sant, Joachim Schuster, Pedro Silva Pereira, Paul Tang, Irene Tinagli</w:t>
            </w:r>
          </w:p>
        </w:tc>
      </w:tr>
      <w:tr w:rsidRPr="00040CBD" w:rsidR="00203F23" w:rsidTr="005A7C50">
        <w:trPr>
          <w:cantSplit/>
        </w:trPr>
        <w:tc>
          <w:tcPr>
            <w:tcW w:w="1701" w:type="dxa"/>
            <w:shd w:val="clear" w:color="auto" w:fill="FFFFFF"/>
          </w:tcPr>
          <w:p w:rsidRPr="00040CBD" w:rsidR="00203F23" w:rsidP="005A7C50" w:rsidRDefault="00203F23">
            <w:pPr>
              <w:pStyle w:val="RollCallTable"/>
            </w:pPr>
            <w:r>
              <w:t xml:space="preserve">Verts/ALE</w:t>
            </w:r>
          </w:p>
        </w:tc>
        <w:tc>
          <w:tcPr>
            <w:tcW w:w="7371" w:type="dxa"/>
            <w:shd w:val="clear" w:color="auto" w:fill="FFFFFF"/>
          </w:tcPr>
          <w:p w:rsidRPr="00040CBD" w:rsidR="00203F23" w:rsidP="005A7C50" w:rsidRDefault="00203F23">
            <w:pPr>
              <w:pStyle w:val="RollCallTable"/>
            </w:pPr>
            <w:r>
              <w:t xml:space="preserve">Rasmus Andresen, Claude Gruffat, Francisco Guerreiro, Stasys Jakeliūnas, Philippe Lamberts, Kira Marie Peter-Hansen</w:t>
            </w:r>
          </w:p>
        </w:tc>
      </w:tr>
    </w:tbl>
    <w:p w:rsidRPr="00040CBD" w:rsidR="00203F23" w:rsidP="00203F23" w:rsidRDefault="00203F23"/>
    <w:tbl>
      <w:tblPr>
        <w:tblW w:w="0" w:type="auto"/>
        <w:tblInd w:w="145" w:type="dxa"/>
        <w:tblBorders>
          <w:top w:val="double" w:color="000000" w:sz="2" w:space="0"/>
          <w:left w:val="double" w:color="000000" w:sz="2" w:space="0"/>
          <w:bottom w:val="double" w:color="000000" w:sz="2" w:space="0"/>
          <w:right w:val="double" w:color="000000" w:sz="2" w:space="0"/>
          <w:insideH w:val="single" w:color="000000" w:sz="2" w:space="0"/>
          <w:insideV w:val="single" w:color="000000" w:sz="2" w:space="0"/>
        </w:tblBorders>
        <w:tblLayout w:type="fixed"/>
        <w:tblCellMar>
          <w:left w:w="145" w:type="dxa"/>
          <w:right w:w="145" w:type="dxa"/>
        </w:tblCellMar>
        <w:tblLook w:val="0000" w:firstRow="0" w:lastRow="0" w:firstColumn="0" w:lastColumn="0" w:noHBand="0" w:noVBand="0"/>
      </w:tblPr>
      <w:tblGrid>
        <w:gridCol w:w="1701"/>
        <w:gridCol w:w="7371"/>
      </w:tblGrid>
      <w:tr w:rsidRPr="00040CBD" w:rsidR="00203F23" w:rsidTr="005A7C50">
        <w:trPr>
          <w:cantSplit/>
        </w:trPr>
        <w:tc>
          <w:tcPr>
            <w:tcW w:w="1701" w:type="dxa"/>
            <w:shd w:val="pct10" w:color="000000" w:fill="FFFFFF"/>
            <w:vAlign w:val="center"/>
          </w:tcPr>
          <w:p w:rsidRPr="00040CBD" w:rsidR="00203F23" w:rsidP="005A7C50" w:rsidRDefault="00203F23">
            <w:pPr>
              <w:pStyle w:val="RollCallVotes"/>
            </w:pPr>
            <w:r>
              <w:t xml:space="preserve">3</w:t>
            </w:r>
          </w:p>
        </w:tc>
        <w:tc>
          <w:tcPr>
            <w:tcW w:w="7371" w:type="dxa"/>
            <w:shd w:val="pct10" w:color="000000" w:fill="FFFFFF"/>
          </w:tcPr>
          <w:p w:rsidRPr="00040CBD" w:rsidR="00203F23" w:rsidP="005A7C50" w:rsidRDefault="00203F23">
            <w:pPr>
              <w:pStyle w:val="RollCallSymbols14pt"/>
            </w:pPr>
            <w:r>
              <w:t xml:space="preserve">–</w:t>
            </w:r>
          </w:p>
        </w:tc>
      </w:tr>
      <w:tr w:rsidRPr="00040CBD" w:rsidR="00203F23" w:rsidTr="005A7C50">
        <w:trPr>
          <w:cantSplit/>
        </w:trPr>
        <w:tc>
          <w:tcPr>
            <w:tcW w:w="1701" w:type="dxa"/>
            <w:shd w:val="clear" w:color="auto" w:fill="FFFFFF"/>
          </w:tcPr>
          <w:p w:rsidRPr="00040CBD" w:rsidR="00203F23" w:rsidP="005A7C50" w:rsidRDefault="00203F23">
            <w:pPr>
              <w:pStyle w:val="RollCallTable"/>
            </w:pPr>
            <w:r>
              <w:t xml:space="preserve">ID</w:t>
            </w:r>
          </w:p>
        </w:tc>
        <w:tc>
          <w:tcPr>
            <w:tcW w:w="7371" w:type="dxa"/>
            <w:shd w:val="clear" w:color="auto" w:fill="FFFFFF"/>
          </w:tcPr>
          <w:p w:rsidRPr="00040CBD" w:rsidR="00203F23" w:rsidP="005A7C50" w:rsidRDefault="00203F23">
            <w:pPr>
              <w:pStyle w:val="RollCallTable"/>
            </w:pPr>
            <w:r>
              <w:t xml:space="preserve">Gunnar Beck</w:t>
            </w:r>
          </w:p>
        </w:tc>
      </w:tr>
      <w:tr w:rsidRPr="00040CBD" w:rsidR="00203F23" w:rsidTr="005A7C50">
        <w:trPr>
          <w:cantSplit/>
        </w:trPr>
        <w:tc>
          <w:tcPr>
            <w:tcW w:w="1701" w:type="dxa"/>
            <w:shd w:val="clear" w:color="auto" w:fill="FFFFFF"/>
          </w:tcPr>
          <w:p w:rsidRPr="00040CBD" w:rsidR="00203F23" w:rsidP="005A7C50" w:rsidRDefault="00203F23">
            <w:pPr>
              <w:pStyle w:val="RollCallTable"/>
            </w:pPr>
            <w:r>
              <w:t xml:space="preserve">NI</w:t>
            </w:r>
          </w:p>
        </w:tc>
        <w:tc>
          <w:tcPr>
            <w:tcW w:w="7371" w:type="dxa"/>
            <w:shd w:val="clear" w:color="auto" w:fill="FFFFFF"/>
          </w:tcPr>
          <w:p w:rsidRPr="00040CBD" w:rsidR="00203F23" w:rsidP="005A7C50" w:rsidRDefault="00203F23">
            <w:pPr>
              <w:pStyle w:val="RollCallTable"/>
            </w:pPr>
            <w:r>
              <w:t xml:space="preserve">Lefteris Nikolaou-Alavanos</w:t>
            </w:r>
          </w:p>
        </w:tc>
      </w:tr>
      <w:tr w:rsidRPr="00040CBD" w:rsidR="00203F23" w:rsidTr="005A7C50">
        <w:trPr>
          <w:cantSplit/>
        </w:trPr>
        <w:tc>
          <w:tcPr>
            <w:tcW w:w="1701" w:type="dxa"/>
            <w:shd w:val="clear" w:color="auto" w:fill="FFFFFF"/>
          </w:tcPr>
          <w:p w:rsidRPr="00040CBD" w:rsidR="00203F23" w:rsidP="005A7C50" w:rsidRDefault="00203F23">
            <w:pPr>
              <w:pStyle w:val="RollCallTable"/>
            </w:pPr>
            <w:r>
              <w:t xml:space="preserve">The Left</w:t>
            </w:r>
          </w:p>
        </w:tc>
        <w:tc>
          <w:tcPr>
            <w:tcW w:w="7371" w:type="dxa"/>
            <w:shd w:val="clear" w:color="auto" w:fill="FFFFFF"/>
          </w:tcPr>
          <w:p w:rsidRPr="00040CBD" w:rsidR="00203F23" w:rsidP="005A7C50" w:rsidRDefault="00203F23">
            <w:pPr>
              <w:pStyle w:val="RollCallTable"/>
            </w:pPr>
            <w:r>
              <w:t xml:space="preserve">José Gusmão</w:t>
            </w:r>
          </w:p>
        </w:tc>
      </w:tr>
    </w:tbl>
    <w:p w:rsidRPr="00040CBD" w:rsidR="00203F23" w:rsidP="00203F23" w:rsidRDefault="00203F23"/>
    <w:tbl>
      <w:tblPr>
        <w:tblW w:w="9072" w:type="dxa"/>
        <w:tblInd w:w="145" w:type="dxa"/>
        <w:tblBorders>
          <w:top w:val="double" w:color="000000" w:sz="2" w:space="0"/>
          <w:left w:val="double" w:color="000000" w:sz="2" w:space="0"/>
          <w:bottom w:val="double" w:color="000000" w:sz="2" w:space="0"/>
          <w:right w:val="double" w:color="000000" w:sz="2" w:space="0"/>
          <w:insideH w:val="single" w:color="000000" w:sz="2" w:space="0"/>
          <w:insideV w:val="single" w:color="000000" w:sz="2" w:space="0"/>
        </w:tblBorders>
        <w:tblLayout w:type="fixed"/>
        <w:tblCellMar>
          <w:left w:w="145" w:type="dxa"/>
          <w:right w:w="145" w:type="dxa"/>
        </w:tblCellMar>
        <w:tblLook w:val="0000" w:firstRow="0" w:lastRow="0" w:firstColumn="0" w:lastColumn="0" w:noHBand="0" w:noVBand="0"/>
      </w:tblPr>
      <w:tblGrid>
        <w:gridCol w:w="1701"/>
        <w:gridCol w:w="7371"/>
      </w:tblGrid>
      <w:tr w:rsidRPr="00040CBD" w:rsidR="00203F23" w:rsidTr="005A7C50">
        <w:trPr>
          <w:cantSplit/>
        </w:trPr>
        <w:tc>
          <w:tcPr>
            <w:tcW w:w="1701" w:type="dxa"/>
            <w:shd w:val="pct10" w:color="000000" w:fill="FFFFFF"/>
            <w:vAlign w:val="center"/>
          </w:tcPr>
          <w:p w:rsidRPr="00040CBD" w:rsidR="00203F23" w:rsidP="005A7C50" w:rsidRDefault="00203F23">
            <w:pPr>
              <w:pStyle w:val="RollCallVotes"/>
            </w:pPr>
            <w:r>
              <w:t xml:space="preserve">3</w:t>
            </w:r>
          </w:p>
        </w:tc>
        <w:tc>
          <w:tcPr>
            <w:tcW w:w="7371" w:type="dxa"/>
            <w:shd w:val="pct10" w:color="000000" w:fill="FFFFFF"/>
          </w:tcPr>
          <w:p w:rsidRPr="00040CBD" w:rsidR="00203F23" w:rsidP="005A7C50" w:rsidRDefault="00203F23">
            <w:pPr>
              <w:pStyle w:val="RollCallSymbols14pt"/>
            </w:pPr>
            <w:r>
              <w:t xml:space="preserve">0</w:t>
            </w:r>
          </w:p>
        </w:tc>
      </w:tr>
      <w:tr w:rsidRPr="00040CBD" w:rsidR="00203F23" w:rsidTr="005A7C50">
        <w:trPr>
          <w:cantSplit/>
        </w:trPr>
        <w:tc>
          <w:tcPr>
            <w:tcW w:w="1701" w:type="dxa"/>
            <w:shd w:val="clear" w:color="auto" w:fill="FFFFFF"/>
          </w:tcPr>
          <w:p w:rsidRPr="00040CBD" w:rsidR="00203F23" w:rsidP="005A7C50" w:rsidRDefault="00203F23">
            <w:pPr>
              <w:pStyle w:val="RollCallTable"/>
            </w:pPr>
            <w:r>
              <w:t xml:space="preserve">ECR</w:t>
            </w:r>
          </w:p>
        </w:tc>
        <w:tc>
          <w:tcPr>
            <w:tcW w:w="7371" w:type="dxa"/>
            <w:shd w:val="clear" w:color="auto" w:fill="FFFFFF"/>
          </w:tcPr>
          <w:p w:rsidRPr="00040CBD" w:rsidR="00203F23" w:rsidP="005A7C50" w:rsidRDefault="00203F23">
            <w:pPr>
              <w:pStyle w:val="RollCallTable"/>
            </w:pPr>
            <w:r>
              <w:t xml:space="preserve">Denis Nesci</w:t>
            </w:r>
          </w:p>
        </w:tc>
      </w:tr>
      <w:tr w:rsidRPr="00040CBD" w:rsidR="00203F23" w:rsidTr="005A7C50">
        <w:trPr>
          <w:cantSplit/>
        </w:trPr>
        <w:tc>
          <w:tcPr>
            <w:tcW w:w="1701" w:type="dxa"/>
            <w:shd w:val="clear" w:color="auto" w:fill="FFFFFF"/>
          </w:tcPr>
          <w:p w:rsidRPr="00040CBD" w:rsidR="00203F23" w:rsidP="005A7C50" w:rsidRDefault="00203F23">
            <w:pPr>
              <w:pStyle w:val="RollCallTable"/>
            </w:pPr>
            <w:r>
              <w:t xml:space="preserve">ID</w:t>
            </w:r>
          </w:p>
        </w:tc>
        <w:tc>
          <w:tcPr>
            <w:tcW w:w="7371" w:type="dxa"/>
            <w:shd w:val="clear" w:color="auto" w:fill="FFFFFF"/>
          </w:tcPr>
          <w:p w:rsidRPr="00040CBD" w:rsidR="00203F23" w:rsidP="005A7C50" w:rsidRDefault="00203F23">
            <w:pPr>
              <w:pStyle w:val="RollCallTable"/>
            </w:pPr>
            <w:r>
              <w:t xml:space="preserve">Alessandra Basso, Antonio Maria Rinaldi</w:t>
            </w:r>
          </w:p>
        </w:tc>
      </w:tr>
    </w:tbl>
    <w:p w:rsidRPr="00040CBD" w:rsidR="00203F23" w:rsidP="00203F23" w:rsidRDefault="00203F23">
      <w:pPr>
        <w:pStyle w:val="Normal12a"/>
        <w:rPr>
          <w:lang w:val="fr-FR"/>
        </w:rPr>
      </w:pPr>
    </w:p>
    <w:p w:rsidRPr="00040CBD" w:rsidR="00203F23" w:rsidP="00203F23" w:rsidRDefault="00203F23">
      <w:r>
        <w:t xml:space="preserve">Key to symbols:</w:t>
      </w:r>
    </w:p>
    <w:p w:rsidRPr="00040CBD" w:rsidR="00203F23" w:rsidP="00203F23" w:rsidRDefault="00203F23">
      <w:pPr>
        <w:pStyle w:val="RollCallTabs"/>
      </w:pPr>
      <w:r>
        <w:t xml:space="preserve">+</w:t>
      </w:r>
      <w:r>
        <w:tab/>
      </w:r>
      <w:r>
        <w:t xml:space="preserve">:</w:t>
      </w:r>
      <w:r>
        <w:tab/>
      </w:r>
      <w:r>
        <w:t xml:space="preserve">pour</w:t>
      </w:r>
    </w:p>
    <w:p w:rsidRPr="00040CBD" w:rsidR="00203F23" w:rsidP="00203F23" w:rsidRDefault="00203F23">
      <w:pPr>
        <w:pStyle w:val="RollCallTabs"/>
      </w:pPr>
      <w:r>
        <w:t xml:space="preserve">–</w:t>
      </w:r>
      <w:r>
        <w:tab/>
      </w:r>
      <w:r>
        <w:t xml:space="preserve">:</w:t>
      </w:r>
      <w:r>
        <w:tab/>
      </w:r>
      <w:r>
        <w:t xml:space="preserve">contre</w:t>
      </w:r>
    </w:p>
    <w:p w:rsidRPr="00040CBD" w:rsidR="00203F23" w:rsidP="00203F23" w:rsidRDefault="00203F23">
      <w:pPr>
        <w:pStyle w:val="RollCallTabs"/>
      </w:pPr>
      <w:r>
        <w:t xml:space="preserve">0</w:t>
      </w:r>
      <w:r>
        <w:tab/>
      </w:r>
      <w:r>
        <w:t xml:space="preserve">:</w:t>
      </w:r>
      <w:r>
        <w:tab/>
      </w:r>
      <w:r>
        <w:t xml:space="preserve">abstention</w:t>
      </w:r>
    </w:p>
    <w:p w:rsidRPr="00040CBD" w:rsidR="00203F23" w:rsidP="00203F23" w:rsidRDefault="00203F23"/>
    <w:bookmarkEnd w:id="10"/>
    <w:p w:rsidRPr="00040CBD" w:rsidR="00842A4F" w:rsidP="00842A4F" w:rsidRDefault="00842A4F"/>
    <w:sectPr w:rsidRPr="00040CBD" w:rsidR="00842A4F" w:rsidSect="00203F23">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5D1B" w:rsidRPr="00040CBD" w:rsidRDefault="00105D1B">
      <w:r w:rsidRPr="00040CBD">
        <w:separator/>
      </w:r>
    </w:p>
  </w:endnote>
  <w:endnote w:type="continuationSeparator" w:id="0">
    <w:p w:rsidR="00105D1B" w:rsidRPr="00040CBD" w:rsidRDefault="00105D1B">
      <w:r w:rsidRPr="00040C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F23" w:rsidRPr="00040CBD" w:rsidRDefault="00203F23" w:rsidP="00203F23">
    <w:pPr>
      <w:pStyle w:val="EPFooter"/>
    </w:pPr>
    <w:r w:rsidRPr="00040CBD">
      <w:t>PE</w:t>
    </w:r>
    <w:r w:rsidRPr="00040CBD">
      <w:rPr>
        <w:rStyle w:val="HideTWBExt"/>
      </w:rPr>
      <w:t>&lt;NoPE&gt;</w:t>
    </w:r>
    <w:r w:rsidRPr="00040CBD">
      <w:t>749.905</w:t>
    </w:r>
    <w:r w:rsidRPr="00040CBD">
      <w:rPr>
        <w:rStyle w:val="HideTWBExt"/>
      </w:rPr>
      <w:t>&lt;/NoPE&gt;&lt;Version&gt;</w:t>
    </w:r>
    <w:r w:rsidRPr="00040CBD">
      <w:t>v02-00</w:t>
    </w:r>
    <w:r w:rsidRPr="00040CBD">
      <w:rPr>
        <w:rStyle w:val="HideTWBExt"/>
      </w:rPr>
      <w:t>&lt;/Version&gt;</w:t>
    </w:r>
    <w:r w:rsidRPr="00040CBD">
      <w:tab/>
    </w:r>
    <w:r w:rsidRPr="00040CBD">
      <w:fldChar w:fldCharType="begin"/>
    </w:r>
    <w:r w:rsidRPr="00040CBD">
      <w:instrText xml:space="preserve"> PAGE  \* MERGEFORMAT </w:instrText>
    </w:r>
    <w:r w:rsidRPr="00040CBD">
      <w:fldChar w:fldCharType="separate"/>
    </w:r>
    <w:r w:rsidR="006A6735">
      <w:rPr>
        <w:noProof/>
      </w:rPr>
      <w:t>2</w:t>
    </w:r>
    <w:r w:rsidRPr="00040CBD">
      <w:fldChar w:fldCharType="end"/>
    </w:r>
    <w:r w:rsidRPr="00040CBD">
      <w:t>/</w:t>
    </w:r>
    <w:fldSimple w:instr=" NUMPAGES  \* MERGEFORMAT ">
      <w:r w:rsidR="006A6735">
        <w:rPr>
          <w:noProof/>
        </w:rPr>
        <w:t>16</w:t>
      </w:r>
    </w:fldSimple>
    <w:r w:rsidRPr="00040CBD">
      <w:tab/>
    </w:r>
    <w:r w:rsidRPr="00040CBD">
      <w:rPr>
        <w:rStyle w:val="HideTWBExt"/>
      </w:rPr>
      <w:t>&lt;PathFdR&gt;</w:t>
    </w:r>
    <w:r w:rsidRPr="00040CBD">
      <w:t>RR\1292181FR.docx</w:t>
    </w:r>
    <w:r w:rsidRPr="00040CBD">
      <w:rPr>
        <w:rStyle w:val="HideTWBExt"/>
      </w:rPr>
      <w:t>&lt;/PathFdR&gt;</w:t>
    </w:r>
  </w:p>
  <w:p w:rsidR="00203F23" w:rsidRPr="00040CBD" w:rsidRDefault="00203F23" w:rsidP="00203F23">
    <w:pPr>
      <w:pStyle w:val="EPFooter2"/>
    </w:pPr>
    <w:r w:rsidRPr="00040CBD">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F23" w:rsidRPr="00040CBD" w:rsidRDefault="00203F23" w:rsidP="00203F23">
    <w:pPr>
      <w:pStyle w:val="EPFooter"/>
    </w:pPr>
    <w:r w:rsidRPr="00040CBD">
      <w:rPr>
        <w:rStyle w:val="HideTWBExt"/>
      </w:rPr>
      <w:t>&lt;PathFdR&gt;</w:t>
    </w:r>
    <w:r w:rsidRPr="00040CBD">
      <w:t>RR\1292181FR.docx</w:t>
    </w:r>
    <w:r w:rsidRPr="00040CBD">
      <w:rPr>
        <w:rStyle w:val="HideTWBExt"/>
      </w:rPr>
      <w:t>&lt;/PathFdR&gt;</w:t>
    </w:r>
    <w:r w:rsidRPr="00040CBD">
      <w:tab/>
    </w:r>
    <w:r w:rsidRPr="00040CBD">
      <w:fldChar w:fldCharType="begin"/>
    </w:r>
    <w:r w:rsidRPr="00040CBD">
      <w:instrText xml:space="preserve"> PAGE  \* MERGEFORMAT </w:instrText>
    </w:r>
    <w:r w:rsidRPr="00040CBD">
      <w:fldChar w:fldCharType="separate"/>
    </w:r>
    <w:r w:rsidR="006A6735">
      <w:rPr>
        <w:noProof/>
      </w:rPr>
      <w:t>16</w:t>
    </w:r>
    <w:r w:rsidRPr="00040CBD">
      <w:fldChar w:fldCharType="end"/>
    </w:r>
    <w:r w:rsidRPr="00040CBD">
      <w:t>/</w:t>
    </w:r>
    <w:fldSimple w:instr=" NUMPAGES  \* MERGEFORMAT ">
      <w:r w:rsidR="006A6735">
        <w:rPr>
          <w:noProof/>
        </w:rPr>
        <w:t>16</w:t>
      </w:r>
    </w:fldSimple>
    <w:r w:rsidRPr="00040CBD">
      <w:tab/>
      <w:t>PE</w:t>
    </w:r>
    <w:r w:rsidRPr="00040CBD">
      <w:rPr>
        <w:rStyle w:val="HideTWBExt"/>
      </w:rPr>
      <w:t>&lt;NoPE&gt;</w:t>
    </w:r>
    <w:r w:rsidRPr="00040CBD">
      <w:t>749.905</w:t>
    </w:r>
    <w:r w:rsidRPr="00040CBD">
      <w:rPr>
        <w:rStyle w:val="HideTWBExt"/>
      </w:rPr>
      <w:t>&lt;/NoPE&gt;&lt;Version&gt;</w:t>
    </w:r>
    <w:r w:rsidRPr="00040CBD">
      <w:t>v02-00</w:t>
    </w:r>
    <w:r w:rsidRPr="00040CBD">
      <w:rPr>
        <w:rStyle w:val="HideTWBExt"/>
      </w:rPr>
      <w:t>&lt;/Version&gt;</w:t>
    </w:r>
  </w:p>
  <w:p w:rsidR="00203F23" w:rsidRPr="00040CBD" w:rsidRDefault="00203F23" w:rsidP="00203F23">
    <w:pPr>
      <w:pStyle w:val="EPFooter2"/>
    </w:pPr>
    <w:r w:rsidRPr="00040CBD">
      <w:tab/>
    </w:r>
    <w:r w:rsidRPr="00040CBD">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F23" w:rsidRPr="00040CBD" w:rsidRDefault="00203F23" w:rsidP="00203F23">
    <w:pPr>
      <w:pStyle w:val="EPFooter"/>
    </w:pPr>
    <w:r w:rsidRPr="00040CBD">
      <w:rPr>
        <w:rStyle w:val="HideTWBExt"/>
      </w:rPr>
      <w:t>&lt;PathFdR&gt;</w:t>
    </w:r>
    <w:r w:rsidRPr="00040CBD">
      <w:t>RR\1292181FR.docx</w:t>
    </w:r>
    <w:r w:rsidRPr="00040CBD">
      <w:rPr>
        <w:rStyle w:val="HideTWBExt"/>
      </w:rPr>
      <w:t>&lt;/PathFdR&gt;</w:t>
    </w:r>
    <w:r w:rsidRPr="00040CBD">
      <w:tab/>
    </w:r>
    <w:r w:rsidRPr="00040CBD">
      <w:tab/>
      <w:t>PE</w:t>
    </w:r>
    <w:r w:rsidRPr="00040CBD">
      <w:rPr>
        <w:rStyle w:val="HideTWBExt"/>
      </w:rPr>
      <w:t>&lt;NoPE&gt;</w:t>
    </w:r>
    <w:r w:rsidRPr="00040CBD">
      <w:t>749.905</w:t>
    </w:r>
    <w:r w:rsidRPr="00040CBD">
      <w:rPr>
        <w:rStyle w:val="HideTWBExt"/>
      </w:rPr>
      <w:t>&lt;/NoPE&gt;&lt;Version&gt;</w:t>
    </w:r>
    <w:r w:rsidRPr="00040CBD">
      <w:t>v02-00</w:t>
    </w:r>
    <w:r w:rsidRPr="00040CBD">
      <w:rPr>
        <w:rStyle w:val="HideTWBExt"/>
      </w:rPr>
      <w:t>&lt;/Version&gt;</w:t>
    </w:r>
  </w:p>
  <w:p w:rsidR="00203F23" w:rsidRPr="00040CBD" w:rsidRDefault="00203F23" w:rsidP="00203F23">
    <w:pPr>
      <w:pStyle w:val="EPFooter2"/>
    </w:pPr>
    <w:r w:rsidRPr="00040CBD">
      <w:t>FR</w:t>
    </w:r>
    <w:r w:rsidRPr="00040CBD">
      <w:tab/>
    </w:r>
    <w:r w:rsidRPr="00040CBD">
      <w:rPr>
        <w:b w:val="0"/>
        <w:i/>
        <w:color w:val="C0C0C0"/>
        <w:sz w:val="22"/>
      </w:rPr>
      <w:t>Unie dans la diversité</w:t>
    </w:r>
    <w:r w:rsidRPr="00040CBD">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3DF" w:rsidRPr="00040CBD" w:rsidRDefault="005733DF" w:rsidP="00107F15">
    <w:pPr>
      <w:pStyle w:val="EPFooter"/>
    </w:pPr>
    <w:r w:rsidRPr="00040CBD">
      <w:rPr>
        <w:rStyle w:val="HideTWBExt"/>
      </w:rPr>
      <w:t>&lt;PathFdR&gt;</w:t>
    </w:r>
    <w:r w:rsidR="00040CBD" w:rsidRPr="00040CBD">
      <w:rPr>
        <w:color w:val="auto"/>
      </w:rPr>
      <w:t>RR\1292181FR.docx</w:t>
    </w:r>
    <w:r w:rsidRPr="00040CBD">
      <w:rPr>
        <w:rStyle w:val="HideTWBExt"/>
      </w:rPr>
      <w:t>&lt;/PathFdR&gt;</w:t>
    </w:r>
    <w:r w:rsidRPr="00040CBD">
      <w:tab/>
    </w:r>
    <w:r w:rsidRPr="00040CBD">
      <w:tab/>
      <w:t>PE</w:t>
    </w:r>
    <w:r w:rsidRPr="00040CBD">
      <w:rPr>
        <w:rStyle w:val="HideTWBExt"/>
      </w:rPr>
      <w:t>&lt;NoPE&gt;</w:t>
    </w:r>
    <w:r w:rsidR="00107F15" w:rsidRPr="00040CBD">
      <w:rPr>
        <w:color w:val="auto"/>
      </w:rPr>
      <w:t>749.905</w:t>
    </w:r>
    <w:r w:rsidRPr="00040CBD">
      <w:rPr>
        <w:rStyle w:val="HideTWBExt"/>
      </w:rPr>
      <w:t>&lt;/NoPE&gt;&lt;Version&gt;</w:t>
    </w:r>
    <w:r w:rsidR="00105D1B" w:rsidRPr="00040CBD">
      <w:t>v</w:t>
    </w:r>
    <w:r w:rsidR="00107F15" w:rsidRPr="00040CBD">
      <w:rPr>
        <w:color w:val="auto"/>
      </w:rPr>
      <w:t>02-00</w:t>
    </w:r>
    <w:r w:rsidRPr="00040CBD">
      <w:rPr>
        <w:rStyle w:val="HideTWBExt"/>
      </w:rPr>
      <w:t>&lt;/Version&gt;</w:t>
    </w:r>
  </w:p>
  <w:p w:rsidR="005733DF" w:rsidRPr="00040CBD" w:rsidRDefault="006A6735" w:rsidP="00107F15">
    <w:pPr>
      <w:pStyle w:val="EPFooter2"/>
      <w:tabs>
        <w:tab w:val="clear" w:pos="4535"/>
        <w:tab w:val="center" w:pos="4536"/>
      </w:tabs>
    </w:pPr>
    <w:r w:rsidRPr="00040CBD">
      <w:fldChar w:fldCharType="begin"/>
    </w:r>
    <w:r w:rsidRPr="00040CBD">
      <w:instrText xml:space="preserve"> DOCPROPERTY "&lt;Extension&gt;" </w:instrText>
    </w:r>
    <w:r w:rsidRPr="00040CBD">
      <w:fldChar w:fldCharType="separate"/>
    </w:r>
    <w:r>
      <w:t>FR</w:t>
    </w:r>
    <w:r w:rsidRPr="00040CBD">
      <w:fldChar w:fldCharType="end"/>
    </w:r>
    <w:r w:rsidR="005733DF" w:rsidRPr="00040CBD">
      <w:tab/>
    </w:r>
    <w:r w:rsidR="00107F15" w:rsidRPr="00040CBD">
      <w:rPr>
        <w:b w:val="0"/>
        <w:i/>
        <w:color w:val="C0C0C0"/>
        <w:sz w:val="22"/>
        <w:szCs w:val="22"/>
      </w:rPr>
      <w:t>Unie dans la diversité</w:t>
    </w:r>
    <w:r w:rsidR="005733DF" w:rsidRPr="00040CBD">
      <w:tab/>
    </w:r>
    <w:r w:rsidRPr="00040CBD">
      <w:fldChar w:fldCharType="begin"/>
    </w:r>
    <w:r w:rsidRPr="00040CBD">
      <w:instrText xml:space="preserve"> DOCPROPERTY "&lt;Extension&gt;" </w:instrText>
    </w:r>
    <w:r w:rsidRPr="00040CBD">
      <w:fldChar w:fldCharType="separate"/>
    </w:r>
    <w:r>
      <w:t>FR</w:t>
    </w:r>
    <w:r w:rsidRPr="00040CBD">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5D1B" w:rsidRPr="00040CBD" w:rsidRDefault="00105D1B">
      <w:r w:rsidRPr="00040CBD">
        <w:separator/>
      </w:r>
    </w:p>
  </w:footnote>
  <w:footnote w:type="continuationSeparator" w:id="0">
    <w:p w:rsidR="00105D1B" w:rsidRPr="00040CBD" w:rsidRDefault="00105D1B">
      <w:r w:rsidRPr="00040CBD">
        <w:continuationSeparator/>
      </w:r>
    </w:p>
  </w:footnote>
  <w:footnote w:id="1">
    <w:p w:rsidR="00203F23" w:rsidRPr="00040CBD" w:rsidRDefault="00203F23" w:rsidP="00203F23">
      <w:pPr>
        <w:pStyle w:val="FootnoteText"/>
      </w:pPr>
      <w:r>
        <w:rPr>
          <w:rStyle w:val="FootnoteReference"/>
        </w:rPr>
        <w:t xml:space="preserve">*</w:t>
      </w:r>
      <w:r>
        <w:t xml:space="preserve"> Amendements:</w:t>
      </w:r>
      <w:r>
        <w:t xml:space="preserve"> </w:t>
      </w:r>
      <w:r>
        <w:t xml:space="preserve">le texte nouveau ou modifié est signalé par des italiques gras;</w:t>
      </w:r>
      <w:r>
        <w:t xml:space="preserve"> </w:t>
      </w:r>
      <w:r>
        <w:t xml:space="preserve">les suppressions sont signalées par le symbole ▌.</w:t>
      </w:r>
    </w:p>
  </w:footnote>
  <w:footnote w:id="2">
    <w:p w:rsidR="00203F23" w:rsidRPr="00040CBD" w:rsidRDefault="00203F23" w:rsidP="00203F23">
      <w:pPr>
        <w:pStyle w:val="FootnoteText"/>
      </w:pPr>
      <w:r>
        <w:rPr>
          <w:rStyle w:val="FootnoteReference"/>
        </w:rPr>
        <w:footnoteRef/>
      </w:r>
      <w:r>
        <w:t xml:space="preserve"> JO C 385, 15.11.2017, p. 10.</w:t>
      </w:r>
    </w:p>
  </w:footnote>
  <w:footnote w:id="3">
    <w:p w:rsidR="00203F23" w:rsidRPr="00040CBD" w:rsidRDefault="00203F23" w:rsidP="00203F23">
      <w:pPr>
        <w:pStyle w:val="FootnoteText"/>
      </w:pPr>
      <w:r>
        <w:rPr>
          <w:rStyle w:val="FootnoteReference"/>
        </w:rPr>
        <w:footnoteRef/>
      </w:r>
      <w:r>
        <w:t xml:space="preserve"> JO C 434, 15.12.2017, p. 63.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735" w:rsidRDefault="006A67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735" w:rsidRDefault="006A67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735" w:rsidRDefault="006A67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ECON"/>
    <w:docVar w:name="DOCMNU" w:val=" 2"/>
    <w:docVar w:name="LastEditedSection" w:val=" 1"/>
    <w:docVar w:name="strDocTypeID" w:val="PR_COD_1consamCom"/>
    <w:docVar w:name="strSubDir" w:val="1292"/>
    <w:docVar w:name="TXTAUTHOR" w:val="Danuta Maria Hübner"/>
    <w:docVar w:name="TXTLANGUE" w:val="FR"/>
    <w:docVar w:name="TXTLANGUEMIN" w:val="fr"/>
    <w:docVar w:name="TXTNRC" w:val="0411/2022"/>
    <w:docVar w:name="TXTNRCOD" w:val="2022/0404"/>
    <w:docVar w:name="TXTNRCOM" w:val="(2022)0698"/>
    <w:docVar w:name="TXTNRPE" w:val="749.905"/>
    <w:docVar w:name="TXTPEorAP" w:val="PE"/>
    <w:docVar w:name="TXTROUTE" w:val="RR\1292181FR.docx"/>
    <w:docVar w:name="TXTTITLE" w:val="modifiant les directives 2009/65/UE, 2013/36/UE et (UE) 2019/2034 en ce qui concerne le traitement du risque de concentration vis-à-vis des contreparties centrales et du risque de contrepartie des transactions sur instruments dérivés faisant l’objet d’une compensation centrale"/>
    <w:docVar w:name="TXTVERSION" w:val="02-00"/>
  </w:docVars>
  <w:rsids>
    <w:rsidRoot w:val="00105D1B"/>
    <w:rsid w:val="00023E5A"/>
    <w:rsid w:val="00040CBD"/>
    <w:rsid w:val="000631D4"/>
    <w:rsid w:val="000B1460"/>
    <w:rsid w:val="000D08D7"/>
    <w:rsid w:val="00105D1B"/>
    <w:rsid w:val="00107F15"/>
    <w:rsid w:val="00116C66"/>
    <w:rsid w:val="00132227"/>
    <w:rsid w:val="00153148"/>
    <w:rsid w:val="00171841"/>
    <w:rsid w:val="001907B9"/>
    <w:rsid w:val="001A06D8"/>
    <w:rsid w:val="001C7270"/>
    <w:rsid w:val="001F7D47"/>
    <w:rsid w:val="00203F23"/>
    <w:rsid w:val="00215E16"/>
    <w:rsid w:val="002224E6"/>
    <w:rsid w:val="00284AA9"/>
    <w:rsid w:val="00287F75"/>
    <w:rsid w:val="00292097"/>
    <w:rsid w:val="00297ED9"/>
    <w:rsid w:val="002B272A"/>
    <w:rsid w:val="002B3AE7"/>
    <w:rsid w:val="002C16AB"/>
    <w:rsid w:val="00322342"/>
    <w:rsid w:val="0032442B"/>
    <w:rsid w:val="00332734"/>
    <w:rsid w:val="003845A6"/>
    <w:rsid w:val="003B0D2F"/>
    <w:rsid w:val="00402B8D"/>
    <w:rsid w:val="004152BD"/>
    <w:rsid w:val="00484FEF"/>
    <w:rsid w:val="004C34F4"/>
    <w:rsid w:val="004F1D9B"/>
    <w:rsid w:val="0050599C"/>
    <w:rsid w:val="005278AC"/>
    <w:rsid w:val="00543B7B"/>
    <w:rsid w:val="005508B4"/>
    <w:rsid w:val="005733DF"/>
    <w:rsid w:val="006058F8"/>
    <w:rsid w:val="006138E1"/>
    <w:rsid w:val="006177EB"/>
    <w:rsid w:val="00643FD8"/>
    <w:rsid w:val="006506C7"/>
    <w:rsid w:val="00697F85"/>
    <w:rsid w:val="006A385A"/>
    <w:rsid w:val="006A6735"/>
    <w:rsid w:val="006B3712"/>
    <w:rsid w:val="006E6E2B"/>
    <w:rsid w:val="00704B3C"/>
    <w:rsid w:val="007232F7"/>
    <w:rsid w:val="00740D24"/>
    <w:rsid w:val="0074235C"/>
    <w:rsid w:val="00775B91"/>
    <w:rsid w:val="00781E66"/>
    <w:rsid w:val="007A775E"/>
    <w:rsid w:val="007B1333"/>
    <w:rsid w:val="007D611D"/>
    <w:rsid w:val="008233C3"/>
    <w:rsid w:val="00842A4F"/>
    <w:rsid w:val="00893315"/>
    <w:rsid w:val="008A4D98"/>
    <w:rsid w:val="008C399E"/>
    <w:rsid w:val="008E22DF"/>
    <w:rsid w:val="009144E8"/>
    <w:rsid w:val="009D3F02"/>
    <w:rsid w:val="00A33B53"/>
    <w:rsid w:val="00A44CC5"/>
    <w:rsid w:val="00A55EFE"/>
    <w:rsid w:val="00A6214C"/>
    <w:rsid w:val="00A85BE8"/>
    <w:rsid w:val="00AB33F2"/>
    <w:rsid w:val="00AD26AD"/>
    <w:rsid w:val="00B03ED6"/>
    <w:rsid w:val="00B36B3A"/>
    <w:rsid w:val="00B4162C"/>
    <w:rsid w:val="00B56BC9"/>
    <w:rsid w:val="00B77677"/>
    <w:rsid w:val="00BA47CC"/>
    <w:rsid w:val="00BD28D4"/>
    <w:rsid w:val="00BE4EC7"/>
    <w:rsid w:val="00BF33BC"/>
    <w:rsid w:val="00BF78BF"/>
    <w:rsid w:val="00C0751A"/>
    <w:rsid w:val="00C11EAA"/>
    <w:rsid w:val="00C13A18"/>
    <w:rsid w:val="00C67923"/>
    <w:rsid w:val="00C70911"/>
    <w:rsid w:val="00CA0FE6"/>
    <w:rsid w:val="00CD41DC"/>
    <w:rsid w:val="00D31FCB"/>
    <w:rsid w:val="00D976F8"/>
    <w:rsid w:val="00DB7255"/>
    <w:rsid w:val="00DC2961"/>
    <w:rsid w:val="00DC3DED"/>
    <w:rsid w:val="00DC4E61"/>
    <w:rsid w:val="00DD5DB1"/>
    <w:rsid w:val="00E153E5"/>
    <w:rsid w:val="00E21071"/>
    <w:rsid w:val="00E23258"/>
    <w:rsid w:val="00E54998"/>
    <w:rsid w:val="00EA22BE"/>
    <w:rsid w:val="00ED0821"/>
    <w:rsid w:val="00ED6403"/>
    <w:rsid w:val="00F02F34"/>
    <w:rsid w:val="00F11079"/>
    <w:rsid w:val="00F504BB"/>
    <w:rsid w:val="00F505FD"/>
    <w:rsid w:val="00F7748F"/>
    <w:rsid w:val="00F83934"/>
    <w:rsid w:val="00F92DB3"/>
    <w:rsid w:val="00F94481"/>
    <w:rsid w:val="00FB26D2"/>
    <w:rsid w:val="00FE2F8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5B5F79"/>
  <w15:chartTrackingRefBased/>
  <w15:docId w15:val="{B397A43F-57DB-4F50-B40A-D138177DCC1F}"/>
  <w:trackRevision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7923"/>
    <w:pPr>
      <w:widowControl w:val="0"/>
    </w:pPr>
    <w:rPr>
      <w:sz w:val="24"/>
      <w:lang w:val="fr-FR"/>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03ED6"/>
    <w:pPr>
      <w:spacing w:before="480" w:after="240"/>
    </w:pPr>
  </w:style>
  <w:style w:type="paragraph" w:styleId="TOC1">
    <w:name w:val="toc 1"/>
    <w:basedOn w:val="Normal"/>
    <w:next w:val="Normal"/>
    <w:autoRedefine/>
    <w:uiPriority w:val="39"/>
    <w:rsid w:val="002C16A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rsid w:val="00DC4E61"/>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6B3712"/>
    <w:pPr>
      <w:spacing w:after="240"/>
      <w:jc w:val="center"/>
    </w:pPr>
  </w:style>
  <w:style w:type="paragraph" w:customStyle="1" w:styleId="CoverReference">
    <w:name w:val="CoverReference"/>
    <w:basedOn w:val="Normal"/>
    <w:rsid w:val="00BA47CC"/>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C4E6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740D24"/>
    <w:pPr>
      <w:tabs>
        <w:tab w:val="center" w:pos="4513"/>
        <w:tab w:val="right" w:pos="9026"/>
      </w:tabs>
    </w:pPr>
  </w:style>
  <w:style w:type="paragraph" w:customStyle="1" w:styleId="AmNumberTabs">
    <w:name w:val="AmNumberTabs"/>
    <w:basedOn w:val="Normal"/>
    <w:rsid w:val="00842A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noteText">
    <w:name w:val="footnote text"/>
    <w:basedOn w:val="Normal"/>
    <w:rsid w:val="00C0751A"/>
    <w:pPr>
      <w:widowControl/>
    </w:pPr>
    <w:rPr>
      <w:sz w:val="20"/>
    </w:rPr>
  </w:style>
  <w:style w:type="character" w:styleId="FootnoteReference">
    <w:name w:val="footnote reference"/>
    <w:rsid w:val="00842A4F"/>
    <w:rPr>
      <w:vertAlign w:val="superscript"/>
    </w:rPr>
  </w:style>
  <w:style w:type="paragraph" w:customStyle="1" w:styleId="AmHeadingConsam">
    <w:name w:val="AmHeadingConsam"/>
    <w:basedOn w:val="Normal"/>
    <w:next w:val="NormalCenter12a"/>
    <w:rsid w:val="00A85BE8"/>
    <w:pPr>
      <w:spacing w:before="720" w:after="240"/>
      <w:jc w:val="center"/>
    </w:pPr>
  </w:style>
  <w:style w:type="table" w:styleId="TableGrid">
    <w:name w:val="Table Grid"/>
    <w:basedOn w:val="TableNormal"/>
    <w:rsid w:val="003327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332734"/>
    <w:pPr>
      <w:jc w:val="center"/>
    </w:pPr>
    <w:rPr>
      <w:rFonts w:ascii="Arial" w:hAnsi="Arial" w:cs="Arial"/>
      <w:i/>
      <w:sz w:val="22"/>
      <w:szCs w:val="22"/>
    </w:rPr>
  </w:style>
  <w:style w:type="paragraph" w:customStyle="1" w:styleId="LineTop">
    <w:name w:val="LineTop"/>
    <w:basedOn w:val="Normal"/>
    <w:next w:val="Normal"/>
    <w:rsid w:val="003327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32734"/>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6506C7"/>
    <w:pPr>
      <w:spacing w:before="80" w:after="80"/>
    </w:pPr>
    <w:rPr>
      <w:rFonts w:ascii="Arial Narrow" w:hAnsi="Arial Narrow" w:cs="Arial"/>
      <w:b/>
      <w:sz w:val="32"/>
      <w:szCs w:val="22"/>
    </w:rPr>
  </w:style>
  <w:style w:type="paragraph" w:customStyle="1" w:styleId="EPTerm">
    <w:name w:val="EPTerm"/>
    <w:basedOn w:val="Normal"/>
    <w:next w:val="Normal"/>
    <w:rsid w:val="006506C7"/>
    <w:pPr>
      <w:spacing w:after="80"/>
    </w:pPr>
    <w:rPr>
      <w:rFonts w:ascii="Arial" w:hAnsi="Arial" w:cs="Arial"/>
      <w:sz w:val="20"/>
      <w:szCs w:val="22"/>
    </w:rPr>
  </w:style>
  <w:style w:type="paragraph" w:customStyle="1" w:styleId="EPLogo">
    <w:name w:val="EPLogo"/>
    <w:basedOn w:val="Normal"/>
    <w:qFormat/>
    <w:rsid w:val="006506C7"/>
    <w:pPr>
      <w:jc w:val="right"/>
    </w:pPr>
  </w:style>
  <w:style w:type="paragraph" w:customStyle="1" w:styleId="EPFooter">
    <w:name w:val="EPFooter"/>
    <w:basedOn w:val="Normal"/>
    <w:rsid w:val="00DC4E61"/>
    <w:pPr>
      <w:tabs>
        <w:tab w:val="center" w:pos="4535"/>
        <w:tab w:val="right" w:pos="9071"/>
      </w:tabs>
      <w:spacing w:before="240" w:after="240"/>
    </w:pPr>
    <w:rPr>
      <w:color w:val="010000"/>
      <w:sz w:val="22"/>
    </w:rPr>
  </w:style>
  <w:style w:type="character" w:styleId="PageNumber">
    <w:name w:val="page number"/>
    <w:basedOn w:val="DefaultParagraphFont"/>
    <w:semiHidden/>
    <w:rsid w:val="005278AC"/>
  </w:style>
  <w:style w:type="character" w:customStyle="1" w:styleId="HeaderChar">
    <w:name w:val="Header Char"/>
    <w:basedOn w:val="DefaultParagraphFont"/>
    <w:link w:val="Header"/>
    <w:semiHidden/>
    <w:rsid w:val="00740D24"/>
    <w:rPr>
      <w:sz w:val="24"/>
    </w:rPr>
  </w:style>
  <w:style w:type="paragraph" w:customStyle="1" w:styleId="Lgendesigne">
    <w:name w:val="Légende signe"/>
    <w:basedOn w:val="Normal"/>
    <w:rsid w:val="00107F15"/>
    <w:pPr>
      <w:tabs>
        <w:tab w:val="right" w:pos="454"/>
        <w:tab w:val="left" w:pos="737"/>
      </w:tabs>
      <w:ind w:left="737" w:hanging="737"/>
    </w:pPr>
    <w:rPr>
      <w:snapToGrid w:val="0"/>
      <w:sz w:val="18"/>
      <w:lang w:val="fr-FR" w:eastAsia="en-US"/>
    </w:rPr>
  </w:style>
  <w:style w:type="paragraph" w:customStyle="1" w:styleId="Lgendetitre">
    <w:name w:val="Légende titre"/>
    <w:basedOn w:val="Normal"/>
    <w:rsid w:val="00107F15"/>
    <w:pPr>
      <w:spacing w:before="240" w:after="240"/>
    </w:pPr>
    <w:rPr>
      <w:b/>
      <w:i/>
      <w:snapToGrid w:val="0"/>
      <w:lang w:val="fr-FR" w:eastAsia="en-US"/>
    </w:rPr>
  </w:style>
  <w:style w:type="paragraph" w:customStyle="1" w:styleId="Lgendestandard">
    <w:name w:val="Légende standard"/>
    <w:basedOn w:val="Normal"/>
    <w:rsid w:val="00107F15"/>
    <w:rPr>
      <w:sz w:val="18"/>
      <w:lang w:val="fr-FR"/>
    </w:rPr>
  </w:style>
  <w:style w:type="paragraph" w:styleId="NoSpacing">
    <w:name w:val="No Spacing"/>
    <w:uiPriority w:val="1"/>
    <w:qFormat/>
    <w:rsid w:val="00203F23"/>
    <w:pPr>
      <w:jc w:val="both"/>
    </w:pPr>
    <w:rPr>
      <w:rFonts w:eastAsiaTheme="minorHAnsi"/>
      <w:sz w:val="24"/>
      <w:szCs w:val="22"/>
      <w:lang w:eastAsia="en-US"/>
    </w:rPr>
  </w:style>
  <w:style w:type="paragraph" w:customStyle="1" w:styleId="Institutionquisigne">
    <w:name w:val="Institution qui signe"/>
    <w:basedOn w:val="Normal"/>
    <w:next w:val="Personnequisigne"/>
    <w:rsid w:val="00203F23"/>
    <w:pPr>
      <w:keepNext/>
      <w:widowControl/>
      <w:tabs>
        <w:tab w:val="left" w:pos="4252"/>
      </w:tabs>
      <w:spacing w:before="720"/>
      <w:jc w:val="both"/>
    </w:pPr>
    <w:rPr>
      <w:rFonts w:eastAsiaTheme="minorHAnsi"/>
      <w:i/>
      <w:szCs w:val="22"/>
      <w:lang w:val="fr-FR" w:eastAsia="en-US"/>
    </w:rPr>
  </w:style>
  <w:style w:type="paragraph" w:customStyle="1" w:styleId="Fait">
    <w:name w:val="Fait à"/>
    <w:basedOn w:val="Normal"/>
    <w:next w:val="Institutionquisigne"/>
    <w:rsid w:val="00203F23"/>
    <w:pPr>
      <w:keepNext/>
      <w:widowControl/>
      <w:spacing w:before="120"/>
      <w:jc w:val="both"/>
    </w:pPr>
    <w:rPr>
      <w:rFonts w:eastAsiaTheme="minorHAnsi"/>
      <w:szCs w:val="22"/>
      <w:lang w:val="fr-FR" w:eastAsia="en-US"/>
    </w:rPr>
  </w:style>
  <w:style w:type="paragraph" w:customStyle="1" w:styleId="Titrearticle">
    <w:name w:val="Titre article"/>
    <w:basedOn w:val="Normal"/>
    <w:next w:val="Normal"/>
    <w:rsid w:val="00203F23"/>
    <w:pPr>
      <w:keepNext/>
      <w:widowControl/>
      <w:spacing w:before="360" w:after="120"/>
      <w:jc w:val="center"/>
    </w:pPr>
    <w:rPr>
      <w:rFonts w:eastAsiaTheme="minorHAnsi"/>
      <w:i/>
      <w:szCs w:val="22"/>
      <w:lang w:val="fr-FR" w:eastAsia="en-US"/>
    </w:rPr>
  </w:style>
  <w:style w:type="paragraph" w:customStyle="1" w:styleId="Formuledadoption">
    <w:name w:val="Formule d'adoption"/>
    <w:basedOn w:val="Normal"/>
    <w:next w:val="Titrearticle"/>
    <w:rsid w:val="00203F23"/>
    <w:pPr>
      <w:keepNext/>
      <w:widowControl/>
      <w:spacing w:before="120" w:after="120"/>
      <w:jc w:val="both"/>
    </w:pPr>
    <w:rPr>
      <w:rFonts w:eastAsiaTheme="minorHAnsi"/>
      <w:szCs w:val="22"/>
      <w:lang w:val="fr-FR" w:eastAsia="en-US"/>
    </w:rPr>
  </w:style>
  <w:style w:type="paragraph" w:customStyle="1" w:styleId="Institutionquiagit">
    <w:name w:val="Institution qui agit"/>
    <w:basedOn w:val="Normal"/>
    <w:next w:val="Normal"/>
    <w:rsid w:val="00203F23"/>
    <w:pPr>
      <w:keepNext/>
      <w:widowControl/>
      <w:spacing w:before="600" w:after="120"/>
      <w:jc w:val="both"/>
    </w:pPr>
    <w:rPr>
      <w:rFonts w:eastAsiaTheme="minorHAnsi"/>
      <w:szCs w:val="22"/>
      <w:lang w:val="fr-FR" w:eastAsia="en-US"/>
    </w:rPr>
  </w:style>
  <w:style w:type="paragraph" w:customStyle="1" w:styleId="Personnequisigne">
    <w:name w:val="Personne qui signe"/>
    <w:basedOn w:val="Normal"/>
    <w:next w:val="Institutionquisigne"/>
    <w:rsid w:val="00203F23"/>
    <w:pPr>
      <w:widowControl/>
      <w:tabs>
        <w:tab w:val="left" w:pos="4252"/>
      </w:tabs>
    </w:pPr>
    <w:rPr>
      <w:rFonts w:eastAsiaTheme="minorHAnsi"/>
      <w:i/>
      <w:szCs w:val="22"/>
      <w:lang w:val="fr-FR" w:eastAsia="en-US"/>
    </w:rPr>
  </w:style>
  <w:style w:type="paragraph" w:customStyle="1" w:styleId="ManualConsidrant">
    <w:name w:val="Manual Considérant"/>
    <w:basedOn w:val="Normal"/>
    <w:rsid w:val="00203F23"/>
    <w:pPr>
      <w:widowControl/>
      <w:spacing w:before="120" w:after="120"/>
      <w:ind w:left="709" w:hanging="709"/>
      <w:jc w:val="both"/>
    </w:pPr>
    <w:rPr>
      <w:rFonts w:eastAsiaTheme="minorHAnsi"/>
      <w:szCs w:val="22"/>
      <w:lang w:val="fr-FR" w:eastAsia="en-US"/>
    </w:rPr>
  </w:style>
  <w:style w:type="paragraph" w:customStyle="1" w:styleId="Statut">
    <w:name w:val="Statut"/>
    <w:basedOn w:val="Normal"/>
    <w:next w:val="Typedudocument"/>
    <w:rsid w:val="00203F23"/>
    <w:pPr>
      <w:widowControl/>
      <w:spacing w:before="360"/>
      <w:jc w:val="center"/>
    </w:pPr>
    <w:rPr>
      <w:rFonts w:eastAsiaTheme="minorHAnsi"/>
      <w:szCs w:val="22"/>
      <w:lang w:val="fr-FR" w:eastAsia="en-US"/>
    </w:rPr>
  </w:style>
  <w:style w:type="paragraph" w:customStyle="1" w:styleId="Rfrenceinterinstitutionnelle">
    <w:name w:val="Référence interinstitutionnelle"/>
    <w:basedOn w:val="Normal"/>
    <w:next w:val="Statut"/>
    <w:rsid w:val="00203F23"/>
    <w:pPr>
      <w:widowControl/>
      <w:ind w:left="5103"/>
    </w:pPr>
    <w:rPr>
      <w:rFonts w:eastAsiaTheme="minorHAnsi"/>
      <w:szCs w:val="22"/>
      <w:lang w:val="fr-FR" w:eastAsia="en-US"/>
    </w:rPr>
  </w:style>
  <w:style w:type="paragraph" w:customStyle="1" w:styleId="Typedudocument">
    <w:name w:val="Type du document"/>
    <w:basedOn w:val="Normal"/>
    <w:next w:val="Titreobjet"/>
    <w:rsid w:val="00203F23"/>
    <w:pPr>
      <w:widowControl/>
      <w:spacing w:before="360"/>
      <w:jc w:val="center"/>
    </w:pPr>
    <w:rPr>
      <w:rFonts w:eastAsiaTheme="minorHAnsi"/>
      <w:b/>
      <w:szCs w:val="22"/>
      <w:lang w:val="fr-FR" w:eastAsia="en-US"/>
    </w:rPr>
  </w:style>
  <w:style w:type="paragraph" w:customStyle="1" w:styleId="IntrtEEE">
    <w:name w:val="Intérêt EEE"/>
    <w:basedOn w:val="Normal"/>
    <w:next w:val="Normal"/>
    <w:rsid w:val="00203F23"/>
    <w:pPr>
      <w:widowControl/>
      <w:spacing w:before="360" w:after="240"/>
      <w:jc w:val="center"/>
    </w:pPr>
    <w:rPr>
      <w:rFonts w:eastAsiaTheme="minorHAnsi"/>
      <w:szCs w:val="22"/>
      <w:lang w:val="fr-FR" w:eastAsia="en-US"/>
    </w:rPr>
  </w:style>
  <w:style w:type="paragraph" w:customStyle="1" w:styleId="Titreobjet">
    <w:name w:val="Titre objet"/>
    <w:basedOn w:val="Normal"/>
    <w:next w:val="IntrtEEE"/>
    <w:rsid w:val="00203F23"/>
    <w:pPr>
      <w:widowControl/>
      <w:spacing w:before="360" w:after="360"/>
      <w:jc w:val="center"/>
    </w:pPr>
    <w:rPr>
      <w:rFonts w:eastAsiaTheme="minorHAnsi"/>
      <w:b/>
      <w:szCs w:val="22"/>
      <w:lang w:val="fr-FR" w:eastAsia="en-US"/>
    </w:rPr>
  </w:style>
  <w:style w:type="paragraph" w:customStyle="1" w:styleId="Normal12a">
    <w:name w:val="Normal12a"/>
    <w:basedOn w:val="Normal"/>
    <w:rsid w:val="00203F23"/>
    <w:pPr>
      <w:spacing w:after="240"/>
    </w:pPr>
    <w:rPr>
      <w:lang w:val="fr-FR"/>
    </w:rPr>
  </w:style>
  <w:style w:type="paragraph" w:customStyle="1" w:styleId="RollCallVotes">
    <w:name w:val="RollCallVotes"/>
    <w:basedOn w:val="Normal"/>
    <w:rsid w:val="00203F23"/>
    <w:pPr>
      <w:spacing w:before="120" w:after="120"/>
      <w:jc w:val="center"/>
    </w:pPr>
    <w:rPr>
      <w:b/>
      <w:bCs/>
      <w:snapToGrid w:val="0"/>
      <w:sz w:val="16"/>
      <w:lang w:val="fr-FR" w:eastAsia="en-US"/>
    </w:rPr>
  </w:style>
  <w:style w:type="paragraph" w:customStyle="1" w:styleId="RollCallTabs">
    <w:name w:val="RollCallTabs"/>
    <w:basedOn w:val="Normal"/>
    <w:qFormat/>
    <w:rsid w:val="00203F23"/>
    <w:pPr>
      <w:tabs>
        <w:tab w:val="center" w:pos="284"/>
        <w:tab w:val="left" w:pos="426"/>
      </w:tabs>
    </w:pPr>
    <w:rPr>
      <w:snapToGrid w:val="0"/>
      <w:lang w:val="fr-FR" w:eastAsia="en-US"/>
    </w:rPr>
  </w:style>
  <w:style w:type="paragraph" w:customStyle="1" w:styleId="RollCallSymbols14pt">
    <w:name w:val="RollCallSymbols14pt"/>
    <w:basedOn w:val="Normal"/>
    <w:rsid w:val="00203F23"/>
    <w:pPr>
      <w:spacing w:before="120" w:after="120"/>
      <w:jc w:val="center"/>
    </w:pPr>
    <w:rPr>
      <w:rFonts w:ascii="Arial" w:hAnsi="Arial"/>
      <w:b/>
      <w:bCs/>
      <w:snapToGrid w:val="0"/>
      <w:sz w:val="28"/>
      <w:lang w:val="fr-FR" w:eastAsia="en-US"/>
    </w:rPr>
  </w:style>
  <w:style w:type="paragraph" w:customStyle="1" w:styleId="RollCallTable">
    <w:name w:val="RollCallTable"/>
    <w:basedOn w:val="Normal"/>
    <w:rsid w:val="00203F23"/>
    <w:pPr>
      <w:spacing w:before="120" w:after="120"/>
    </w:pPr>
    <w:rPr>
      <w:snapToGrid w:val="0"/>
      <w:sz w:val="16"/>
      <w:lang w:val="fr-FR" w:eastAsia="en-US"/>
    </w:rPr>
  </w:style>
  <w:style w:type="paragraph" w:styleId="Footer">
    <w:name w:val="footer"/>
    <w:basedOn w:val="Normal"/>
    <w:link w:val="FooterChar"/>
    <w:semiHidden/>
    <w:rsid w:val="006A6735"/>
    <w:pPr>
      <w:tabs>
        <w:tab w:val="center" w:pos="4513"/>
        <w:tab w:val="right" w:pos="9026"/>
      </w:tabs>
    </w:pPr>
  </w:style>
  <w:style w:type="character" w:customStyle="1" w:styleId="FooterChar">
    <w:name w:val="Footer Char"/>
    <w:basedOn w:val="DefaultParagraphFont"/>
    <w:link w:val="Footer"/>
    <w:semiHidden/>
    <w:rsid w:val="006A6735"/>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66716-0D34-42EF-904F-D239B615E6BC}">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16</ap:Pages>
  <ap:Words>3426</ap:Words>
  <ap:Characters>20014</ap:Characters>
  <ap:Application>Microsoft Office Word</ap:Application>
  <ap:DocSecurity>0</ap:DocSecurity>
  <ap:Lines>526</ap:Lines>
  <ap:Paragraphs>321</ap:Paragraphs>
  <ap:ScaleCrop>false</ap:ScaleCrop>
  <ap:HeadingPairs>
    <vt:vector baseType="variant" size="2">
      <vt:variant>
        <vt:lpstr>Title</vt:lpstr>
      </vt:variant>
      <vt:variant>
        <vt:i4>1</vt:i4>
      </vt:variant>
    </vt:vector>
  </ap:HeadingPairs>
  <ap:TitlesOfParts>
    <vt:vector baseType="lpstr" size="1">
      <vt:lpstr>PR_COD_1consamCom</vt:lpstr>
    </vt:vector>
  </ap:TitlesOfParts>
  <ap:Company/>
  <ap:LinksUpToDate>false</ap:LinksUpToDate>
  <ap:CharactersWithSpaces>23119</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PR_COD_1consamCom</dc:title>
  <dc:subject/>
  <dc:creator>PEYROUX François Joseph</dc:creator>
  <cp:keywords/>
  <dc:description/>
  <cp:lastModifiedBy>PEYROUX François Joseph</cp:lastModifiedBy>
  <cp:revision>2</cp:revision>
  <cp:lastPrinted>2004-11-04T10:10:00Z</cp:lastPrinted>
  <dcterms:created xsi:type="dcterms:W3CDTF">2024-01-03T15:50:00Z</dcterms:created>
  <dcterms:modified xsi:type="dcterms:W3CDTF">2024-01-03T15:50:00Z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lt;Extension&gt;">
    <vt:lpwstr>FR</vt:lpwstr>
  </op:property>
  <op:property fmtid="{D5CDD505-2E9C-101B-9397-08002B2CF9AE}" pid="3" name="Created with">
    <vt:lpwstr>9.17.0 Build [20231101]</vt:lpwstr>
  </op:property>
  <op:property fmtid="{D5CDD505-2E9C-101B-9397-08002B2CF9AE}" pid="4" name="LastEdited with">
    <vt:lpwstr>9.17.0 Build [20231101]</vt:lpwstr>
  </op:property>
  <op:property fmtid="{D5CDD505-2E9C-101B-9397-08002B2CF9AE}" pid="5" name="&lt;FdR&gt;">
    <vt:lpwstr>1292181</vt:lpwstr>
  </op:property>
  <op:property fmtid="{D5CDD505-2E9C-101B-9397-08002B2CF9AE}" pid="6" name="&lt;Type&gt;">
    <vt:lpwstr>RR</vt:lpwstr>
  </op:property>
  <op:property fmtid="{D5CDD505-2E9C-101B-9397-08002B2CF9AE}" pid="7" name="&lt;ModelCod&gt;">
    <vt:lpwstr>\\eiciLUXpr1\pdocep$\DocEP\DOCS\General\PR\PR_Leg\COD\COD_1st\PR_COD_1consamCom.dotx(17/04/2020 18:27:10)</vt:lpwstr>
  </op:property>
  <op:property fmtid="{D5CDD505-2E9C-101B-9397-08002B2CF9AE}" pid="8" name="&lt;ModelTra&gt;">
    <vt:lpwstr>\\eiciLUXpr1\pdocep$\DocEP\TRANSFIL\FR\PR_COD_1consamCom.FR(23/05/2023 19:44:02)</vt:lpwstr>
  </op:property>
  <op:property fmtid="{D5CDD505-2E9C-101B-9397-08002B2CF9AE}" pid="9" name="&lt;Model&gt;">
    <vt:lpwstr>PR_COD_1consamCom</vt:lpwstr>
  </op:property>
  <op:property fmtid="{D5CDD505-2E9C-101B-9397-08002B2CF9AE}" pid="10" name="FooterPath">
    <vt:lpwstr>RR\1292181FR.docx</vt:lpwstr>
  </op:property>
  <op:property fmtid="{D5CDD505-2E9C-101B-9397-08002B2CF9AE}" pid="11" name="PE number">
    <vt:lpwstr>749.905</vt:lpwstr>
  </op:property>
  <op:property fmtid="{D5CDD505-2E9C-101B-9397-08002B2CF9AE}" pid="12" name="Bookout">
    <vt:lpwstr>OK - 2024/01/03 16:50</vt:lpwstr>
  </op:property>
  <op:property fmtid="{D5CDD505-2E9C-101B-9397-08002B2CF9AE}" pid="13" name="SDLStudio">
    <vt:lpwstr>YES</vt:lpwstr>
  </op:property>
</op:Properties>
</file>