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9089F" w:rsidRPr="00B378EB" w:rsidTr="00C85D0F">
        <w:trPr>
          <w:trHeight w:hRule="exact" w:val="1418"/>
        </w:trPr>
        <w:tc>
          <w:tcPr>
            <w:tcW w:w="6804" w:type="dxa"/>
            <w:shd w:val="clear" w:color="auto" w:fill="auto"/>
            <w:vAlign w:val="center"/>
          </w:tcPr>
          <w:p w:rsidR="00B13D6F" w:rsidRPr="00B378EB" w:rsidRDefault="00D76C1F" w:rsidP="00C85D0F">
            <w:pPr>
              <w:pStyle w:val="EPName"/>
            </w:pPr>
            <w:bookmarkStart w:id="0" w:name="_GoBack"/>
            <w:bookmarkEnd w:id="0"/>
            <w:r w:rsidRPr="00B378EB">
              <w:t>Parlement européen</w:t>
            </w:r>
          </w:p>
          <w:p w:rsidR="00B13D6F" w:rsidRPr="00B378EB" w:rsidRDefault="00D76C1F" w:rsidP="000D66CD">
            <w:pPr>
              <w:pStyle w:val="EPTerm"/>
            </w:pPr>
            <w:r w:rsidRPr="00B378EB">
              <w:t>2019-2024</w:t>
            </w:r>
          </w:p>
        </w:tc>
        <w:tc>
          <w:tcPr>
            <w:tcW w:w="2268" w:type="dxa"/>
            <w:shd w:val="clear" w:color="auto" w:fill="auto"/>
          </w:tcPr>
          <w:p w:rsidR="00B13D6F" w:rsidRPr="00B378EB" w:rsidRDefault="00D76C1F" w:rsidP="00C85D0F">
            <w:pPr>
              <w:pStyle w:val="EPLogo"/>
            </w:pPr>
            <w:r w:rsidRPr="00B378E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378EB" w:rsidRDefault="00461601" w:rsidP="00461601">
      <w:pPr>
        <w:pStyle w:val="LineTop"/>
      </w:pPr>
    </w:p>
    <w:p w:rsidR="00461601" w:rsidRPr="00B378EB" w:rsidRDefault="00D76C1F" w:rsidP="00461601">
      <w:pPr>
        <w:pStyle w:val="EPBody"/>
      </w:pPr>
      <w:r w:rsidRPr="00B378EB">
        <w:t>Document de séance</w:t>
      </w:r>
    </w:p>
    <w:p w:rsidR="00461601" w:rsidRPr="00B378EB" w:rsidRDefault="00461601" w:rsidP="00461601">
      <w:pPr>
        <w:pStyle w:val="LineBottom"/>
      </w:pPr>
    </w:p>
    <w:p w:rsidR="00793EA9" w:rsidRPr="00B378EB" w:rsidRDefault="00D76C1F">
      <w:pPr>
        <w:pStyle w:val="CoverReference"/>
      </w:pPr>
      <w:r w:rsidRPr="00B378EB">
        <w:rPr>
          <w:rStyle w:val="HideTWBExt"/>
        </w:rPr>
        <w:t>&lt;NoDocSe&gt;</w:t>
      </w:r>
      <w:r w:rsidRPr="00B378EB">
        <w:t>A9</w:t>
      </w:r>
      <w:r w:rsidRPr="00B378EB">
        <w:noBreakHyphen/>
        <w:t>0418/2023</w:t>
      </w:r>
      <w:r w:rsidRPr="00B378EB">
        <w:rPr>
          <w:rStyle w:val="HideTWBExt"/>
        </w:rPr>
        <w:t>&lt;/NoDocSe&gt;</w:t>
      </w:r>
    </w:p>
    <w:p w:rsidR="00793EA9" w:rsidRPr="00B378EB" w:rsidRDefault="00D76C1F">
      <w:pPr>
        <w:pStyle w:val="CoverDate"/>
      </w:pPr>
      <w:r w:rsidRPr="00B378EB">
        <w:rPr>
          <w:rStyle w:val="HideTWBExt"/>
        </w:rPr>
        <w:t>&lt;Date&gt;</w:t>
      </w:r>
      <w:r w:rsidRPr="00B378EB">
        <w:rPr>
          <w:rStyle w:val="HideTWBInt"/>
          <w:color w:val="auto"/>
        </w:rPr>
        <w:t>{08/12/2023}</w:t>
      </w:r>
      <w:r w:rsidRPr="00B378EB">
        <w:t>8.12.2023</w:t>
      </w:r>
      <w:r w:rsidRPr="00B378EB">
        <w:rPr>
          <w:rStyle w:val="HideTWBExt"/>
        </w:rPr>
        <w:t>&lt;/Date&gt;</w:t>
      </w:r>
    </w:p>
    <w:p w:rsidR="00793EA9" w:rsidRPr="00B378EB" w:rsidRDefault="00D76C1F">
      <w:pPr>
        <w:pStyle w:val="CoverDocType"/>
      </w:pPr>
      <w:r w:rsidRPr="00B378EB">
        <w:rPr>
          <w:rStyle w:val="HideTWBExt"/>
          <w:b w:val="0"/>
        </w:rPr>
        <w:t>&lt;RefProcLect&gt;</w:t>
      </w:r>
      <w:r w:rsidRPr="00B378EB">
        <w:t>***I</w:t>
      </w:r>
      <w:r w:rsidRPr="00B378EB">
        <w:rPr>
          <w:rStyle w:val="HideTWBExt"/>
          <w:b w:val="0"/>
        </w:rPr>
        <w:t>&lt;/RefProcLect&gt;</w:t>
      </w:r>
    </w:p>
    <w:p w:rsidR="00793EA9" w:rsidRPr="00B378EB" w:rsidRDefault="00D76C1F">
      <w:pPr>
        <w:pStyle w:val="CoverDocType24a"/>
      </w:pPr>
      <w:r w:rsidRPr="00B378EB">
        <w:rPr>
          <w:rStyle w:val="HideTWBExt"/>
          <w:b w:val="0"/>
        </w:rPr>
        <w:t>&lt;TitreType&gt;</w:t>
      </w:r>
      <w:r w:rsidRPr="00B378EB">
        <w:t>RAPPORT</w:t>
      </w:r>
      <w:r w:rsidRPr="00B378EB">
        <w:rPr>
          <w:rStyle w:val="HideTWBExt"/>
          <w:b w:val="0"/>
        </w:rPr>
        <w:t>&lt;/TitreType&gt;</w:t>
      </w:r>
    </w:p>
    <w:p w:rsidR="00793EA9" w:rsidRPr="00B378EB" w:rsidRDefault="00D76C1F">
      <w:pPr>
        <w:pStyle w:val="CoverNormal"/>
      </w:pPr>
      <w:r w:rsidRPr="00B378EB">
        <w:rPr>
          <w:rStyle w:val="HideTWBExt"/>
        </w:rPr>
        <w:t>&lt;Titre&gt;</w:t>
      </w:r>
      <w:r w:rsidRPr="00B378EB">
        <w:t xml:space="preserve">sur la proposition de directive du Parlement européen et du </w:t>
      </w:r>
      <w:r w:rsidRPr="00B378EB">
        <w:t>Conseil modifiant la directive 2009/21/CE concernant le respect des obligations des États du pavillon</w:t>
      </w:r>
      <w:r w:rsidRPr="00B378EB">
        <w:rPr>
          <w:rStyle w:val="HideTWBExt"/>
        </w:rPr>
        <w:t>&lt;/Titre&gt;</w:t>
      </w:r>
    </w:p>
    <w:p w:rsidR="00793EA9" w:rsidRPr="00B378EB" w:rsidRDefault="00D76C1F">
      <w:pPr>
        <w:pStyle w:val="CoverNormal24a"/>
      </w:pPr>
      <w:r w:rsidRPr="00B378EB">
        <w:rPr>
          <w:rStyle w:val="HideTWBExt"/>
        </w:rPr>
        <w:t>&lt;DocRef&gt;</w:t>
      </w:r>
      <w:r w:rsidRPr="00B378EB">
        <w:t>(COM(2023)0272 – C9</w:t>
      </w:r>
      <w:r w:rsidRPr="00B378EB">
        <w:noBreakHyphen/>
        <w:t>0188/2023 – 2023/0172(COD))</w:t>
      </w:r>
      <w:r w:rsidRPr="00B378EB">
        <w:rPr>
          <w:rStyle w:val="HideTWBExt"/>
        </w:rPr>
        <w:t>&lt;/DocRef&gt;</w:t>
      </w:r>
    </w:p>
    <w:p w:rsidR="00793EA9" w:rsidRPr="00B378EB" w:rsidRDefault="00D76C1F">
      <w:pPr>
        <w:pStyle w:val="CoverNormal24a"/>
      </w:pPr>
      <w:r w:rsidRPr="00B378EB">
        <w:rPr>
          <w:rStyle w:val="HideTWBExt"/>
        </w:rPr>
        <w:t>&lt;Commission&gt;</w:t>
      </w:r>
      <w:r w:rsidRPr="00B378EB">
        <w:rPr>
          <w:rStyle w:val="HideTWBInt"/>
          <w:color w:val="auto"/>
        </w:rPr>
        <w:t>{TRAN}</w:t>
      </w:r>
      <w:r w:rsidRPr="00B378EB">
        <w:t>Commission des transports et du tourisme</w:t>
      </w:r>
      <w:r w:rsidRPr="00B378EB">
        <w:rPr>
          <w:rStyle w:val="HideTWBExt"/>
        </w:rPr>
        <w:t>&lt;/Commission&gt;</w:t>
      </w:r>
    </w:p>
    <w:p w:rsidR="00793EA9" w:rsidRPr="00B378EB" w:rsidRDefault="00D76C1F">
      <w:pPr>
        <w:pStyle w:val="CoverNormal24a"/>
      </w:pPr>
      <w:r w:rsidRPr="00B378EB">
        <w:t xml:space="preserve">Rapporteure: </w:t>
      </w:r>
      <w:r w:rsidRPr="00B378EB">
        <w:rPr>
          <w:rStyle w:val="HideTWBExt"/>
        </w:rPr>
        <w:t>&lt;Depute&gt;</w:t>
      </w:r>
      <w:r w:rsidRPr="00B378EB">
        <w:t>Vera Tax</w:t>
      </w:r>
      <w:r w:rsidRPr="00B378EB">
        <w:rPr>
          <w:rStyle w:val="HideTWBExt"/>
        </w:rPr>
        <w:t>&lt;/Depute&gt;</w:t>
      </w:r>
    </w:p>
    <w:p w:rsidR="001C5B44" w:rsidRPr="00B378EB" w:rsidRDefault="001C5B44" w:rsidP="001C5B44">
      <w:pPr>
        <w:pStyle w:val="CoverNormal"/>
      </w:pPr>
    </w:p>
    <w:p w:rsidR="000D66CD" w:rsidRPr="00B378EB" w:rsidRDefault="00D76C1F" w:rsidP="00894923">
      <w:r w:rsidRPr="00B378EB">
        <w:br w:type="page"/>
      </w:r>
      <w:r w:rsidR="00CE2BC5" w:rsidRPr="00B378EB">
        <w:lastRenderedPageBreak/>
        <w:fldChar w:fldCharType="begin"/>
      </w:r>
      <w:r w:rsidRPr="00B378EB">
        <w:instrText xml:space="preserve"> TITLE  \* MERGEFORMAT </w:instrText>
      </w:r>
      <w:r w:rsidR="00CE2BC5" w:rsidRPr="00B378EB">
        <w:fldChar w:fldCharType="separate"/>
      </w:r>
      <w:r>
        <w:t>PR_COD_1amCom</w:t>
      </w:r>
      <w:r w:rsidR="00CE2BC5" w:rsidRPr="00B378EB">
        <w:fldChar w:fldCharType="end"/>
      </w:r>
    </w:p>
    <w:p w:rsidR="000D66CD" w:rsidRPr="00B378EB" w:rsidRDefault="000D66CD" w:rsidP="00894923"/>
    <w:p w:rsidR="000D66CD" w:rsidRPr="00B378EB" w:rsidRDefault="000D66C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9089F" w:rsidRPr="00B378EB">
        <w:tc>
          <w:tcPr>
            <w:tcW w:w="5811" w:type="dxa"/>
          </w:tcPr>
          <w:p w:rsidR="000D66CD" w:rsidRPr="00B378EB" w:rsidRDefault="00D76C1F" w:rsidP="00894923">
            <w:pPr>
              <w:pStyle w:val="Lgendetitre"/>
            </w:pPr>
            <w:r w:rsidRPr="00B378EB">
              <w:t>Légende des signes utilisés</w:t>
            </w:r>
          </w:p>
        </w:tc>
      </w:tr>
      <w:tr w:rsidR="0039089F" w:rsidRPr="00B378EB" w:rsidTr="00FB38AB">
        <w:trPr>
          <w:cantSplit/>
          <w:trHeight w:val="1944"/>
        </w:trPr>
        <w:tc>
          <w:tcPr>
            <w:tcW w:w="5811" w:type="dxa"/>
            <w:tcBorders>
              <w:bottom w:val="single" w:sz="4" w:space="0" w:color="auto"/>
            </w:tcBorders>
          </w:tcPr>
          <w:p w:rsidR="000D66CD" w:rsidRPr="00B378EB" w:rsidRDefault="00D76C1F" w:rsidP="0069092A">
            <w:pPr>
              <w:pStyle w:val="Lgendesigne"/>
            </w:pPr>
            <w:r w:rsidRPr="00B378EB">
              <w:tab/>
              <w:t>*</w:t>
            </w:r>
            <w:r w:rsidRPr="00B378EB">
              <w:tab/>
              <w:t>Procédure de consultation</w:t>
            </w:r>
          </w:p>
          <w:p w:rsidR="000D66CD" w:rsidRPr="00B378EB" w:rsidRDefault="00D76C1F" w:rsidP="0069092A">
            <w:pPr>
              <w:pStyle w:val="Lgendesigne"/>
            </w:pPr>
            <w:r w:rsidRPr="00B378EB">
              <w:tab/>
              <w:t>***</w:t>
            </w:r>
            <w:r w:rsidRPr="00B378EB">
              <w:tab/>
              <w:t>Procédure d</w:t>
            </w:r>
            <w:r>
              <w:t>’</w:t>
            </w:r>
            <w:r w:rsidRPr="00B378EB">
              <w:t>approbation</w:t>
            </w:r>
          </w:p>
          <w:p w:rsidR="000D66CD" w:rsidRPr="00B378EB" w:rsidRDefault="00D76C1F" w:rsidP="0069092A">
            <w:pPr>
              <w:pStyle w:val="Lgendesigne"/>
            </w:pPr>
            <w:r w:rsidRPr="00B378EB">
              <w:tab/>
              <w:t>***I</w:t>
            </w:r>
            <w:r w:rsidRPr="00B378EB">
              <w:tab/>
              <w:t>Procédure législative ordinaire (première lecture)</w:t>
            </w:r>
          </w:p>
          <w:p w:rsidR="000D66CD" w:rsidRPr="00B378EB" w:rsidRDefault="00D76C1F" w:rsidP="0069092A">
            <w:pPr>
              <w:pStyle w:val="Lgendesigne"/>
            </w:pPr>
            <w:r w:rsidRPr="00B378EB">
              <w:tab/>
              <w:t>***II</w:t>
            </w:r>
            <w:r w:rsidRPr="00B378EB">
              <w:tab/>
              <w:t xml:space="preserve">Procédure législative </w:t>
            </w:r>
            <w:r w:rsidRPr="00B378EB">
              <w:t>ordinaire (deuxième lecture)</w:t>
            </w:r>
          </w:p>
          <w:p w:rsidR="000D66CD" w:rsidRPr="00B378EB" w:rsidRDefault="00D76C1F" w:rsidP="0069092A">
            <w:pPr>
              <w:pStyle w:val="Lgendesigne"/>
            </w:pPr>
            <w:r w:rsidRPr="00B378EB">
              <w:tab/>
              <w:t>***III</w:t>
            </w:r>
            <w:r w:rsidRPr="00B378EB">
              <w:tab/>
              <w:t>Procédure législative ordinaire (troisième lecture)</w:t>
            </w:r>
          </w:p>
          <w:p w:rsidR="000D66CD" w:rsidRPr="00B378EB" w:rsidRDefault="000D66CD" w:rsidP="0069092A">
            <w:pPr>
              <w:pStyle w:val="Lgendestandard"/>
            </w:pPr>
          </w:p>
          <w:p w:rsidR="000D66CD" w:rsidRPr="00B378EB" w:rsidRDefault="00D76C1F" w:rsidP="0069092A">
            <w:pPr>
              <w:pStyle w:val="Lgendestandard"/>
            </w:pPr>
            <w:r w:rsidRPr="00B378EB">
              <w:t>(La procédure indiquée est fondée sur la base juridique proposée par le projet d</w:t>
            </w:r>
            <w:r>
              <w:t>’</w:t>
            </w:r>
            <w:r w:rsidRPr="00B378EB">
              <w:t>acte.)</w:t>
            </w:r>
          </w:p>
          <w:p w:rsidR="000D66CD" w:rsidRPr="00B378EB" w:rsidRDefault="000D66CD" w:rsidP="00784280">
            <w:pPr>
              <w:pStyle w:val="Lgendestandard"/>
            </w:pPr>
          </w:p>
        </w:tc>
      </w:tr>
    </w:tbl>
    <w:p w:rsidR="000D66CD" w:rsidRPr="00B378EB" w:rsidRDefault="000D66CD" w:rsidP="00894923"/>
    <w:p w:rsidR="000D66CD" w:rsidRPr="00B378EB" w:rsidRDefault="000D66CD" w:rsidP="00894923"/>
    <w:p w:rsidR="000D66CD" w:rsidRPr="00B378EB" w:rsidRDefault="000D66CD" w:rsidP="00894923"/>
    <w:p w:rsidR="000D66CD" w:rsidRPr="00B378EB" w:rsidRDefault="000D66C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9089F" w:rsidRPr="00B378EB">
        <w:tc>
          <w:tcPr>
            <w:tcW w:w="5811" w:type="dxa"/>
          </w:tcPr>
          <w:p w:rsidR="000D66CD" w:rsidRPr="00B378EB" w:rsidRDefault="00D76C1F" w:rsidP="00894923">
            <w:pPr>
              <w:pStyle w:val="Lgendetitre"/>
            </w:pPr>
            <w:r w:rsidRPr="00B378EB">
              <w:t>Amendements à un projet d</w:t>
            </w:r>
            <w:r>
              <w:t>’</w:t>
            </w:r>
            <w:r w:rsidRPr="00B378EB">
              <w:t>acte</w:t>
            </w:r>
          </w:p>
        </w:tc>
      </w:tr>
      <w:tr w:rsidR="0039089F" w:rsidRPr="00B378EB" w:rsidTr="00FB38AB">
        <w:trPr>
          <w:trHeight w:val="4923"/>
        </w:trPr>
        <w:tc>
          <w:tcPr>
            <w:tcW w:w="5811" w:type="dxa"/>
          </w:tcPr>
          <w:p w:rsidR="000D66CD" w:rsidRPr="00B378EB" w:rsidRDefault="00D76C1F" w:rsidP="0069092A">
            <w:pPr>
              <w:pStyle w:val="Lgendestandard"/>
              <w:rPr>
                <w:b/>
                <w:szCs w:val="18"/>
              </w:rPr>
            </w:pPr>
            <w:r w:rsidRPr="00B378EB">
              <w:rPr>
                <w:b/>
              </w:rPr>
              <w:t xml:space="preserve">Amendements du Parlement présentés en </w:t>
            </w:r>
            <w:r w:rsidRPr="00B378EB">
              <w:rPr>
                <w:b/>
              </w:rPr>
              <w:t>deux colonnes</w:t>
            </w:r>
          </w:p>
          <w:p w:rsidR="000D66CD" w:rsidRPr="00B378EB" w:rsidRDefault="000D66CD" w:rsidP="0069092A">
            <w:pPr>
              <w:pStyle w:val="Lgendestandard"/>
              <w:rPr>
                <w:szCs w:val="18"/>
              </w:rPr>
            </w:pPr>
          </w:p>
          <w:p w:rsidR="000D66CD" w:rsidRPr="00B378EB" w:rsidRDefault="00D76C1F" w:rsidP="0069092A">
            <w:pPr>
              <w:pStyle w:val="Lgendestandard"/>
              <w:rPr>
                <w:szCs w:val="18"/>
              </w:rPr>
            </w:pPr>
            <w:r w:rsidRPr="00B378EB">
              <w:t xml:space="preserve">Les suppressions sont signalées par des </w:t>
            </w:r>
            <w:r w:rsidRPr="00B378EB">
              <w:rPr>
                <w:b/>
                <w:i/>
              </w:rPr>
              <w:t>italiques gras</w:t>
            </w:r>
            <w:r w:rsidRPr="00B378EB">
              <w:t xml:space="preserve"> dans la colonne de gauche. Les remplacements sont signalés par des </w:t>
            </w:r>
            <w:r w:rsidRPr="00B378EB">
              <w:rPr>
                <w:b/>
                <w:i/>
              </w:rPr>
              <w:t xml:space="preserve">italiques gras </w:t>
            </w:r>
            <w:r w:rsidRPr="00B378EB">
              <w:t>dans les deux colonnes. Le texte nouveau est signalé par des</w:t>
            </w:r>
            <w:r w:rsidRPr="00B378EB">
              <w:rPr>
                <w:b/>
                <w:i/>
              </w:rPr>
              <w:t xml:space="preserve"> italiques gras</w:t>
            </w:r>
            <w:r w:rsidRPr="00B378EB">
              <w:t xml:space="preserve"> dans la colonne de droite.</w:t>
            </w:r>
          </w:p>
          <w:p w:rsidR="000D66CD" w:rsidRPr="00B378EB" w:rsidRDefault="000D66CD" w:rsidP="0069092A">
            <w:pPr>
              <w:pStyle w:val="Lgendestandard"/>
            </w:pPr>
          </w:p>
          <w:p w:rsidR="000D66CD" w:rsidRPr="00B378EB" w:rsidRDefault="00D76C1F" w:rsidP="0069092A">
            <w:pPr>
              <w:pStyle w:val="Lgendestandard"/>
            </w:pPr>
            <w:r w:rsidRPr="00B378EB">
              <w:t>Les première et deuxième lignes de l</w:t>
            </w:r>
            <w:r>
              <w:t>’</w:t>
            </w:r>
            <w:r w:rsidRPr="00B378EB">
              <w:t>en-tête de chaque amendement identifient le passage concerné dans le projet d</w:t>
            </w:r>
            <w:r>
              <w:t>’</w:t>
            </w:r>
            <w:r w:rsidRPr="00B378EB">
              <w:t>acte à l</w:t>
            </w:r>
            <w:r>
              <w:t>’</w:t>
            </w:r>
            <w:r w:rsidRPr="00B378EB">
              <w:t>examen. Si un amendement porte sur un acte existant, que le projet d</w:t>
            </w:r>
            <w:r>
              <w:t>’</w:t>
            </w:r>
            <w:r w:rsidRPr="00B378EB">
              <w:t>acte entend modifier, l</w:t>
            </w:r>
            <w:r>
              <w:t>’</w:t>
            </w:r>
            <w:r w:rsidRPr="00B378EB">
              <w:t>en-tête comporte en outre une troisième</w:t>
            </w:r>
            <w:r w:rsidRPr="00B378EB">
              <w:t xml:space="preserve"> et une quatrième lignes qui identifient respectivement l</w:t>
            </w:r>
            <w:r>
              <w:t>’</w:t>
            </w:r>
            <w:r w:rsidRPr="00B378EB">
              <w:t xml:space="preserve">acte existant et la disposition de celui-ci qui est concernée. </w:t>
            </w:r>
          </w:p>
          <w:p w:rsidR="000D66CD" w:rsidRPr="00B378EB" w:rsidRDefault="000D66CD" w:rsidP="0069092A">
            <w:pPr>
              <w:pStyle w:val="Lgendestandard"/>
            </w:pPr>
          </w:p>
          <w:p w:rsidR="000D66CD" w:rsidRPr="00B378EB" w:rsidRDefault="00D76C1F" w:rsidP="0069092A">
            <w:pPr>
              <w:pStyle w:val="Lgendestandard"/>
              <w:rPr>
                <w:b/>
                <w:szCs w:val="18"/>
              </w:rPr>
            </w:pPr>
            <w:r w:rsidRPr="00B378EB">
              <w:rPr>
                <w:b/>
              </w:rPr>
              <w:t>Amendements du Parlement prenant la forme d</w:t>
            </w:r>
            <w:r>
              <w:rPr>
                <w:b/>
              </w:rPr>
              <w:t>’</w:t>
            </w:r>
            <w:r w:rsidRPr="00B378EB">
              <w:rPr>
                <w:b/>
              </w:rPr>
              <w:t>un texte consolidé</w:t>
            </w:r>
          </w:p>
          <w:p w:rsidR="000D66CD" w:rsidRPr="00B378EB" w:rsidRDefault="000D66CD" w:rsidP="0069092A">
            <w:pPr>
              <w:pStyle w:val="Lgendestandard"/>
              <w:rPr>
                <w:szCs w:val="18"/>
              </w:rPr>
            </w:pPr>
          </w:p>
          <w:p w:rsidR="000D66CD" w:rsidRPr="00B378EB" w:rsidRDefault="00D76C1F" w:rsidP="0069092A">
            <w:pPr>
              <w:pStyle w:val="Lgendestandard"/>
              <w:rPr>
                <w:szCs w:val="18"/>
              </w:rPr>
            </w:pPr>
            <w:r w:rsidRPr="00B378EB">
              <w:t xml:space="preserve">Les parties de textes nouvelles sont indiquées en </w:t>
            </w:r>
            <w:r w:rsidRPr="00B378EB">
              <w:rPr>
                <w:b/>
                <w:i/>
              </w:rPr>
              <w:t>italiques gras</w:t>
            </w:r>
            <w:r w:rsidRPr="00B378EB">
              <w:t>. Les</w:t>
            </w:r>
            <w:r w:rsidRPr="00B378EB">
              <w:t xml:space="preserve"> parties de texte supprimées sont indiquées par le symbole ▌ ou barrées. Les remplacements sont signalés en indiquant en </w:t>
            </w:r>
            <w:r w:rsidRPr="00B378EB">
              <w:rPr>
                <w:b/>
                <w:i/>
              </w:rPr>
              <w:t xml:space="preserve">italiques gras </w:t>
            </w:r>
            <w:r w:rsidRPr="00B378EB">
              <w:t xml:space="preserve">le texte nouveau et en effaçant ou en barrant le texte remplacé. </w:t>
            </w:r>
          </w:p>
          <w:p w:rsidR="000D66CD" w:rsidRPr="00B378EB" w:rsidRDefault="00D76C1F" w:rsidP="0069092A">
            <w:pPr>
              <w:pStyle w:val="Lgendestandard"/>
            </w:pPr>
            <w:r w:rsidRPr="00B378EB">
              <w:t>Par exception, les modifications de nature strictement</w:t>
            </w:r>
            <w:r w:rsidRPr="00B378EB">
              <w:t xml:space="preserve"> technique apportées par les services en vue de l</w:t>
            </w:r>
            <w:r>
              <w:t>’</w:t>
            </w:r>
            <w:r w:rsidRPr="00B378EB">
              <w:t>élaboration du texte final ne sont pas marquées.</w:t>
            </w:r>
          </w:p>
          <w:p w:rsidR="000D66CD" w:rsidRPr="00B378EB" w:rsidRDefault="000D66CD" w:rsidP="0069092A">
            <w:pPr>
              <w:pStyle w:val="Lgendestandard"/>
            </w:pPr>
          </w:p>
        </w:tc>
      </w:tr>
    </w:tbl>
    <w:p w:rsidR="000D66CD" w:rsidRPr="00B378EB" w:rsidRDefault="000D66CD" w:rsidP="00894923"/>
    <w:p w:rsidR="00793EA9" w:rsidRPr="00B378EB" w:rsidRDefault="00793EA9" w:rsidP="00012351">
      <w:pPr>
        <w:widowControl/>
        <w:tabs>
          <w:tab w:val="center" w:pos="4677"/>
        </w:tabs>
      </w:pPr>
    </w:p>
    <w:p w:rsidR="00793EA9" w:rsidRPr="00B378EB" w:rsidRDefault="00D76C1F">
      <w:pPr>
        <w:pStyle w:val="TOCHeading"/>
      </w:pPr>
      <w:r w:rsidRPr="00B378EB">
        <w:br w:type="page"/>
      </w:r>
      <w:r w:rsidRPr="00B378EB">
        <w:lastRenderedPageBreak/>
        <w:t>SOMMAIRE</w:t>
      </w:r>
    </w:p>
    <w:p w:rsidR="00793EA9" w:rsidRPr="00B378EB" w:rsidRDefault="00D76C1F">
      <w:pPr>
        <w:pStyle w:val="TOCPage"/>
      </w:pPr>
      <w:r w:rsidRPr="00B378EB">
        <w:t>Page</w:t>
      </w:r>
    </w:p>
    <w:p w:rsidR="00D76C1F" w:rsidRDefault="00D76C1F">
      <w:pPr>
        <w:pStyle w:val="TOC1"/>
        <w:tabs>
          <w:tab w:val="right" w:leader="dot" w:pos="9060"/>
        </w:tabs>
        <w:rPr>
          <w:rFonts w:asciiTheme="minorHAnsi" w:eastAsiaTheme="minorEastAsia" w:hAnsiTheme="minorHAnsi" w:cstheme="minorBidi"/>
          <w:noProof/>
          <w:sz w:val="22"/>
          <w:szCs w:val="22"/>
          <w:lang w:val="en-GB"/>
        </w:rPr>
      </w:pPr>
      <w:r w:rsidRPr="00B378EB">
        <w:rPr>
          <w:b/>
        </w:rPr>
        <w:fldChar w:fldCharType="begin"/>
      </w:r>
      <w:r w:rsidRPr="00B378EB">
        <w:rPr>
          <w:b/>
        </w:rPr>
        <w:instrText xml:space="preserve"> TOC \t "PageHeading</w:instrText>
      </w:r>
      <w:r w:rsidR="006C6DC5" w:rsidRPr="00B378EB">
        <w:rPr>
          <w:b/>
        </w:rPr>
        <w:instrText>;</w:instrText>
      </w:r>
      <w:r w:rsidRPr="00B378EB">
        <w:rPr>
          <w:b/>
        </w:rPr>
        <w:instrText xml:space="preserve">1" </w:instrText>
      </w:r>
      <w:r w:rsidRPr="00B378EB">
        <w:rPr>
          <w:b/>
        </w:rPr>
        <w:fldChar w:fldCharType="separate"/>
      </w:r>
      <w:r>
        <w:rPr>
          <w:noProof/>
        </w:rPr>
        <w:t>PROJET DE RÉSOLUTION LÉGISLATIVE DU PARLEMENT EUROPÉEN</w:t>
      </w:r>
      <w:r>
        <w:rPr>
          <w:noProof/>
        </w:rPr>
        <w:tab/>
      </w:r>
      <w:r>
        <w:rPr>
          <w:noProof/>
        </w:rPr>
        <w:fldChar w:fldCharType="begin"/>
      </w:r>
      <w:r>
        <w:rPr>
          <w:noProof/>
        </w:rPr>
        <w:instrText xml:space="preserve"> PAGEREF _Toc155717094 \h </w:instrText>
      </w:r>
      <w:r>
        <w:rPr>
          <w:noProof/>
        </w:rPr>
      </w:r>
      <w:r>
        <w:rPr>
          <w:noProof/>
        </w:rPr>
        <w:fldChar w:fldCharType="separate"/>
      </w:r>
      <w:r>
        <w:rPr>
          <w:noProof/>
        </w:rPr>
        <w:t>5</w:t>
      </w:r>
      <w:r>
        <w:rPr>
          <w:noProof/>
        </w:rPr>
        <w:fldChar w:fldCharType="end"/>
      </w:r>
    </w:p>
    <w:p w:rsidR="00D76C1F" w:rsidRDefault="00D76C1F">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_Toc155717095 \h </w:instrText>
      </w:r>
      <w:r>
        <w:rPr>
          <w:noProof/>
        </w:rPr>
      </w:r>
      <w:r>
        <w:rPr>
          <w:noProof/>
        </w:rPr>
        <w:fldChar w:fldCharType="separate"/>
      </w:r>
      <w:r>
        <w:rPr>
          <w:noProof/>
        </w:rPr>
        <w:t>23</w:t>
      </w:r>
      <w:r>
        <w:rPr>
          <w:noProof/>
        </w:rPr>
        <w:fldChar w:fldCharType="end"/>
      </w:r>
    </w:p>
    <w:p w:rsidR="00D76C1F" w:rsidRDefault="00D76C1F">
      <w:pPr>
        <w:pStyle w:val="TOC1"/>
        <w:tabs>
          <w:tab w:val="right" w:leader="dot" w:pos="9060"/>
        </w:tabs>
        <w:rPr>
          <w:rFonts w:asciiTheme="minorHAnsi" w:eastAsiaTheme="minorEastAsia" w:hAnsiTheme="minorHAnsi" w:cstheme="minorBidi"/>
          <w:noProof/>
          <w:sz w:val="22"/>
          <w:szCs w:val="22"/>
          <w:lang w:val="en-GB"/>
        </w:rPr>
      </w:pPr>
      <w:r>
        <w:rPr>
          <w:noProof/>
        </w:rPr>
        <w:t>ANNEXE: LISTE DES ENTITÉS OU DES PERSONNES AYANT APPORTÉ LEUR CONTRIBUTION À LA RAPPORTEURE</w:t>
      </w:r>
      <w:r>
        <w:rPr>
          <w:noProof/>
        </w:rPr>
        <w:tab/>
      </w:r>
      <w:r>
        <w:rPr>
          <w:noProof/>
        </w:rPr>
        <w:fldChar w:fldCharType="begin"/>
      </w:r>
      <w:r>
        <w:rPr>
          <w:noProof/>
        </w:rPr>
        <w:instrText xml:space="preserve"> PAGEREF _Toc155717096 \h </w:instrText>
      </w:r>
      <w:r>
        <w:rPr>
          <w:noProof/>
        </w:rPr>
      </w:r>
      <w:r>
        <w:rPr>
          <w:noProof/>
        </w:rPr>
        <w:fldChar w:fldCharType="separate"/>
      </w:r>
      <w:r>
        <w:rPr>
          <w:noProof/>
        </w:rPr>
        <w:t>25</w:t>
      </w:r>
      <w:r>
        <w:rPr>
          <w:noProof/>
        </w:rPr>
        <w:fldChar w:fldCharType="end"/>
      </w:r>
    </w:p>
    <w:p w:rsidR="00D76C1F" w:rsidRDefault="00D76C1F">
      <w:pPr>
        <w:pStyle w:val="TOC1"/>
        <w:tabs>
          <w:tab w:val="right" w:leader="dot" w:pos="9060"/>
        </w:tabs>
        <w:rPr>
          <w:rFonts w:asciiTheme="minorHAnsi" w:eastAsiaTheme="minorEastAsia" w:hAnsiTheme="minorHAnsi" w:cstheme="minorBidi"/>
          <w:noProof/>
          <w:sz w:val="22"/>
          <w:szCs w:val="22"/>
          <w:lang w:val="en-GB"/>
        </w:rPr>
      </w:pPr>
      <w:r>
        <w:rPr>
          <w:noProof/>
        </w:rPr>
        <w:t>AVIS DE LA COMMISSION DE LA PÊCHE</w:t>
      </w:r>
      <w:r>
        <w:rPr>
          <w:noProof/>
        </w:rPr>
        <w:tab/>
      </w:r>
      <w:r>
        <w:rPr>
          <w:noProof/>
        </w:rPr>
        <w:fldChar w:fldCharType="begin"/>
      </w:r>
      <w:r>
        <w:rPr>
          <w:noProof/>
        </w:rPr>
        <w:instrText xml:space="preserve"> PAGEREF _Toc155717097 \h </w:instrText>
      </w:r>
      <w:r>
        <w:rPr>
          <w:noProof/>
        </w:rPr>
      </w:r>
      <w:r>
        <w:rPr>
          <w:noProof/>
        </w:rPr>
        <w:fldChar w:fldCharType="separate"/>
      </w:r>
      <w:r>
        <w:rPr>
          <w:noProof/>
        </w:rPr>
        <w:t>26</w:t>
      </w:r>
      <w:r>
        <w:rPr>
          <w:noProof/>
        </w:rPr>
        <w:fldChar w:fldCharType="end"/>
      </w:r>
    </w:p>
    <w:p w:rsidR="00D76C1F" w:rsidRDefault="00D76C1F">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_Toc155717098 \h </w:instrText>
      </w:r>
      <w:r>
        <w:rPr>
          <w:noProof/>
        </w:rPr>
      </w:r>
      <w:r>
        <w:rPr>
          <w:noProof/>
        </w:rPr>
        <w:fldChar w:fldCharType="separate"/>
      </w:r>
      <w:r>
        <w:rPr>
          <w:noProof/>
        </w:rPr>
        <w:t>49</w:t>
      </w:r>
      <w:r>
        <w:rPr>
          <w:noProof/>
        </w:rPr>
        <w:fldChar w:fldCharType="end"/>
      </w:r>
    </w:p>
    <w:p w:rsidR="00D76C1F" w:rsidRDefault="00D76C1F">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_Toc155717099 \h </w:instrText>
      </w:r>
      <w:r>
        <w:rPr>
          <w:noProof/>
        </w:rPr>
      </w:r>
      <w:r>
        <w:rPr>
          <w:noProof/>
        </w:rPr>
        <w:fldChar w:fldCharType="separate"/>
      </w:r>
      <w:r>
        <w:rPr>
          <w:noProof/>
        </w:rPr>
        <w:t>50</w:t>
      </w:r>
      <w:r>
        <w:rPr>
          <w:noProof/>
        </w:rPr>
        <w:fldChar w:fldCharType="end"/>
      </w:r>
    </w:p>
    <w:p w:rsidR="002346B0" w:rsidRPr="00B378EB" w:rsidRDefault="00D76C1F" w:rsidP="00C23324">
      <w:r w:rsidRPr="00B378EB">
        <w:rPr>
          <w:b/>
        </w:rPr>
        <w:fldChar w:fldCharType="end"/>
      </w:r>
    </w:p>
    <w:p w:rsidR="00793EA9" w:rsidRPr="00B378EB" w:rsidRDefault="00D76C1F">
      <w:pPr>
        <w:pStyle w:val="PageHeading"/>
      </w:pPr>
      <w:r w:rsidRPr="00B378EB">
        <w:br w:type="page"/>
      </w:r>
      <w:r w:rsidRPr="00B378EB">
        <w:lastRenderedPageBreak/>
        <w:br w:type="page"/>
      </w:r>
      <w:bookmarkStart w:id="1" w:name="_Toc155717094"/>
      <w:r w:rsidRPr="00B378EB">
        <w:lastRenderedPageBreak/>
        <w:t>PROJET DE RÉSOLUTION LÉGISL</w:t>
      </w:r>
      <w:r w:rsidRPr="00B378EB">
        <w:t>ATIVE DU PARLEMENT EUROPÉEN</w:t>
      </w:r>
      <w:bookmarkEnd w:id="1"/>
    </w:p>
    <w:p w:rsidR="00FB38AB" w:rsidRPr="00B378EB" w:rsidRDefault="00D76C1F" w:rsidP="00FB38AB">
      <w:pPr>
        <w:pStyle w:val="NormalBold"/>
      </w:pPr>
      <w:r w:rsidRPr="00B378EB">
        <w:t>sur la proposition de directive du Parlement européen et du Conseil modifiant la directive 2009/21/CE concernant le respect des obligations des États du pavillon</w:t>
      </w:r>
    </w:p>
    <w:p w:rsidR="00793EA9" w:rsidRPr="00B378EB" w:rsidRDefault="00D76C1F" w:rsidP="00FB38AB">
      <w:pPr>
        <w:pStyle w:val="NormalBold12a"/>
      </w:pPr>
      <w:r w:rsidRPr="00B378EB">
        <w:t>(COM(2023)0272 – C9</w:t>
      </w:r>
      <w:r w:rsidRPr="00B378EB">
        <w:noBreakHyphen/>
        <w:t>0188/2023 – 2023/0172(COD))</w:t>
      </w:r>
    </w:p>
    <w:p w:rsidR="00793EA9" w:rsidRPr="00B378EB" w:rsidRDefault="00D76C1F" w:rsidP="00A910C9">
      <w:pPr>
        <w:pStyle w:val="NormalBold"/>
      </w:pPr>
      <w:r w:rsidRPr="00B378EB">
        <w:t>(Procédure législa</w:t>
      </w:r>
      <w:r w:rsidRPr="00B378EB">
        <w:t>tive ordinaire: première lecture)</w:t>
      </w:r>
    </w:p>
    <w:p w:rsidR="00793EA9" w:rsidRPr="00B378EB" w:rsidRDefault="00D76C1F" w:rsidP="00A910C9">
      <w:pPr>
        <w:pStyle w:val="EPComma"/>
      </w:pPr>
      <w:r w:rsidRPr="00B378EB">
        <w:rPr>
          <w:i/>
        </w:rPr>
        <w:t>Le Parlement européen</w:t>
      </w:r>
      <w:r w:rsidRPr="00B378EB">
        <w:t>,</w:t>
      </w:r>
    </w:p>
    <w:p w:rsidR="00FB38AB" w:rsidRPr="00B378EB" w:rsidRDefault="00D76C1F" w:rsidP="00FB38AB">
      <w:pPr>
        <w:pStyle w:val="NormalHanging12a"/>
      </w:pPr>
      <w:r w:rsidRPr="00B378EB">
        <w:t>–</w:t>
      </w:r>
      <w:r w:rsidRPr="00B378EB">
        <w:tab/>
        <w:t>vu la proposition de la Commission au Parlement européen et au Conseil (COM(2023)0272),</w:t>
      </w:r>
    </w:p>
    <w:p w:rsidR="00FB38AB" w:rsidRPr="00B378EB" w:rsidRDefault="00D76C1F" w:rsidP="00FB38AB">
      <w:pPr>
        <w:pStyle w:val="NormalHanging12a"/>
      </w:pPr>
      <w:r w:rsidRPr="00B378EB">
        <w:t>–</w:t>
      </w:r>
      <w:r w:rsidRPr="00B378EB">
        <w:tab/>
        <w:t>vu l</w:t>
      </w:r>
      <w:r>
        <w:t>’</w:t>
      </w:r>
      <w:r w:rsidRPr="00B378EB">
        <w:t>article 294, paragraphe 2, et l</w:t>
      </w:r>
      <w:r>
        <w:t>’</w:t>
      </w:r>
      <w:r w:rsidRPr="00B378EB">
        <w:t>article 100, paragraphe 2 du traité sur le fonctionnement de l</w:t>
      </w:r>
      <w:r>
        <w:t>’</w:t>
      </w:r>
      <w:r w:rsidRPr="00B378EB">
        <w:t>Union e</w:t>
      </w:r>
      <w:r w:rsidRPr="00B378EB">
        <w:t>uropéenne, conformément auxquels la proposition lui a été présentée par la Commission (C9</w:t>
      </w:r>
      <w:r w:rsidRPr="00B378EB">
        <w:noBreakHyphen/>
        <w:t>0188/2023),</w:t>
      </w:r>
    </w:p>
    <w:p w:rsidR="00FB38AB" w:rsidRPr="00B378EB" w:rsidRDefault="00D76C1F" w:rsidP="00FB38AB">
      <w:pPr>
        <w:pStyle w:val="NormalHanging12a"/>
      </w:pPr>
      <w:r w:rsidRPr="00B378EB">
        <w:t>–</w:t>
      </w:r>
      <w:r w:rsidRPr="00B378EB">
        <w:tab/>
        <w:t>vu l</w:t>
      </w:r>
      <w:r>
        <w:t>’</w:t>
      </w:r>
      <w:r w:rsidRPr="00B378EB">
        <w:t>article 294, paragraphe 3, du traité sur le fonctionnement de l</w:t>
      </w:r>
      <w:r>
        <w:t>’</w:t>
      </w:r>
      <w:r w:rsidRPr="00B378EB">
        <w:t>Union européenne,</w:t>
      </w:r>
    </w:p>
    <w:p w:rsidR="00FB38AB" w:rsidRPr="00B378EB" w:rsidRDefault="00D76C1F" w:rsidP="00FB38AB">
      <w:pPr>
        <w:pStyle w:val="NormalHanging12a"/>
      </w:pPr>
      <w:r w:rsidRPr="00B378EB">
        <w:t>–</w:t>
      </w:r>
      <w:r w:rsidRPr="00B378EB">
        <w:tab/>
        <w:t>vu l</w:t>
      </w:r>
      <w:r>
        <w:t>’</w:t>
      </w:r>
      <w:r w:rsidRPr="00B378EB">
        <w:t>avis du Comité économique et social européen du 20 septemb</w:t>
      </w:r>
      <w:r w:rsidRPr="00B378EB">
        <w:t>re 2023</w:t>
      </w:r>
      <w:r w:rsidRPr="00B378EB">
        <w:rPr>
          <w:rStyle w:val="FootnoteReference"/>
        </w:rPr>
        <w:footnoteReference w:id="1"/>
      </w:r>
      <w:r w:rsidRPr="00B378EB">
        <w:t xml:space="preserve">, </w:t>
      </w:r>
    </w:p>
    <w:p w:rsidR="00FB38AB" w:rsidRPr="00B378EB" w:rsidRDefault="00D76C1F" w:rsidP="00FB38AB">
      <w:pPr>
        <w:pStyle w:val="NormalHanging12a"/>
      </w:pPr>
      <w:r w:rsidRPr="00B378EB">
        <w:t>–</w:t>
      </w:r>
      <w:r w:rsidRPr="00B378EB">
        <w:tab/>
        <w:t>après consultation du Comité des régions,</w:t>
      </w:r>
    </w:p>
    <w:p w:rsidR="00FB38AB" w:rsidRPr="00B378EB" w:rsidRDefault="00D76C1F" w:rsidP="00FB38AB">
      <w:pPr>
        <w:pStyle w:val="NormalHanging12a"/>
      </w:pPr>
      <w:r w:rsidRPr="00B378EB">
        <w:t>–</w:t>
      </w:r>
      <w:r w:rsidRPr="00B378EB">
        <w:tab/>
        <w:t>vu l</w:t>
      </w:r>
      <w:r>
        <w:t>’</w:t>
      </w:r>
      <w:r w:rsidRPr="00B378EB">
        <w:t>article 59 de son règlement intérieur,</w:t>
      </w:r>
    </w:p>
    <w:p w:rsidR="00FB38AB" w:rsidRPr="00B378EB" w:rsidRDefault="00D76C1F" w:rsidP="00FB38AB">
      <w:pPr>
        <w:pStyle w:val="NormalHanging12a"/>
      </w:pPr>
      <w:r w:rsidRPr="00B378EB">
        <w:t>–</w:t>
      </w:r>
      <w:r w:rsidRPr="00B378EB">
        <w:tab/>
        <w:t>vu l</w:t>
      </w:r>
      <w:r>
        <w:t>’</w:t>
      </w:r>
      <w:r w:rsidRPr="00B378EB">
        <w:t>avis de la commission de la pêche,</w:t>
      </w:r>
    </w:p>
    <w:p w:rsidR="00FB38AB" w:rsidRPr="00B378EB" w:rsidRDefault="00D76C1F" w:rsidP="00FB38AB">
      <w:pPr>
        <w:pStyle w:val="NormalHanging12a"/>
      </w:pPr>
      <w:r w:rsidRPr="00B378EB">
        <w:t>–</w:t>
      </w:r>
      <w:r w:rsidRPr="00B378EB">
        <w:tab/>
        <w:t>vu le rapport de la commission des transports et du tourisme (A9-0418/2023),</w:t>
      </w:r>
    </w:p>
    <w:p w:rsidR="00FB38AB" w:rsidRPr="00B378EB" w:rsidRDefault="00D76C1F" w:rsidP="00FB38AB">
      <w:pPr>
        <w:pStyle w:val="NormalHanging12a"/>
      </w:pPr>
      <w:r w:rsidRPr="00B378EB">
        <w:t>1.</w:t>
      </w:r>
      <w:r w:rsidRPr="00B378EB">
        <w:tab/>
        <w:t xml:space="preserve">arrête la position en première </w:t>
      </w:r>
      <w:r w:rsidRPr="00B378EB">
        <w:t>lecture figurant ci-après;</w:t>
      </w:r>
    </w:p>
    <w:p w:rsidR="00FB38AB" w:rsidRPr="00B378EB" w:rsidRDefault="00D76C1F" w:rsidP="00FB38AB">
      <w:pPr>
        <w:pStyle w:val="NormalHanging12a"/>
      </w:pPr>
      <w:r w:rsidRPr="00B378EB">
        <w:t>2.</w:t>
      </w:r>
      <w:r w:rsidRPr="00B378EB">
        <w:tab/>
        <w:t>demande à la Commission de le saisir à nouveau, si elle remplace, modifie de manière substantielle ou entend modifier de manière substantielle sa proposition;</w:t>
      </w:r>
    </w:p>
    <w:p w:rsidR="00FB38AB" w:rsidRPr="00B378EB" w:rsidRDefault="00D76C1F" w:rsidP="00FB38AB">
      <w:pPr>
        <w:pStyle w:val="NormalHanging12a"/>
      </w:pPr>
      <w:r w:rsidRPr="00B378EB">
        <w:t>3.</w:t>
      </w:r>
      <w:r w:rsidRPr="00B378EB">
        <w:tab/>
        <w:t xml:space="preserve">charge sa Présidente de transmettre la position du Parlement au </w:t>
      </w:r>
      <w:r w:rsidRPr="00B378EB">
        <w:t>Conseil et à la Commission ainsi qu</w:t>
      </w:r>
      <w:r>
        <w:t>’</w:t>
      </w:r>
      <w:r w:rsidRPr="00B378EB">
        <w:t>aux parlements nationaux.</w:t>
      </w:r>
    </w:p>
    <w:p w:rsidR="00FB38AB" w:rsidRPr="00B378EB" w:rsidRDefault="00FB38AB" w:rsidP="00FB38AB"/>
    <w:p w:rsidR="00FB38AB" w:rsidRPr="00B378EB" w:rsidRDefault="00D76C1F" w:rsidP="00FB38AB">
      <w:pPr>
        <w:rPr>
          <w:rStyle w:val="HideTWBExt"/>
        </w:rPr>
      </w:pPr>
      <w:bookmarkStart w:id="2" w:name="PasteOldAMStart"/>
      <w:bookmarkStart w:id="3" w:name="PasteOldAMEnd"/>
      <w:bookmarkEnd w:id="2"/>
      <w:bookmarkEnd w:id="3"/>
      <w:r w:rsidRPr="00B378EB">
        <w:rPr>
          <w:rStyle w:val="HideTWBExt"/>
        </w:rPr>
        <w:t>&lt;RepeatBlock-Amend&gt;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1 bis (nouveau)</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(1 bis)</w:t>
            </w:r>
            <w:r w:rsidRPr="00B378EB">
              <w:rPr>
                <w:b/>
                <w:i/>
              </w:rPr>
              <w:tab/>
              <w:t xml:space="preserve">Il importe de tenir compte des </w:t>
            </w:r>
            <w:r w:rsidRPr="00B378EB">
              <w:rPr>
                <w:b/>
                <w:i/>
              </w:rPr>
              <w:lastRenderedPageBreak/>
              <w:t>conditions de travail et de vie de l</w:t>
            </w:r>
            <w:r>
              <w:rPr>
                <w:b/>
                <w:i/>
              </w:rPr>
              <w:t>’</w:t>
            </w:r>
            <w:r w:rsidRPr="00B378EB">
              <w:rPr>
                <w:b/>
                <w:i/>
              </w:rPr>
              <w:t>équipage à bord, ainsi que de la formation et des qualifications des gens de mer, conformément à la directive 2013/54/UE du Parlement européen et du Conseil</w:t>
            </w:r>
            <w:r w:rsidRPr="00B378EB">
              <w:rPr>
                <w:b/>
                <w:i/>
                <w:vertAlign w:val="superscript"/>
              </w:rPr>
              <w:t>1 bis</w:t>
            </w:r>
            <w:r w:rsidRPr="00B378EB">
              <w:rPr>
                <w:b/>
                <w:i/>
              </w:rPr>
              <w:t>, étan</w:t>
            </w:r>
            <w:r w:rsidRPr="00B378EB">
              <w:rPr>
                <w:b/>
                <w:i/>
              </w:rPr>
              <w:t>t donné que la santé, la sûreté, la sécurité et le facteur humain sont étroitement liés et qu</w:t>
            </w:r>
            <w:r>
              <w:rPr>
                <w:b/>
                <w:i/>
              </w:rPr>
              <w:t>’</w:t>
            </w:r>
            <w:r w:rsidRPr="00B378EB">
              <w:rPr>
                <w:b/>
                <w:i/>
              </w:rPr>
              <w:t>il est de la plus haute importance de prévenir tout dommage causé par des erreurs humaines.</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__________________</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vertAlign w:val="superscript"/>
              </w:rPr>
              <w:t>1 bis</w:t>
            </w:r>
            <w:r w:rsidRPr="00B378EB">
              <w:t xml:space="preserve"> </w:t>
            </w:r>
            <w:r w:rsidRPr="00B378EB">
              <w:rPr>
                <w:b/>
                <w:i/>
              </w:rPr>
              <w:t xml:space="preserve">Directive 2013/54/UE du Parlement </w:t>
            </w:r>
            <w:r w:rsidRPr="00B378EB">
              <w:rPr>
                <w:b/>
                <w:i/>
              </w:rPr>
              <w:t>européen et du Conseil du 20 novembre 2013 relative à certaines responsabilités de l</w:t>
            </w:r>
            <w:r>
              <w:rPr>
                <w:b/>
                <w:i/>
              </w:rPr>
              <w:t>’</w:t>
            </w:r>
            <w:r w:rsidRPr="00B378EB">
              <w:rPr>
                <w:b/>
                <w:i/>
              </w:rPr>
              <w:t>État du pavillon en ce qui concerne le respect et la mise en application de la convention du travail maritime, 2006</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w:t>
      </w:r>
      <w:r w:rsidRPr="00B378EB">
        <w:rPr>
          <w:rStyle w:val="HideTWBExt"/>
          <w:b w:val="0"/>
        </w:rPr>
        <w:t>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7 bis (nouveau)</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(7 bis)</w:t>
            </w:r>
            <w:r w:rsidRPr="00B378EB">
              <w:rPr>
                <w:b/>
                <w:i/>
              </w:rPr>
              <w:tab/>
              <w:t>Afin de garantir l</w:t>
            </w:r>
            <w:r>
              <w:rPr>
                <w:b/>
                <w:i/>
              </w:rPr>
              <w:t>’</w:t>
            </w:r>
            <w:r w:rsidRPr="00B378EB">
              <w:rPr>
                <w:b/>
                <w:i/>
              </w:rPr>
              <w:t>efficacité de la présente directive, chaque État du pavillon de l</w:t>
            </w:r>
            <w:r>
              <w:rPr>
                <w:b/>
                <w:i/>
              </w:rPr>
              <w:t>’</w:t>
            </w:r>
            <w:r w:rsidRPr="00B378EB">
              <w:rPr>
                <w:b/>
                <w:i/>
              </w:rPr>
              <w:t xml:space="preserve">Union devrait effectuer sa </w:t>
            </w:r>
            <w:r w:rsidRPr="00B378EB">
              <w:rPr>
                <w:b/>
                <w:i/>
              </w:rPr>
              <w:t>juste part d</w:t>
            </w:r>
            <w:r>
              <w:rPr>
                <w:b/>
                <w:i/>
              </w:rPr>
              <w:t>’</w:t>
            </w:r>
            <w:r w:rsidRPr="00B378EB">
              <w:rPr>
                <w:b/>
                <w:i/>
              </w:rPr>
              <w:t>inspections, en fonction de la taille et du type de sa flotte. Il convient donc de fixer un quota d</w:t>
            </w:r>
            <w:r>
              <w:rPr>
                <w:b/>
                <w:i/>
              </w:rPr>
              <w:t>’</w:t>
            </w:r>
            <w:r w:rsidRPr="00B378EB">
              <w:rPr>
                <w:b/>
                <w:i/>
              </w:rPr>
              <w:t>inspection minimal annuel d</w:t>
            </w:r>
            <w:r>
              <w:rPr>
                <w:b/>
                <w:i/>
              </w:rPr>
              <w:t>’</w:t>
            </w:r>
            <w:r w:rsidRPr="00B378EB">
              <w:rPr>
                <w:b/>
                <w:i/>
              </w:rPr>
              <w:t>au moins 30 % des navires battant son pavillon pour chaque État membre.</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3</w:t>
      </w:r>
      <w:r w:rsidRPr="00B378EB">
        <w:rPr>
          <w:rStyle w:val="HideTWBExt"/>
          <w:b w:val="0"/>
        </w:rPr>
        <w:t>&lt;/NumA</w:t>
      </w:r>
      <w:r w:rsidRPr="00B378EB">
        <w:rPr>
          <w:rStyle w:val="HideTWBExt"/>
          <w:b w:val="0"/>
        </w:rPr>
        <w:t>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9</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(9)</w:t>
            </w:r>
            <w:r w:rsidRPr="00B378EB">
              <w:tab/>
              <w:t xml:space="preserve">Le régime commun de renforcement des capacités (après obtention de la qualification au niveau national) auquel seront </w:t>
            </w:r>
            <w:r w:rsidRPr="00B378EB">
              <w:t>soumis les inspecteurs et experts de l</w:t>
            </w:r>
            <w:r>
              <w:t>’</w:t>
            </w:r>
            <w:r w:rsidRPr="00B378EB">
              <w:t>État du pavillon devrait garantir l</w:t>
            </w:r>
            <w:r>
              <w:t>’</w:t>
            </w:r>
            <w:r w:rsidRPr="00B378EB">
              <w:t>égalité de traitement entre toutes les administrations maritimes et contribuer à améliorer la performance qualitative des navires battant pavillon d</w:t>
            </w:r>
            <w:r>
              <w:t>’</w:t>
            </w:r>
            <w:r w:rsidRPr="00B378EB">
              <w:t>un État membre.</w:t>
            </w:r>
          </w:p>
        </w:tc>
        <w:tc>
          <w:tcPr>
            <w:tcW w:w="4876" w:type="dxa"/>
            <w:hideMark/>
          </w:tcPr>
          <w:p w:rsidR="00FB38AB" w:rsidRPr="00B378EB" w:rsidRDefault="00D76C1F" w:rsidP="00FB38AB">
            <w:pPr>
              <w:pStyle w:val="Normal6"/>
              <w:rPr>
                <w:szCs w:val="24"/>
              </w:rPr>
            </w:pPr>
            <w:r w:rsidRPr="00B378EB">
              <w:t>(9)</w:t>
            </w:r>
            <w:r w:rsidRPr="00B378EB">
              <w:tab/>
              <w:t>Le régime co</w:t>
            </w:r>
            <w:r w:rsidRPr="00B378EB">
              <w:t>mmun de renforcement des capacités (après obtention de la qualification au niveau national) auquel seront soumis les inspecteurs et experts de l</w:t>
            </w:r>
            <w:r>
              <w:t>’</w:t>
            </w:r>
            <w:r w:rsidRPr="00B378EB">
              <w:t>État du pavillon devrait garantir l</w:t>
            </w:r>
            <w:r>
              <w:t>’</w:t>
            </w:r>
            <w:r w:rsidRPr="00B378EB">
              <w:t>égalité de traitement entre toutes les administrations maritimes et contrib</w:t>
            </w:r>
            <w:r w:rsidRPr="00B378EB">
              <w:t>uer à améliorer la performance qualitative des navires battant pavillon d</w:t>
            </w:r>
            <w:r>
              <w:t>’</w:t>
            </w:r>
            <w:r w:rsidRPr="00B378EB">
              <w:t xml:space="preserve">un État membre. </w:t>
            </w:r>
            <w:r w:rsidRPr="00B378EB">
              <w:rPr>
                <w:b/>
                <w:i/>
              </w:rPr>
              <w:t>Le programme de formation élaboré par l</w:t>
            </w:r>
            <w:r>
              <w:rPr>
                <w:b/>
                <w:i/>
              </w:rPr>
              <w:t>’</w:t>
            </w:r>
            <w:r w:rsidRPr="00B378EB">
              <w:rPr>
                <w:b/>
                <w:i/>
              </w:rPr>
              <w:t>Agence européenne pour la sécurité maritime (AESM) devrait conduire tous les inspecteurs et experts de l</w:t>
            </w:r>
            <w:r>
              <w:rPr>
                <w:b/>
                <w:i/>
              </w:rPr>
              <w:t>’</w:t>
            </w:r>
            <w:r w:rsidRPr="00B378EB">
              <w:rPr>
                <w:b/>
                <w:i/>
              </w:rPr>
              <w:t>État du pavillon à ad</w:t>
            </w:r>
            <w:r w:rsidRPr="00B378EB">
              <w:rPr>
                <w:b/>
                <w:i/>
              </w:rPr>
              <w:t>opter des approches harmonisées, y compris l</w:t>
            </w:r>
            <w:r>
              <w:rPr>
                <w:b/>
                <w:i/>
              </w:rPr>
              <w:t>’</w:t>
            </w:r>
            <w:r w:rsidRPr="00B378EB">
              <w:rPr>
                <w:b/>
                <w:i/>
              </w:rPr>
              <w:t>utilisation obligatoire de certificats électroniques par l</w:t>
            </w:r>
            <w:r>
              <w:rPr>
                <w:b/>
                <w:i/>
              </w:rPr>
              <w:t>’</w:t>
            </w:r>
            <w:r w:rsidRPr="00B378EB">
              <w:rPr>
                <w:b/>
                <w:i/>
              </w:rPr>
              <w:t>ensemble des États membres au plus tard trois ans après... [trois ans après la date d</w:t>
            </w:r>
            <w:r>
              <w:rPr>
                <w:b/>
                <w:i/>
              </w:rPr>
              <w:t>’</w:t>
            </w:r>
            <w:r w:rsidRPr="00B378EB">
              <w:rPr>
                <w:b/>
                <w:i/>
              </w:rPr>
              <w:t>entrée en vigueur de la présente directive modificative].</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4</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11</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(11)</w:t>
            </w:r>
            <w:r w:rsidRPr="00B378EB">
              <w:tab/>
              <w:t>La création et le développement d</w:t>
            </w:r>
            <w:r>
              <w:t>’</w:t>
            </w:r>
            <w:r w:rsidRPr="00B378EB">
              <w:t xml:space="preserve">une base de données fournissant des </w:t>
            </w:r>
            <w:r w:rsidRPr="00B378EB">
              <w:t>informations essentielles, sous forme électronique, sur les navires battant pavillon d</w:t>
            </w:r>
            <w:r>
              <w:t>’</w:t>
            </w:r>
            <w:r w:rsidRPr="00B378EB">
              <w:t>un État membre devraient contribuer à renforcer l</w:t>
            </w:r>
            <w:r>
              <w:t>’</w:t>
            </w:r>
            <w:r w:rsidRPr="00B378EB">
              <w:t>échange d</w:t>
            </w:r>
            <w:r>
              <w:t>’</w:t>
            </w:r>
            <w:r w:rsidRPr="00B378EB">
              <w:t>informations, à améliorer encore la transparence des performances d</w:t>
            </w:r>
            <w:r>
              <w:t>’</w:t>
            </w:r>
            <w:r w:rsidRPr="00B378EB">
              <w:t>une flotte de haute qualité et à permettr</w:t>
            </w:r>
            <w:r w:rsidRPr="00B378EB">
              <w:t>e un meilleur suivi des obligations incombant à l</w:t>
            </w:r>
            <w:r>
              <w:t>’</w:t>
            </w:r>
            <w:r w:rsidRPr="00B378EB">
              <w:t>État du pavillon afin de garantir l</w:t>
            </w:r>
            <w:r>
              <w:t>’</w:t>
            </w:r>
            <w:r w:rsidRPr="00B378EB">
              <w:t>égalité de traitement entre toutes les administrations maritimes.</w:t>
            </w:r>
          </w:p>
        </w:tc>
        <w:tc>
          <w:tcPr>
            <w:tcW w:w="4876" w:type="dxa"/>
            <w:hideMark/>
          </w:tcPr>
          <w:p w:rsidR="00FB38AB" w:rsidRPr="00B378EB" w:rsidRDefault="00D76C1F" w:rsidP="00FB38AB">
            <w:pPr>
              <w:pStyle w:val="Normal6"/>
              <w:rPr>
                <w:szCs w:val="24"/>
              </w:rPr>
            </w:pPr>
            <w:r w:rsidRPr="00B378EB">
              <w:t>(11)</w:t>
            </w:r>
            <w:r w:rsidRPr="00B378EB">
              <w:tab/>
              <w:t>La création et le développement d</w:t>
            </w:r>
            <w:r>
              <w:t>’</w:t>
            </w:r>
            <w:r w:rsidRPr="00B378EB">
              <w:t>une base de données fournissant des informations essentielles, so</w:t>
            </w:r>
            <w:r w:rsidRPr="00B378EB">
              <w:t>us forme électronique, sur les navires battant pavillon d</w:t>
            </w:r>
            <w:r>
              <w:t>’</w:t>
            </w:r>
            <w:r w:rsidRPr="00B378EB">
              <w:t>un État membre devraient contribuer à renforcer l</w:t>
            </w:r>
            <w:r>
              <w:t>’</w:t>
            </w:r>
            <w:r w:rsidRPr="00B378EB">
              <w:t>échange d</w:t>
            </w:r>
            <w:r>
              <w:t>’</w:t>
            </w:r>
            <w:r w:rsidRPr="00B378EB">
              <w:t>informations, à améliorer encore la transparence des performances d</w:t>
            </w:r>
            <w:r>
              <w:t>’</w:t>
            </w:r>
            <w:r w:rsidRPr="00B378EB">
              <w:t>une flotte de haute qualité et à permettre un meilleur suivi des oblig</w:t>
            </w:r>
            <w:r w:rsidRPr="00B378EB">
              <w:t>ations incombant à l</w:t>
            </w:r>
            <w:r>
              <w:t>’</w:t>
            </w:r>
            <w:r w:rsidRPr="00B378EB">
              <w:t>État du pavillon afin de garantir l</w:t>
            </w:r>
            <w:r>
              <w:t>’</w:t>
            </w:r>
            <w:r w:rsidRPr="00B378EB">
              <w:t xml:space="preserve">égalité de traitement entre toutes les administrations maritimes. </w:t>
            </w:r>
            <w:r w:rsidRPr="00B378EB">
              <w:rPr>
                <w:b/>
                <w:i/>
              </w:rPr>
              <w:t>Conformément à l</w:t>
            </w:r>
            <w:r>
              <w:rPr>
                <w:b/>
                <w:i/>
              </w:rPr>
              <w:t>’</w:t>
            </w:r>
            <w:r w:rsidRPr="00B378EB">
              <w:rPr>
                <w:b/>
                <w:i/>
              </w:rPr>
              <w:t>article 91, paragraphe 1, de la convention des Nations unies sur le droit de la mer (UNCLOS), il doit exister un «li</w:t>
            </w:r>
            <w:r w:rsidRPr="00B378EB">
              <w:rPr>
                <w:b/>
                <w:i/>
              </w:rPr>
              <w:t>en substantiel» entre un navire et son État du pavillon. Afin de procéder à une analyse correcte du changement de pavillon des navires et de l</w:t>
            </w:r>
            <w:r>
              <w:rPr>
                <w:b/>
                <w:i/>
              </w:rPr>
              <w:t>’</w:t>
            </w:r>
            <w:r w:rsidRPr="00B378EB">
              <w:rPr>
                <w:b/>
                <w:i/>
              </w:rPr>
              <w:t>utilisation des registres ouverts, la Commission devrait aider les États membres à déterminer l</w:t>
            </w:r>
            <w:r>
              <w:rPr>
                <w:b/>
                <w:i/>
              </w:rPr>
              <w:t>’</w:t>
            </w:r>
            <w:r w:rsidRPr="00B378EB">
              <w:rPr>
                <w:b/>
                <w:i/>
              </w:rPr>
              <w:t>existence d</w:t>
            </w:r>
            <w:r>
              <w:rPr>
                <w:b/>
                <w:i/>
              </w:rPr>
              <w:t>’</w:t>
            </w:r>
            <w:r w:rsidRPr="00B378EB">
              <w:rPr>
                <w:b/>
                <w:i/>
              </w:rPr>
              <w:t>un te</w:t>
            </w:r>
            <w:r w:rsidRPr="00B378EB">
              <w:rPr>
                <w:b/>
                <w:i/>
              </w:rPr>
              <w:t>l lien en élaborant des lignes directrices. Ces lignes directrices devraient préciser ce qui constitue un «lien substantiel» et les conséquences d</w:t>
            </w:r>
            <w:r>
              <w:rPr>
                <w:b/>
                <w:i/>
              </w:rPr>
              <w:t>’</w:t>
            </w:r>
            <w:r w:rsidRPr="00B378EB">
              <w:rPr>
                <w:b/>
                <w:i/>
              </w:rPr>
              <w:t>un tel lien. Lors de l</w:t>
            </w:r>
            <w:r>
              <w:rPr>
                <w:b/>
                <w:i/>
              </w:rPr>
              <w:t>’</w:t>
            </w:r>
            <w:r w:rsidRPr="00B378EB">
              <w:rPr>
                <w:b/>
                <w:i/>
              </w:rPr>
              <w:t>élaboration de ces lignes directrices, la Commission devrait tenir compte de la recomm</w:t>
            </w:r>
            <w:r w:rsidRPr="00B378EB">
              <w:rPr>
                <w:b/>
                <w:i/>
              </w:rPr>
              <w:t>andation du groupe de haut niveau sur les questions relatives à l</w:t>
            </w:r>
            <w:r>
              <w:rPr>
                <w:b/>
                <w:i/>
              </w:rPr>
              <w:t>’</w:t>
            </w:r>
            <w:r w:rsidRPr="00B378EB">
              <w:rPr>
                <w:b/>
                <w:i/>
              </w:rPr>
              <w:t xml:space="preserve">État du pavillon et des contributions des parties prenantes, notamment celles du secteur privé, de la société civile et du monde universitaire. Les armateurs sont tenus de payer des charges </w:t>
            </w:r>
            <w:r w:rsidRPr="00B378EB">
              <w:rPr>
                <w:b/>
                <w:i/>
              </w:rPr>
              <w:t>sociales en vertu de la loi de l</w:t>
            </w:r>
            <w:r>
              <w:rPr>
                <w:b/>
                <w:i/>
              </w:rPr>
              <w:t>’</w:t>
            </w:r>
            <w:r w:rsidRPr="00B378EB">
              <w:rPr>
                <w:b/>
                <w:i/>
              </w:rPr>
              <w:t>État du pavillon qu</w:t>
            </w:r>
            <w:r>
              <w:rPr>
                <w:b/>
                <w:i/>
              </w:rPr>
              <w:t>’</w:t>
            </w:r>
            <w:r w:rsidRPr="00B378EB">
              <w:rPr>
                <w:b/>
                <w:i/>
              </w:rPr>
              <w:t>ils battent, à moins que les employés ne les paient conformément à la loi de l</w:t>
            </w:r>
            <w:r>
              <w:rPr>
                <w:b/>
                <w:i/>
              </w:rPr>
              <w:t>’</w:t>
            </w:r>
            <w:r w:rsidRPr="00B378EB">
              <w:rPr>
                <w:b/>
                <w:i/>
              </w:rPr>
              <w:t>État dans lequel ils résident. Ces règles peuvent avoir des conséquences indésirables lorsqu</w:t>
            </w:r>
            <w:r>
              <w:rPr>
                <w:b/>
                <w:i/>
              </w:rPr>
              <w:t>’</w:t>
            </w:r>
            <w:r w:rsidRPr="00B378EB">
              <w:rPr>
                <w:b/>
                <w:i/>
              </w:rPr>
              <w:t>elles sont utilisées pour évite</w:t>
            </w:r>
            <w:r w:rsidRPr="00B378EB">
              <w:rPr>
                <w:b/>
                <w:i/>
              </w:rPr>
              <w:t>r des taux de contribution élevés.</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5</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14</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(14)</w:t>
            </w:r>
            <w:r w:rsidRPr="00B378EB">
              <w:tab/>
              <w:t>La Commission</w:t>
            </w:r>
            <w:r w:rsidRPr="00B378EB">
              <w:rPr>
                <w:b/>
                <w:i/>
              </w:rPr>
              <w:t>, assistée par</w:t>
            </w:r>
            <w:r w:rsidRPr="00B378EB">
              <w:t xml:space="preserve"> l</w:t>
            </w:r>
            <w:r>
              <w:t>’</w:t>
            </w:r>
            <w:r w:rsidRPr="00B378EB">
              <w:t>Agence européenne pour la sécurité maritime (AESM) instituée par le règlement (CE) nº 1406/2002 du Parlement européen et du Conseil</w:t>
            </w:r>
            <w:r w:rsidRPr="00B378EB">
              <w:rPr>
                <w:vertAlign w:val="superscript"/>
              </w:rPr>
              <w:t>31</w:t>
            </w:r>
            <w:r w:rsidRPr="00B378EB">
              <w:t>, devrait être invitée et associée en qualité d</w:t>
            </w:r>
            <w:r>
              <w:t>’</w:t>
            </w:r>
            <w:r w:rsidRPr="00B378EB">
              <w:t>observateur par l</w:t>
            </w:r>
            <w:r>
              <w:t>’</w:t>
            </w:r>
            <w:r w:rsidRPr="00B378EB">
              <w:t>État membre audité en tant qu</w:t>
            </w:r>
            <w:r>
              <w:t>’</w:t>
            </w:r>
            <w:r w:rsidRPr="00B378EB">
              <w:t>État du pavillon afin d</w:t>
            </w:r>
            <w:r>
              <w:t>’</w:t>
            </w:r>
            <w:r w:rsidRPr="00B378EB">
              <w:t>assurer la cohérence entre les audits de l</w:t>
            </w:r>
            <w:r>
              <w:t>’</w:t>
            </w:r>
            <w:r w:rsidRPr="00B378EB">
              <w:t>OMI et les évaluations de la Commission, que l</w:t>
            </w:r>
            <w:r>
              <w:t>’</w:t>
            </w:r>
            <w:r w:rsidRPr="00B378EB">
              <w:t>AESM réalise au nom de cette dernière pour évaluer la mise en œuvre de la législation de l</w:t>
            </w:r>
            <w:r>
              <w:t>’</w:t>
            </w:r>
            <w:r w:rsidRPr="00B378EB">
              <w:t xml:space="preserve">Union en matière de sécurité maritime au moyen de son programme de visites </w:t>
            </w:r>
            <w:r w:rsidRPr="00B378EB">
              <w:t>et d</w:t>
            </w:r>
            <w:r>
              <w:t>’</w:t>
            </w:r>
            <w:r w:rsidRPr="00B378EB">
              <w:t>inspections.</w:t>
            </w:r>
          </w:p>
        </w:tc>
        <w:tc>
          <w:tcPr>
            <w:tcW w:w="4876" w:type="dxa"/>
            <w:hideMark/>
          </w:tcPr>
          <w:p w:rsidR="00FB38AB" w:rsidRPr="00B378EB" w:rsidRDefault="00D76C1F" w:rsidP="00FB38AB">
            <w:pPr>
              <w:pStyle w:val="Normal6"/>
              <w:rPr>
                <w:szCs w:val="24"/>
              </w:rPr>
            </w:pPr>
            <w:r w:rsidRPr="00B378EB">
              <w:t>(14)</w:t>
            </w:r>
            <w:r w:rsidRPr="00B378EB">
              <w:tab/>
              <w:t>La Commission</w:t>
            </w:r>
            <w:r w:rsidRPr="00B378EB">
              <w:rPr>
                <w:b/>
                <w:i/>
              </w:rPr>
              <w:t xml:space="preserve"> et</w:t>
            </w:r>
            <w:r w:rsidRPr="00B378EB">
              <w:t xml:space="preserve"> l</w:t>
            </w:r>
            <w:r>
              <w:t>’</w:t>
            </w:r>
            <w:r w:rsidRPr="00B378EB">
              <w:t>Agence européenne pour la sécurité maritime (AESM) instituée par le règlement (CE) nº 1406/2002 du Parlement européen et du Conseil</w:t>
            </w:r>
            <w:r w:rsidRPr="00B378EB">
              <w:rPr>
                <w:vertAlign w:val="superscript"/>
              </w:rPr>
              <w:t>31</w:t>
            </w:r>
            <w:r w:rsidRPr="00B378EB">
              <w:t>, devrait être invitée et associée en qualité d</w:t>
            </w:r>
            <w:r>
              <w:t>’</w:t>
            </w:r>
            <w:r w:rsidRPr="00B378EB">
              <w:t>observateur par l</w:t>
            </w:r>
            <w:r>
              <w:t>’</w:t>
            </w:r>
            <w:r w:rsidRPr="00B378EB">
              <w:t>État membre aud</w:t>
            </w:r>
            <w:r w:rsidRPr="00B378EB">
              <w:t>ité en tant qu</w:t>
            </w:r>
            <w:r>
              <w:t>’</w:t>
            </w:r>
            <w:r w:rsidRPr="00B378EB">
              <w:t>État du pavillon afin d</w:t>
            </w:r>
            <w:r>
              <w:t>’</w:t>
            </w:r>
            <w:r w:rsidRPr="00B378EB">
              <w:t>assurer la cohérence entre les audits de l</w:t>
            </w:r>
            <w:r>
              <w:t>’</w:t>
            </w:r>
            <w:r w:rsidRPr="00B378EB">
              <w:t>OMI et les évaluations de la Commission, que l</w:t>
            </w:r>
            <w:r>
              <w:t>’</w:t>
            </w:r>
            <w:r w:rsidRPr="00B378EB">
              <w:t>AESM réalise au nom de cette dernière pour évaluer la mise en œuvre de la législation de l</w:t>
            </w:r>
            <w:r>
              <w:t>’</w:t>
            </w:r>
            <w:r w:rsidRPr="00B378EB">
              <w:t>Union en matière de sécurité maritim</w:t>
            </w:r>
            <w:r w:rsidRPr="00B378EB">
              <w:t>e au moyen de son programme de visites et d</w:t>
            </w:r>
            <w:r>
              <w:t>’</w:t>
            </w:r>
            <w:r w:rsidRPr="00B378EB">
              <w:t>inspections.</w:t>
            </w:r>
          </w:p>
        </w:tc>
      </w:tr>
      <w:tr w:rsidR="0039089F" w:rsidRPr="00B378EB" w:rsidTr="00FB38AB">
        <w:trPr>
          <w:jc w:val="center"/>
        </w:trPr>
        <w:tc>
          <w:tcPr>
            <w:tcW w:w="4876" w:type="dxa"/>
            <w:hideMark/>
          </w:tcPr>
          <w:p w:rsidR="00FB38AB" w:rsidRPr="00B378EB" w:rsidRDefault="00D76C1F" w:rsidP="00FB38AB">
            <w:pPr>
              <w:pStyle w:val="Normal6"/>
            </w:pPr>
            <w:r w:rsidRPr="00B378EB">
              <w:t>__________________</w:t>
            </w:r>
          </w:p>
        </w:tc>
        <w:tc>
          <w:tcPr>
            <w:tcW w:w="4876" w:type="dxa"/>
            <w:hideMark/>
          </w:tcPr>
          <w:p w:rsidR="00FB38AB" w:rsidRPr="00B378EB" w:rsidRDefault="00D76C1F" w:rsidP="00FB38AB">
            <w:pPr>
              <w:pStyle w:val="Normal6"/>
              <w:rPr>
                <w:szCs w:val="24"/>
              </w:rPr>
            </w:pPr>
            <w:r w:rsidRPr="00B378EB">
              <w:t>__________________</w:t>
            </w:r>
          </w:p>
        </w:tc>
      </w:tr>
      <w:tr w:rsidR="0039089F" w:rsidRPr="00B378EB" w:rsidTr="00FB38AB">
        <w:trPr>
          <w:jc w:val="center"/>
        </w:trPr>
        <w:tc>
          <w:tcPr>
            <w:tcW w:w="4876" w:type="dxa"/>
            <w:hideMark/>
          </w:tcPr>
          <w:p w:rsidR="00FB38AB" w:rsidRPr="00B378EB" w:rsidRDefault="00D76C1F" w:rsidP="00FB38AB">
            <w:pPr>
              <w:pStyle w:val="Normal6"/>
            </w:pPr>
            <w:r w:rsidRPr="00B378EB">
              <w:rPr>
                <w:vertAlign w:val="superscript"/>
              </w:rPr>
              <w:t>31</w:t>
            </w:r>
            <w:r w:rsidRPr="00B378EB">
              <w:t xml:space="preserve"> Règlement (CE) nº 1406/2002 du Parlement européen et du Conseil du 27 juin 2002 instituant une Agence européenne pour la sécurité maritime (JO L 208 du 5.8.</w:t>
            </w:r>
            <w:r w:rsidRPr="00B378EB">
              <w:t>2002, p. 1).</w:t>
            </w:r>
          </w:p>
        </w:tc>
        <w:tc>
          <w:tcPr>
            <w:tcW w:w="4876" w:type="dxa"/>
            <w:hideMark/>
          </w:tcPr>
          <w:p w:rsidR="00FB38AB" w:rsidRPr="00B378EB" w:rsidRDefault="00D76C1F" w:rsidP="00FB38AB">
            <w:pPr>
              <w:pStyle w:val="Normal6"/>
              <w:rPr>
                <w:szCs w:val="24"/>
              </w:rPr>
            </w:pPr>
            <w:r w:rsidRPr="00B378EB">
              <w:rPr>
                <w:vertAlign w:val="superscript"/>
              </w:rPr>
              <w:t>31</w:t>
            </w:r>
            <w:r w:rsidRPr="00B378EB">
              <w:t xml:space="preserve"> Règlement (CE) nº 1406/2002 du Parlement européen et du Conseil du 27 juin 2002 instituant une Agence européenne pour la sécurité maritime (JO L 208 du 5.8.2002, p. 1).</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6</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w:t>
      </w:r>
      <w:r w:rsidRPr="00B378EB">
        <w:t xml:space="preserv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14 bis (nouveau)</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(14 bis)</w:t>
            </w:r>
            <w:r w:rsidRPr="00B378EB">
              <w:rPr>
                <w:b/>
                <w:i/>
              </w:rPr>
              <w:tab/>
              <w:t>La participation de la Commission et de l</w:t>
            </w:r>
            <w:r>
              <w:rPr>
                <w:b/>
                <w:i/>
              </w:rPr>
              <w:t>’</w:t>
            </w:r>
            <w:r w:rsidRPr="00B378EB">
              <w:rPr>
                <w:b/>
                <w:i/>
              </w:rPr>
              <w:t>AESM aux audits devrait rendre le processus d</w:t>
            </w:r>
            <w:r>
              <w:rPr>
                <w:b/>
                <w:i/>
              </w:rPr>
              <w:t>’</w:t>
            </w:r>
            <w:r w:rsidRPr="00B378EB">
              <w:rPr>
                <w:b/>
                <w:i/>
              </w:rPr>
              <w:t xml:space="preserve">audit plus efficace et complet. Cette </w:t>
            </w:r>
            <w:r w:rsidRPr="00B378EB">
              <w:rPr>
                <w:b/>
                <w:i/>
              </w:rPr>
              <w:t>participation devrait également faciliter l</w:t>
            </w:r>
            <w:r>
              <w:rPr>
                <w:b/>
                <w:i/>
              </w:rPr>
              <w:t>’</w:t>
            </w:r>
            <w:r w:rsidRPr="00B378EB">
              <w:rPr>
                <w:b/>
                <w:i/>
              </w:rPr>
              <w:t>introduction et la mise en place de procédures simplifiées, notamment d</w:t>
            </w:r>
            <w:r>
              <w:rPr>
                <w:b/>
                <w:i/>
              </w:rPr>
              <w:t>’</w:t>
            </w:r>
            <w:r w:rsidRPr="00B378EB">
              <w:rPr>
                <w:b/>
                <w:i/>
              </w:rPr>
              <w:t>incitations au respect des normes environnementales et sociales, ainsi qu</w:t>
            </w:r>
            <w:r>
              <w:rPr>
                <w:b/>
                <w:i/>
              </w:rPr>
              <w:t>’</w:t>
            </w:r>
            <w:r w:rsidRPr="00B378EB">
              <w:rPr>
                <w:b/>
                <w:i/>
              </w:rPr>
              <w:t>en matière de santé publique et de droit du travail, et des normes</w:t>
            </w:r>
            <w:r w:rsidRPr="00B378EB">
              <w:rPr>
                <w:b/>
                <w:i/>
              </w:rPr>
              <w:t xml:space="preserve"> garantissant la sécurité à bord des navires faisant escale dans les ports de l</w:t>
            </w:r>
            <w:r>
              <w:rPr>
                <w:b/>
                <w:i/>
              </w:rPr>
              <w:t>’</w:t>
            </w:r>
            <w:r w:rsidRPr="00B378EB">
              <w:rPr>
                <w:b/>
                <w:i/>
              </w:rPr>
              <w:t>Union pour les gens de mer, et également élargir les possibilités de sanctions effectives, proportionnées et dissuasives, compte tenu du droit environnemental, fiscal et social</w:t>
            </w:r>
            <w:r w:rsidRPr="00B378EB">
              <w:rPr>
                <w:b/>
                <w:i/>
              </w:rPr>
              <w:t>, ainsi que du droit de la santé publique.</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7</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15 bis (nouveau)</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(15 bis)</w:t>
            </w:r>
            <w:r w:rsidRPr="00B378EB">
              <w:rPr>
                <w:b/>
                <w:i/>
              </w:rPr>
              <w:tab/>
              <w:t xml:space="preserve">En coordination </w:t>
            </w:r>
            <w:r w:rsidRPr="00B378EB">
              <w:rPr>
                <w:b/>
                <w:i/>
              </w:rPr>
              <w:t>avec l</w:t>
            </w:r>
            <w:r>
              <w:rPr>
                <w:b/>
                <w:i/>
              </w:rPr>
              <w:t>’</w:t>
            </w:r>
            <w:r w:rsidRPr="00B378EB">
              <w:rPr>
                <w:b/>
                <w:i/>
              </w:rPr>
              <w:t>Organisation internationale du travail (OIT), la Commission et les États membres devraient promouvoir le renforcement des capacités des pays tiers en matière d</w:t>
            </w:r>
            <w:r>
              <w:rPr>
                <w:b/>
                <w:i/>
              </w:rPr>
              <w:t>’</w:t>
            </w:r>
            <w:r w:rsidRPr="00B378EB">
              <w:rPr>
                <w:b/>
                <w:i/>
              </w:rPr>
              <w:t>inspection et d</w:t>
            </w:r>
            <w:r>
              <w:rPr>
                <w:b/>
                <w:i/>
              </w:rPr>
              <w:t>’</w:t>
            </w:r>
            <w:r w:rsidRPr="00B378EB">
              <w:rPr>
                <w:b/>
                <w:i/>
              </w:rPr>
              <w:t>application de la législation, en menant des campagnes avec les partenair</w:t>
            </w:r>
            <w:r w:rsidRPr="00B378EB">
              <w:rPr>
                <w:b/>
                <w:i/>
              </w:rPr>
              <w:t>es sociaux pour sensibiliser le public aux droits et obligations découlant de la convention du travail maritime adoptée par l</w:t>
            </w:r>
            <w:r>
              <w:rPr>
                <w:b/>
                <w:i/>
              </w:rPr>
              <w:t>’</w:t>
            </w:r>
            <w:r w:rsidRPr="00B378EB">
              <w:rPr>
                <w:b/>
                <w:i/>
              </w:rPr>
              <w:t>OIT en 2006 (CTM 2006). En outre, la Commission devrait promouvoir la création, par l</w:t>
            </w:r>
            <w:r>
              <w:rPr>
                <w:b/>
                <w:i/>
              </w:rPr>
              <w:t>’</w:t>
            </w:r>
            <w:r w:rsidRPr="00B378EB">
              <w:rPr>
                <w:b/>
                <w:i/>
              </w:rPr>
              <w:t>OIT, d</w:t>
            </w:r>
            <w:r>
              <w:rPr>
                <w:b/>
                <w:i/>
              </w:rPr>
              <w:t>’</w:t>
            </w:r>
            <w:r w:rsidRPr="00B378EB">
              <w:rPr>
                <w:b/>
                <w:i/>
              </w:rPr>
              <w:t>une base de données des résultats des</w:t>
            </w:r>
            <w:r w:rsidRPr="00B378EB">
              <w:rPr>
                <w:b/>
                <w:i/>
              </w:rPr>
              <w:t xml:space="preserve"> inspections et des plaintes, pour les gens de mer ainsi que pour les ouvriers portuaires, qui garantisse l</w:t>
            </w:r>
            <w:r>
              <w:rPr>
                <w:b/>
                <w:i/>
              </w:rPr>
              <w:t>’</w:t>
            </w:r>
            <w:r w:rsidRPr="00B378EB">
              <w:rPr>
                <w:b/>
                <w:i/>
              </w:rPr>
              <w:t>exactitude du registre des heures de travail et de repos, afin d</w:t>
            </w:r>
            <w:r>
              <w:rPr>
                <w:b/>
                <w:i/>
              </w:rPr>
              <w:t>’</w:t>
            </w:r>
            <w:r w:rsidRPr="00B378EB">
              <w:rPr>
                <w:b/>
                <w:i/>
              </w:rPr>
              <w:t xml:space="preserve">aider les gens de mer et les armateurs à rechercher les services de recrutement et </w:t>
            </w:r>
            <w:r w:rsidRPr="00B378EB">
              <w:rPr>
                <w:b/>
                <w:i/>
              </w:rPr>
              <w:t>de l</w:t>
            </w:r>
            <w:r>
              <w:rPr>
                <w:b/>
                <w:i/>
              </w:rPr>
              <w:t>’</w:t>
            </w:r>
            <w:r w:rsidRPr="00B378EB">
              <w:rPr>
                <w:b/>
                <w:i/>
              </w:rPr>
              <w:t>emploi les plus fiables et conformes à la CTM 2006.</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8</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16 bis (nouveau)</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(16 bis)</w:t>
            </w:r>
            <w:r w:rsidRPr="00B378EB">
              <w:rPr>
                <w:b/>
                <w:i/>
              </w:rPr>
              <w:tab/>
              <w:t>Il</w:t>
            </w:r>
            <w:r w:rsidRPr="00B378EB">
              <w:rPr>
                <w:b/>
                <w:i/>
              </w:rPr>
              <w:t xml:space="preserve"> convient que la Commission publie un rapport de transparence fondé sur les informations provenant de la base de données obligatoire, accessible à tous les États membres.</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9</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Considérant 21</w:t>
      </w:r>
      <w:r w:rsidRPr="00B378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(21)</w:t>
            </w:r>
            <w:r w:rsidRPr="00B378EB">
              <w:tab/>
              <w:t>L</w:t>
            </w:r>
            <w:r>
              <w:t>’</w:t>
            </w:r>
            <w:r w:rsidRPr="00B378EB">
              <w:t>Agence européenne pour la sécurité maritime</w:t>
            </w:r>
            <w:r w:rsidRPr="00B378EB">
              <w:rPr>
                <w:b/>
                <w:i/>
              </w:rPr>
              <w:t xml:space="preserve"> </w:t>
            </w:r>
            <w:r w:rsidRPr="00B378EB">
              <w:t>(AESM) devrait fournir le soutien nécessaire à la mise en œuvre de la directive 2009/21/CE.</w:t>
            </w:r>
          </w:p>
        </w:tc>
        <w:tc>
          <w:tcPr>
            <w:tcW w:w="4876" w:type="dxa"/>
            <w:hideMark/>
          </w:tcPr>
          <w:p w:rsidR="00FB38AB" w:rsidRPr="00B378EB" w:rsidRDefault="00D76C1F" w:rsidP="00FB38AB">
            <w:pPr>
              <w:pStyle w:val="Normal6"/>
              <w:rPr>
                <w:szCs w:val="24"/>
              </w:rPr>
            </w:pPr>
            <w:r w:rsidRPr="00B378EB">
              <w:t>(21)</w:t>
            </w:r>
            <w:r w:rsidRPr="00B378EB">
              <w:tab/>
              <w:t>L</w:t>
            </w:r>
            <w:r>
              <w:t>’</w:t>
            </w:r>
            <w:r w:rsidRPr="00B378EB">
              <w:t>Agence europée</w:t>
            </w:r>
            <w:r w:rsidRPr="00B378EB">
              <w:t xml:space="preserve">nne pour la sécurité maritime (AESM) devrait fournir le soutien nécessaire à la mise en œuvre de la directive 2009/21/CE. </w:t>
            </w:r>
            <w:r w:rsidRPr="00B378EB">
              <w:rPr>
                <w:b/>
                <w:i/>
              </w:rPr>
              <w:t>Il convient de poursuivre, renforcer et étendre la formation dispensée par l</w:t>
            </w:r>
            <w:r>
              <w:rPr>
                <w:b/>
                <w:i/>
              </w:rPr>
              <w:t>’</w:t>
            </w:r>
            <w:r w:rsidRPr="00B378EB">
              <w:rPr>
                <w:b/>
                <w:i/>
              </w:rPr>
              <w:t>AESM aux administrations des États du pavillon afin de co</w:t>
            </w:r>
            <w:r w:rsidRPr="00B378EB">
              <w:rPr>
                <w:b/>
                <w:i/>
              </w:rPr>
              <w:t>uvrir pleinement les obligations des États membres énoncées dans la convention du travail maritime de 2006 (CTM 2006). Il convient que l</w:t>
            </w:r>
            <w:r>
              <w:rPr>
                <w:b/>
                <w:i/>
              </w:rPr>
              <w:t>’</w:t>
            </w:r>
            <w:r w:rsidRPr="00B378EB">
              <w:rPr>
                <w:b/>
                <w:i/>
              </w:rPr>
              <w:t>AESM facilite la coordination et l</w:t>
            </w:r>
            <w:r>
              <w:rPr>
                <w:b/>
                <w:i/>
              </w:rPr>
              <w:t>’</w:t>
            </w:r>
            <w:r w:rsidRPr="00B378EB">
              <w:rPr>
                <w:b/>
                <w:i/>
              </w:rPr>
              <w:t>échange d</w:t>
            </w:r>
            <w:r>
              <w:rPr>
                <w:b/>
                <w:i/>
              </w:rPr>
              <w:t>’</w:t>
            </w:r>
            <w:r w:rsidRPr="00B378EB">
              <w:rPr>
                <w:b/>
                <w:i/>
              </w:rPr>
              <w:t>informations et de bonnes pratiques entre les administrations de l</w:t>
            </w:r>
            <w:r>
              <w:rPr>
                <w:b/>
                <w:i/>
              </w:rPr>
              <w:t>’</w:t>
            </w:r>
            <w:r w:rsidRPr="00B378EB">
              <w:rPr>
                <w:b/>
                <w:i/>
              </w:rPr>
              <w:t>État du</w:t>
            </w:r>
            <w:r w:rsidRPr="00B378EB">
              <w:rPr>
                <w:b/>
                <w:i/>
              </w:rPr>
              <w:t xml:space="preserve"> pavillon.</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10</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-1 (nouveau)</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1 – paragraphe 1</w:t>
      </w:r>
      <w:r w:rsidRPr="00B378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en vigueur</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 xml:space="preserve">-1) </w:t>
            </w:r>
            <w:r w:rsidRPr="00B378EB">
              <w:tab/>
            </w:r>
            <w:r w:rsidRPr="00B378EB">
              <w:rPr>
                <w:b/>
                <w:i/>
              </w:rPr>
              <w:t>à l</w:t>
            </w:r>
            <w:r>
              <w:rPr>
                <w:b/>
                <w:i/>
              </w:rPr>
              <w:t>’</w:t>
            </w:r>
            <w:r w:rsidRPr="00B378EB">
              <w:rPr>
                <w:b/>
                <w:i/>
              </w:rPr>
              <w:t>article premier, le paragraphe 1 est remplacé par le texte suivant:</w:t>
            </w:r>
          </w:p>
        </w:tc>
      </w:tr>
      <w:tr w:rsidR="0039089F" w:rsidRPr="00B378EB" w:rsidTr="00FB38AB">
        <w:trPr>
          <w:jc w:val="center"/>
        </w:trPr>
        <w:tc>
          <w:tcPr>
            <w:tcW w:w="4876" w:type="dxa"/>
          </w:tcPr>
          <w:p w:rsidR="00FB38AB" w:rsidRPr="00B378EB" w:rsidRDefault="00D76C1F" w:rsidP="00FB38AB">
            <w:pPr>
              <w:pStyle w:val="Normal6"/>
            </w:pPr>
            <w:r w:rsidRPr="00B378EB">
              <w:t xml:space="preserve">1. </w:t>
            </w:r>
            <w:r w:rsidRPr="00B378EB">
              <w:tab/>
              <w:t>La présente directive a pour objet:</w:t>
            </w:r>
          </w:p>
        </w:tc>
        <w:tc>
          <w:tcPr>
            <w:tcW w:w="4876" w:type="dxa"/>
          </w:tcPr>
          <w:p w:rsidR="00FB38AB" w:rsidRPr="00B378EB" w:rsidRDefault="00D76C1F" w:rsidP="00FB38AB">
            <w:pPr>
              <w:pStyle w:val="Normal6"/>
            </w:pPr>
            <w:r w:rsidRPr="00B378EB">
              <w:t xml:space="preserve">«1. </w:t>
            </w:r>
            <w:r w:rsidRPr="00B378EB">
              <w:tab/>
              <w:t>La présente directive a pour objet:</w:t>
            </w:r>
          </w:p>
        </w:tc>
      </w:tr>
      <w:tr w:rsidR="0039089F" w:rsidRPr="00B378EB" w:rsidTr="00FB38AB">
        <w:trPr>
          <w:jc w:val="center"/>
        </w:trPr>
        <w:tc>
          <w:tcPr>
            <w:tcW w:w="4876" w:type="dxa"/>
            <w:hideMark/>
          </w:tcPr>
          <w:p w:rsidR="00FB38AB" w:rsidRPr="00B378EB" w:rsidRDefault="00D76C1F" w:rsidP="00FB38AB">
            <w:pPr>
              <w:pStyle w:val="Normal6"/>
            </w:pPr>
            <w:r w:rsidRPr="00B378EB">
              <w:t xml:space="preserve">a) </w:t>
            </w:r>
            <w:r w:rsidRPr="00B378EB">
              <w:tab/>
              <w:t>de faire en sorte que les États membres s</w:t>
            </w:r>
            <w:r>
              <w:t>’</w:t>
            </w:r>
            <w:r w:rsidRPr="00B378EB">
              <w:t xml:space="preserve">acquittent de </w:t>
            </w:r>
            <w:r w:rsidRPr="00B378EB">
              <w:t>manière efficace et cohérente des obligations qui leur incombent en tant qu</w:t>
            </w:r>
            <w:r>
              <w:t>’</w:t>
            </w:r>
            <w:r w:rsidRPr="00B378EB">
              <w:t>États du pavillon; et</w:t>
            </w:r>
          </w:p>
        </w:tc>
        <w:tc>
          <w:tcPr>
            <w:tcW w:w="4876" w:type="dxa"/>
            <w:hideMark/>
          </w:tcPr>
          <w:p w:rsidR="00FB38AB" w:rsidRPr="00B378EB" w:rsidRDefault="00D76C1F" w:rsidP="00FB38AB">
            <w:pPr>
              <w:pStyle w:val="Normal6"/>
              <w:rPr>
                <w:szCs w:val="24"/>
              </w:rPr>
            </w:pPr>
            <w:r w:rsidRPr="00B378EB">
              <w:t xml:space="preserve">a) </w:t>
            </w:r>
            <w:r w:rsidRPr="00B378EB">
              <w:tab/>
              <w:t>de faire en sorte que les États membres s</w:t>
            </w:r>
            <w:r>
              <w:t>’</w:t>
            </w:r>
            <w:r w:rsidRPr="00B378EB">
              <w:t>acquittent de manière efficace et cohérente des obligations qui leur incombent en tant qu</w:t>
            </w:r>
            <w:r>
              <w:t>’</w:t>
            </w:r>
            <w:r w:rsidRPr="00B378EB">
              <w:t>États du pavillon; et</w:t>
            </w:r>
          </w:p>
        </w:tc>
      </w:tr>
      <w:tr w:rsidR="0039089F" w:rsidRPr="00B378EB" w:rsidTr="00FB38AB">
        <w:trPr>
          <w:jc w:val="center"/>
        </w:trPr>
        <w:tc>
          <w:tcPr>
            <w:tcW w:w="4876" w:type="dxa"/>
            <w:hideMark/>
          </w:tcPr>
          <w:p w:rsidR="00FB38AB" w:rsidRPr="00B378EB" w:rsidRDefault="00D76C1F" w:rsidP="00FB38AB">
            <w:pPr>
              <w:pStyle w:val="Normal6"/>
            </w:pPr>
            <w:r w:rsidRPr="00B378EB">
              <w:t xml:space="preserve">b) </w:t>
            </w:r>
            <w:r w:rsidRPr="00B378EB">
              <w:tab/>
              <w:t>de renforcer la sécurité et de prévenir la pollution par les navires battant le pavillon d</w:t>
            </w:r>
            <w:r>
              <w:t>’</w:t>
            </w:r>
            <w:r w:rsidRPr="00B378EB">
              <w:t>un État membre.</w:t>
            </w:r>
          </w:p>
        </w:tc>
        <w:tc>
          <w:tcPr>
            <w:tcW w:w="4876" w:type="dxa"/>
            <w:hideMark/>
          </w:tcPr>
          <w:p w:rsidR="00FB38AB" w:rsidRPr="00B378EB" w:rsidRDefault="00D76C1F" w:rsidP="00FB38AB">
            <w:pPr>
              <w:pStyle w:val="Normal6"/>
              <w:rPr>
                <w:szCs w:val="24"/>
              </w:rPr>
            </w:pPr>
            <w:r w:rsidRPr="00B378EB">
              <w:t xml:space="preserve">b) </w:t>
            </w:r>
            <w:r w:rsidRPr="00B378EB">
              <w:tab/>
              <w:t>de renforcer la sécurité</w:t>
            </w:r>
            <w:r w:rsidRPr="00B378EB">
              <w:rPr>
                <w:b/>
                <w:i/>
              </w:rPr>
              <w:t>, y compris la sécurité à bord</w:t>
            </w:r>
            <w:r w:rsidRPr="00B378EB">
              <w:t>, et de prévenir la pollution par les navires battant le pavillon d</w:t>
            </w:r>
            <w:r>
              <w:t>’</w:t>
            </w:r>
            <w:r w:rsidRPr="00B378EB">
              <w:t>un État membre.</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11</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2</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4 – paragraphe 1</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 xml:space="preserve">Texte proposé par la </w:t>
            </w:r>
            <w:r w:rsidRPr="00B378EB">
              <w:t>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1.</w:t>
            </w:r>
            <w:r w:rsidRPr="00B378EB">
              <w:tab/>
              <w:t>Avant d</w:t>
            </w:r>
            <w:r>
              <w:t>’</w:t>
            </w:r>
            <w:r w:rsidRPr="00B378EB">
              <w:t>autoriser l</w:t>
            </w:r>
            <w:r>
              <w:t>’</w:t>
            </w:r>
            <w:r w:rsidRPr="00B378EB">
              <w:t>exploitation d</w:t>
            </w:r>
            <w:r>
              <w:t>’</w:t>
            </w:r>
            <w:r w:rsidRPr="00B378EB">
              <w:t>un navire ayant obtenu le droit de battre son pavillon, l</w:t>
            </w:r>
            <w:r>
              <w:t>’</w:t>
            </w:r>
            <w:r w:rsidRPr="00B378EB">
              <w:t>État membre concerné veille à ce que le navire en question satisfasse aux règles et aux réglementations internationales applicables. En p</w:t>
            </w:r>
            <w:r w:rsidRPr="00B378EB">
              <w:t>articulier, il vérifie les antécédents du navire en matière de sécurité au moyen des rapports d</w:t>
            </w:r>
            <w:r>
              <w:t>’</w:t>
            </w:r>
            <w:r w:rsidRPr="00B378EB">
              <w:t>inspection et des certificats figurant dans la base de données visée à l</w:t>
            </w:r>
            <w:r>
              <w:t>’</w:t>
            </w:r>
            <w:r w:rsidRPr="00B378EB">
              <w:t>article 6 bis. Il consulte, si nécessaire, l</w:t>
            </w:r>
            <w:r>
              <w:t>’</w:t>
            </w:r>
            <w:r w:rsidRPr="00B378EB">
              <w:t>État du pavillon précédent afin d</w:t>
            </w:r>
            <w:r>
              <w:t>’</w:t>
            </w:r>
            <w:r w:rsidRPr="00B378EB">
              <w:t xml:space="preserve">établir </w:t>
            </w:r>
            <w:r w:rsidRPr="00B378EB">
              <w:t>si des anomalies ou des problèmes de sécurité relevés par celui-ci doivent encore être réglés.</w:t>
            </w:r>
          </w:p>
        </w:tc>
        <w:tc>
          <w:tcPr>
            <w:tcW w:w="4876" w:type="dxa"/>
            <w:hideMark/>
          </w:tcPr>
          <w:p w:rsidR="00FB38AB" w:rsidRPr="00B378EB" w:rsidRDefault="00D76C1F" w:rsidP="00FB38AB">
            <w:pPr>
              <w:pStyle w:val="Normal6"/>
              <w:rPr>
                <w:szCs w:val="24"/>
              </w:rPr>
            </w:pPr>
            <w:r w:rsidRPr="00B378EB">
              <w:t>1.</w:t>
            </w:r>
            <w:r w:rsidRPr="00B378EB">
              <w:tab/>
              <w:t>Avant d</w:t>
            </w:r>
            <w:r>
              <w:t>’</w:t>
            </w:r>
            <w:r w:rsidRPr="00B378EB">
              <w:t>autoriser l</w:t>
            </w:r>
            <w:r>
              <w:t>’</w:t>
            </w:r>
            <w:r w:rsidRPr="00B378EB">
              <w:t>exploitation d</w:t>
            </w:r>
            <w:r>
              <w:t>’</w:t>
            </w:r>
            <w:r w:rsidRPr="00B378EB">
              <w:t>un navire ayant obtenu le droit de battre son pavillon, l</w:t>
            </w:r>
            <w:r>
              <w:t>’</w:t>
            </w:r>
            <w:r w:rsidRPr="00B378EB">
              <w:t>État membre concerné veille à ce que le navire en question satisf</w:t>
            </w:r>
            <w:r w:rsidRPr="00B378EB">
              <w:t xml:space="preserve">asse aux règles et aux réglementations internationales applicables. En particulier, </w:t>
            </w:r>
            <w:r w:rsidRPr="00B378EB">
              <w:rPr>
                <w:b/>
                <w:i/>
              </w:rPr>
              <w:t>il effectue des inspections à bord et</w:t>
            </w:r>
            <w:r w:rsidRPr="00B378EB">
              <w:t xml:space="preserve"> vérifie </w:t>
            </w:r>
            <w:r w:rsidRPr="00B378EB">
              <w:rPr>
                <w:b/>
                <w:i/>
              </w:rPr>
              <w:t>à la fois</w:t>
            </w:r>
            <w:r w:rsidRPr="00B378EB">
              <w:t xml:space="preserve"> les antécédents du navire en matière de sécurité </w:t>
            </w:r>
            <w:r w:rsidRPr="00B378EB">
              <w:rPr>
                <w:b/>
                <w:i/>
              </w:rPr>
              <w:t>et les documents qui garantissent que le navire respecte les normes</w:t>
            </w:r>
            <w:r w:rsidRPr="00B378EB">
              <w:rPr>
                <w:b/>
                <w:i/>
              </w:rPr>
              <w:t xml:space="preserve"> environnementales et sociales internationales,</w:t>
            </w:r>
            <w:r w:rsidRPr="00B378EB">
              <w:t xml:space="preserve"> au moyen des rapports d</w:t>
            </w:r>
            <w:r>
              <w:t>’</w:t>
            </w:r>
            <w:r w:rsidRPr="00B378EB">
              <w:t>inspection et des certificats figurant dans la base de données visée à l</w:t>
            </w:r>
            <w:r>
              <w:t>’</w:t>
            </w:r>
            <w:r w:rsidRPr="00B378EB">
              <w:t xml:space="preserve">article 6 bis. </w:t>
            </w:r>
            <w:r w:rsidRPr="00B378EB">
              <w:rPr>
                <w:b/>
                <w:i/>
              </w:rPr>
              <w:t>Il vérifie également que l</w:t>
            </w:r>
            <w:r>
              <w:rPr>
                <w:b/>
                <w:i/>
              </w:rPr>
              <w:t>’</w:t>
            </w:r>
            <w:r w:rsidRPr="00B378EB">
              <w:rPr>
                <w:b/>
                <w:i/>
              </w:rPr>
              <w:t>exploitation du navire est conforme aux conventions internationales e</w:t>
            </w:r>
            <w:r w:rsidRPr="00B378EB">
              <w:rPr>
                <w:b/>
                <w:i/>
              </w:rPr>
              <w:t>n matière d</w:t>
            </w:r>
            <w:r>
              <w:rPr>
                <w:b/>
                <w:i/>
              </w:rPr>
              <w:t>’</w:t>
            </w:r>
            <w:r w:rsidRPr="00B378EB">
              <w:rPr>
                <w:b/>
                <w:i/>
              </w:rPr>
              <w:t>environnement et de travail, qu</w:t>
            </w:r>
            <w:r>
              <w:rPr>
                <w:b/>
                <w:i/>
              </w:rPr>
              <w:t>’</w:t>
            </w:r>
            <w:r w:rsidRPr="00B378EB">
              <w:rPr>
                <w:b/>
                <w:i/>
              </w:rPr>
              <w:t>elle est conforme à la directive 2013/54/UE, et que l</w:t>
            </w:r>
            <w:r>
              <w:rPr>
                <w:b/>
                <w:i/>
              </w:rPr>
              <w:t>’</w:t>
            </w:r>
            <w:r w:rsidRPr="00B378EB">
              <w:rPr>
                <w:b/>
                <w:i/>
              </w:rPr>
              <w:t>équipage est formé conformément à la directive 2022/993 du Parlement européen et du Conseil</w:t>
            </w:r>
            <w:r w:rsidRPr="00B378EB">
              <w:rPr>
                <w:b/>
                <w:i/>
                <w:vertAlign w:val="superscript"/>
              </w:rPr>
              <w:t>1 bis</w:t>
            </w:r>
            <w:r w:rsidRPr="00B378EB">
              <w:rPr>
                <w:b/>
                <w:i/>
              </w:rPr>
              <w:t xml:space="preserve">. </w:t>
            </w:r>
            <w:r w:rsidRPr="00B378EB">
              <w:t>Il consulte, si nécessaire, l</w:t>
            </w:r>
            <w:r>
              <w:t>’</w:t>
            </w:r>
            <w:r w:rsidRPr="00B378EB">
              <w:t>État du pavillon précédent afi</w:t>
            </w:r>
            <w:r w:rsidRPr="00B378EB">
              <w:t>n d</w:t>
            </w:r>
            <w:r>
              <w:t>’</w:t>
            </w:r>
            <w:r w:rsidRPr="00B378EB">
              <w:t>établir si des anomalies ou des problèmes de sécurité relevés par celui-ci doivent encore être réglés.</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t>__________________</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vertAlign w:val="superscript"/>
              </w:rPr>
              <w:t>1 bis</w:t>
            </w:r>
            <w:r w:rsidRPr="00B378EB">
              <w:rPr>
                <w:b/>
                <w:i/>
              </w:rPr>
              <w:t xml:space="preserve"> Directive (UE) 2022/993 du Parlement européen et du Conseil du 8 juin 2022 concernant le niveau minimal de formation des gens de mer (JO L 169 du 27.6.2022, p. 45).</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12</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w:t>
      </w:r>
      <w:r w:rsidRPr="00B378EB">
        <w:rPr>
          <w:rStyle w:val="HideTWBExt"/>
          <w:b w:val="0"/>
        </w:rPr>
        <w:t>nd&gt;</w:t>
      </w:r>
    </w:p>
    <w:p w:rsidR="00FB38AB" w:rsidRPr="00B378EB" w:rsidRDefault="00D76C1F" w:rsidP="00FB38AB">
      <w:pPr>
        <w:pStyle w:val="NormalBold"/>
      </w:pPr>
      <w:r w:rsidRPr="00B378EB">
        <w:rPr>
          <w:rStyle w:val="HideTWBExt"/>
          <w:b w:val="0"/>
        </w:rPr>
        <w:t>&lt;Article&gt;</w:t>
      </w:r>
      <w:r w:rsidRPr="00B378EB">
        <w:t>Article 1 – alinéa 1 – point 3</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4 bis – paragraphe 3</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3.</w:t>
            </w:r>
            <w:r w:rsidRPr="00B378EB">
              <w:tab/>
              <w:t>Les États membres veillent à ce qu</w:t>
            </w:r>
            <w:r>
              <w:t>’</w:t>
            </w:r>
            <w:r w:rsidRPr="00B378EB">
              <w:t xml:space="preserve">il soit remédié à toute </w:t>
            </w:r>
            <w:r w:rsidRPr="00B378EB">
              <w:t>anomalie confirmée ou révélée par une inspection effectuée conformément au paragraphe 2, point c).</w:t>
            </w:r>
          </w:p>
        </w:tc>
        <w:tc>
          <w:tcPr>
            <w:tcW w:w="4876" w:type="dxa"/>
            <w:hideMark/>
          </w:tcPr>
          <w:p w:rsidR="00FB38AB" w:rsidRPr="00B378EB" w:rsidRDefault="00D76C1F" w:rsidP="00FB38AB">
            <w:pPr>
              <w:pStyle w:val="Normal6"/>
              <w:rPr>
                <w:szCs w:val="24"/>
              </w:rPr>
            </w:pPr>
            <w:r w:rsidRPr="00B378EB">
              <w:t>3.</w:t>
            </w:r>
            <w:r w:rsidRPr="00B378EB">
              <w:tab/>
              <w:t>Les États membres veillent à ce qu</w:t>
            </w:r>
            <w:r>
              <w:t>’</w:t>
            </w:r>
            <w:r w:rsidRPr="00B378EB">
              <w:t>il soit remédié à toute anomalie confirmée ou révélée par une inspection effectuée conformément au paragraphe 2, point </w:t>
            </w:r>
            <w:r w:rsidRPr="00B378EB">
              <w:t xml:space="preserve">c), </w:t>
            </w:r>
            <w:r w:rsidRPr="00B378EB">
              <w:rPr>
                <w:b/>
                <w:bCs/>
                <w:i/>
                <w:iCs/>
              </w:rPr>
              <w:t>et à ce que toutes les mesures correctives nécessaires soient prises pour remédier aux préoccupations en matière de sécurité et d</w:t>
            </w:r>
            <w:r>
              <w:rPr>
                <w:b/>
                <w:bCs/>
                <w:i/>
                <w:iCs/>
              </w:rPr>
              <w:t>’</w:t>
            </w:r>
            <w:r w:rsidRPr="00B378EB">
              <w:rPr>
                <w:b/>
                <w:bCs/>
                <w:i/>
                <w:iCs/>
              </w:rPr>
              <w:t>environnement avant que le navire ne prenne la mer</w:t>
            </w:r>
            <w:r w:rsidRPr="00B378EB">
              <w:t xml:space="preserve">. </w:t>
            </w:r>
            <w:r w:rsidRPr="00B378EB">
              <w:rPr>
                <w:b/>
                <w:i/>
              </w:rPr>
              <w:t>Les inspections portent en particulier sur la sécurité et les performa</w:t>
            </w:r>
            <w:r w:rsidRPr="00B378EB">
              <w:rPr>
                <w:b/>
                <w:i/>
              </w:rPr>
              <w:t>nces environnementales de tous les navires battant pavillon d</w:t>
            </w:r>
            <w:r>
              <w:rPr>
                <w:b/>
                <w:i/>
              </w:rPr>
              <w:t>’</w:t>
            </w:r>
            <w:r w:rsidRPr="00B378EB">
              <w:rPr>
                <w:b/>
                <w:i/>
              </w:rPr>
              <w:t>un État membre, ainsi que sur les conditions de travail des équipages, y compris l</w:t>
            </w:r>
            <w:r>
              <w:rPr>
                <w:b/>
                <w:i/>
              </w:rPr>
              <w:t>’</w:t>
            </w:r>
            <w:r w:rsidRPr="00B378EB">
              <w:rPr>
                <w:b/>
                <w:i/>
              </w:rPr>
              <w:t>exactitude des données relatives aux heures de travail et de repos, conformément à la directive 2013/54/UE du P</w:t>
            </w:r>
            <w:r w:rsidRPr="00B378EB">
              <w:rPr>
                <w:b/>
                <w:i/>
              </w:rPr>
              <w:t>arlement européen et du Conseil.</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13</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3</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 xml:space="preserve">Article 4 ter – </w:t>
      </w:r>
      <w:r w:rsidRPr="00B378EB">
        <w:t>paragraphe 4</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4.</w:t>
            </w:r>
            <w:r w:rsidRPr="00B378EB">
              <w:tab/>
              <w:t>Afin d</w:t>
            </w:r>
            <w:r>
              <w:t>’</w:t>
            </w:r>
            <w:r w:rsidRPr="00B378EB">
              <w:t>harmoniser les inspections supplémentaires de l</w:t>
            </w:r>
            <w:r>
              <w:t>’</w:t>
            </w:r>
            <w:r w:rsidRPr="00B378EB">
              <w:t>État du pavillon prévues à l</w:t>
            </w:r>
            <w:r>
              <w:t>’</w:t>
            </w:r>
            <w:r w:rsidRPr="00B378EB">
              <w:t>article 4 bis, paragraphe 2, point c), la Commission, après consultation du groupe à haut niveau su</w:t>
            </w:r>
            <w:r w:rsidRPr="00B378EB">
              <w:t>r les questions relatives à l</w:t>
            </w:r>
            <w:r>
              <w:t>’</w:t>
            </w:r>
            <w:r w:rsidRPr="00B378EB">
              <w:t>État du pavillon mentionné à l</w:t>
            </w:r>
            <w:r>
              <w:t>’</w:t>
            </w:r>
            <w:r w:rsidRPr="00B378EB">
              <w:t>article 9 bis, paragraphe 1, adopte des actes d</w:t>
            </w:r>
            <w:r>
              <w:t>’</w:t>
            </w:r>
            <w:r w:rsidRPr="00B378EB">
              <w:t>exécution pour définir les mesures uniformes visant à déterminer les exigences minimales relatives à la mise en œuvre des obligations prévues au pa</w:t>
            </w:r>
            <w:r w:rsidRPr="00B378EB">
              <w:t>ragraphe 1. Ces actes d</w:t>
            </w:r>
            <w:r>
              <w:t>’</w:t>
            </w:r>
            <w:r w:rsidRPr="00B378EB">
              <w:t>exécution sont adoptés en conformité avec la procédure d</w:t>
            </w:r>
            <w:r>
              <w:t>’</w:t>
            </w:r>
            <w:r w:rsidRPr="00B378EB">
              <w:t>examen visée à l</w:t>
            </w:r>
            <w:r>
              <w:t>’</w:t>
            </w:r>
            <w:r w:rsidRPr="00B378EB">
              <w:t>article 10, paragraphe 2.</w:t>
            </w:r>
          </w:p>
        </w:tc>
        <w:tc>
          <w:tcPr>
            <w:tcW w:w="4876" w:type="dxa"/>
            <w:hideMark/>
          </w:tcPr>
          <w:p w:rsidR="00FB38AB" w:rsidRPr="00B378EB" w:rsidRDefault="00D76C1F" w:rsidP="00FB38AB">
            <w:pPr>
              <w:pStyle w:val="Normal6"/>
              <w:rPr>
                <w:szCs w:val="24"/>
              </w:rPr>
            </w:pPr>
            <w:r w:rsidRPr="00B378EB">
              <w:t>4.</w:t>
            </w:r>
            <w:r w:rsidRPr="00B378EB">
              <w:tab/>
              <w:t>Afin d</w:t>
            </w:r>
            <w:r>
              <w:t>’</w:t>
            </w:r>
            <w:r w:rsidRPr="00B378EB">
              <w:t>harmoniser les inspections supplémentaires de l</w:t>
            </w:r>
            <w:r>
              <w:t>’</w:t>
            </w:r>
            <w:r w:rsidRPr="00B378EB">
              <w:t>État du pavillon prévues à l</w:t>
            </w:r>
            <w:r>
              <w:t>’</w:t>
            </w:r>
            <w:r w:rsidRPr="00B378EB">
              <w:t>article 4 bis, paragraphe 2, point c), la Com</w:t>
            </w:r>
            <w:r w:rsidRPr="00B378EB">
              <w:t>mission, après consultation du groupe à haut niveau sur les questions relatives à l</w:t>
            </w:r>
            <w:r>
              <w:t>’</w:t>
            </w:r>
            <w:r w:rsidRPr="00B378EB">
              <w:t>État du pavillon mentionné à l</w:t>
            </w:r>
            <w:r>
              <w:t>’</w:t>
            </w:r>
            <w:r w:rsidRPr="00B378EB">
              <w:t>article 9 bis, paragraphe 1, adopte des actes d</w:t>
            </w:r>
            <w:r>
              <w:t>’</w:t>
            </w:r>
            <w:r w:rsidRPr="00B378EB">
              <w:t>exécution pour définir les mesures uniformes visant à déterminer les exigences minimales rela</w:t>
            </w:r>
            <w:r w:rsidRPr="00B378EB">
              <w:t xml:space="preserve">tives à la mise en œuvre des obligations prévues au paragraphe 1. </w:t>
            </w:r>
            <w:r w:rsidRPr="00B378EB">
              <w:rPr>
                <w:b/>
                <w:i/>
              </w:rPr>
              <w:t>Ces exigences minimales comprennent notamment un quota d</w:t>
            </w:r>
            <w:r>
              <w:rPr>
                <w:b/>
                <w:i/>
              </w:rPr>
              <w:t>’</w:t>
            </w:r>
            <w:r w:rsidRPr="00B378EB">
              <w:rPr>
                <w:b/>
                <w:i/>
              </w:rPr>
              <w:t>inspection minimal annuel d</w:t>
            </w:r>
            <w:r>
              <w:rPr>
                <w:b/>
                <w:i/>
              </w:rPr>
              <w:t>’</w:t>
            </w:r>
            <w:r w:rsidRPr="00B378EB">
              <w:rPr>
                <w:b/>
                <w:i/>
              </w:rPr>
              <w:t>au moins 30 % des navires battant son pavillon pour chaque État membre, proportionnel à la taille et au t</w:t>
            </w:r>
            <w:r w:rsidRPr="00B378EB">
              <w:rPr>
                <w:b/>
                <w:i/>
              </w:rPr>
              <w:t>ype de sa flotte, ainsi qu</w:t>
            </w:r>
            <w:r>
              <w:rPr>
                <w:b/>
                <w:i/>
              </w:rPr>
              <w:t>’</w:t>
            </w:r>
            <w:r w:rsidRPr="00B378EB">
              <w:rPr>
                <w:b/>
                <w:i/>
              </w:rPr>
              <w:t>un élément qualitatif tenant compte du profil de risque du navire inspecté.</w:t>
            </w:r>
            <w:r w:rsidRPr="00B378EB">
              <w:t xml:space="preserve"> Ces actes d</w:t>
            </w:r>
            <w:r>
              <w:t>’</w:t>
            </w:r>
            <w:r w:rsidRPr="00B378EB">
              <w:t>exécution sont adoptés en conformité avec la procédure d</w:t>
            </w:r>
            <w:r>
              <w:t>’</w:t>
            </w:r>
            <w:r w:rsidRPr="00B378EB">
              <w:t>examen visée à l</w:t>
            </w:r>
            <w:r>
              <w:t>’</w:t>
            </w:r>
            <w:r w:rsidRPr="00B378EB">
              <w:t>article 10, paragraphe 2.</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14</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3</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4 quater – paragraphe 2</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2.</w:t>
            </w:r>
            <w:r w:rsidRPr="00B378EB">
              <w:tab/>
              <w:t xml:space="preserve">La </w:t>
            </w:r>
            <w:r w:rsidRPr="00B378EB">
              <w:t>Commission, en consultation avec le groupe à haut niveau sur les questions relatives à l</w:t>
            </w:r>
            <w:r>
              <w:t>’</w:t>
            </w:r>
            <w:r w:rsidRPr="00B378EB">
              <w:t>État du pavillon visé à l</w:t>
            </w:r>
            <w:r>
              <w:t>’</w:t>
            </w:r>
            <w:r w:rsidRPr="00B378EB">
              <w:t xml:space="preserve">article 9 bis, paragraphe 1, élabore un régime commun de renforcement des capacités (après obtention de la qualification au niveau national) </w:t>
            </w:r>
            <w:r w:rsidRPr="00B378EB">
              <w:t>et l</w:t>
            </w:r>
            <w:r>
              <w:t>’</w:t>
            </w:r>
            <w:r w:rsidRPr="00B378EB">
              <w:t>actualise, en tenant compte des nouvelles technologies et des obligations nouvelles ou supplémentaires découlant des instruments internationaux pertinents, pour les inspecteurs des États membres du pavillon.»;</w:t>
            </w:r>
          </w:p>
        </w:tc>
        <w:tc>
          <w:tcPr>
            <w:tcW w:w="4876" w:type="dxa"/>
            <w:hideMark/>
          </w:tcPr>
          <w:p w:rsidR="00FB38AB" w:rsidRPr="00B378EB" w:rsidRDefault="00D76C1F" w:rsidP="00FB38AB">
            <w:pPr>
              <w:pStyle w:val="Normal6"/>
              <w:rPr>
                <w:szCs w:val="24"/>
              </w:rPr>
            </w:pPr>
            <w:r w:rsidRPr="00B378EB">
              <w:t>2.</w:t>
            </w:r>
            <w:r w:rsidRPr="00B378EB">
              <w:tab/>
              <w:t>La Commission, en consultation avec le</w:t>
            </w:r>
            <w:r w:rsidRPr="00B378EB">
              <w:t xml:space="preserve"> groupe à haut niveau sur les questions relatives à l</w:t>
            </w:r>
            <w:r>
              <w:t>’</w:t>
            </w:r>
            <w:r w:rsidRPr="00B378EB">
              <w:t>État du pavillon visé à l</w:t>
            </w:r>
            <w:r>
              <w:t>’</w:t>
            </w:r>
            <w:r w:rsidRPr="00B378EB">
              <w:t>article 9 bis, paragraphe 1, élabore un régime commun de renforcement des capacités (après obtention de la qualification au niveau national) et l</w:t>
            </w:r>
            <w:r>
              <w:t>’</w:t>
            </w:r>
            <w:r w:rsidRPr="00B378EB">
              <w:t>actualise, en tenant compte de</w:t>
            </w:r>
            <w:r w:rsidRPr="00B378EB">
              <w:t>s nouvelles technologies et des obligations nouvelles ou supplémentaires découlant des instruments internationaux pertinents, pour les inspecteurs des États membres du pavillon</w:t>
            </w:r>
            <w:r w:rsidRPr="00B378EB">
              <w:rPr>
                <w:b/>
                <w:i/>
              </w:rPr>
              <w:t>, et en apportant une attention particulière à la mise en œuvre de la directive </w:t>
            </w:r>
            <w:r w:rsidRPr="00B378EB">
              <w:rPr>
                <w:b/>
                <w:i/>
              </w:rPr>
              <w:t>2013/54/UE</w:t>
            </w:r>
            <w:r w:rsidRPr="00B378EB">
              <w:t>.</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15</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3</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4 quater – paragraphe 2 bis (nouveau)</w:t>
      </w:r>
      <w:r w:rsidRPr="00B378EB">
        <w:rPr>
          <w:rStyle w:val="HideTWBExt"/>
        </w:rPr>
        <w:t>&lt;</w:t>
      </w:r>
      <w:r w:rsidRPr="00B378EB">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2 bis.</w:t>
            </w:r>
            <w:r w:rsidRPr="00B378EB">
              <w:rPr>
                <w:b/>
                <w:i/>
              </w:rPr>
              <w:tab/>
              <w:t>La Commission, avec l</w:t>
            </w:r>
            <w:r>
              <w:rPr>
                <w:b/>
                <w:i/>
              </w:rPr>
              <w:t>’</w:t>
            </w:r>
            <w:r w:rsidRPr="00B378EB">
              <w:rPr>
                <w:b/>
                <w:i/>
              </w:rPr>
              <w:t>assistance de l</w:t>
            </w:r>
            <w:r>
              <w:rPr>
                <w:b/>
                <w:i/>
              </w:rPr>
              <w:t>’</w:t>
            </w:r>
            <w:r w:rsidRPr="00B378EB">
              <w:rPr>
                <w:b/>
                <w:i/>
              </w:rPr>
              <w:t>AESM, élabore un document d</w:t>
            </w:r>
            <w:r>
              <w:rPr>
                <w:b/>
                <w:i/>
              </w:rPr>
              <w:t>’</w:t>
            </w:r>
            <w:r w:rsidRPr="00B378EB">
              <w:rPr>
                <w:b/>
                <w:i/>
              </w:rPr>
              <w:t>orientation fournissant des conseils sur la manière de mettre en œuvre la directive 2013/54/UE. L</w:t>
            </w:r>
            <w:r>
              <w:rPr>
                <w:b/>
                <w:i/>
              </w:rPr>
              <w:t>’</w:t>
            </w:r>
            <w:r w:rsidRPr="00B378EB">
              <w:rPr>
                <w:b/>
                <w:i/>
              </w:rPr>
              <w:t xml:space="preserve">AESM fournit également des </w:t>
            </w:r>
            <w:r w:rsidRPr="00B378EB">
              <w:rPr>
                <w:b/>
                <w:i/>
              </w:rPr>
              <w:t>informations détaillées portant sur les problèmes les plus fréquemment détectés, en fonction de l</w:t>
            </w:r>
            <w:r>
              <w:rPr>
                <w:b/>
                <w:i/>
              </w:rPr>
              <w:t>’</w:t>
            </w:r>
            <w:r w:rsidRPr="00B378EB">
              <w:rPr>
                <w:b/>
                <w:i/>
              </w:rPr>
              <w:t>État du pavillon, lors des inspections de navire effectuées par l</w:t>
            </w:r>
            <w:r>
              <w:rPr>
                <w:b/>
                <w:i/>
              </w:rPr>
              <w:t>’</w:t>
            </w:r>
            <w:r w:rsidRPr="00B378EB">
              <w:rPr>
                <w:b/>
                <w:i/>
              </w:rPr>
              <w:t>État du port, ainsi que des explications et des précisions concernant la documentation et le</w:t>
            </w:r>
            <w:r w:rsidRPr="00B378EB">
              <w:rPr>
                <w:b/>
                <w:i/>
              </w:rPr>
              <w:t>s certificats spécifiques à chaque État du pavillon.</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16</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5</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w:t>
      </w:r>
      <w:r w:rsidRPr="00B378EB">
        <w:t>le 6 – paragraphe 1 – partie introductive</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1.</w:t>
            </w:r>
            <w:r w:rsidRPr="00B378EB">
              <w:tab/>
              <w:t xml:space="preserve">Les États membres veillent à ce que, au minimum, les informations énumérées ci-après concernant les navires battant leur pavillon soient conservées et </w:t>
            </w:r>
            <w:r w:rsidRPr="00B378EB">
              <w:t>rendues accessibles dans un format électronique compatible et interopérable avec les bases de données de l</w:t>
            </w:r>
            <w:r>
              <w:t>’</w:t>
            </w:r>
            <w:r w:rsidRPr="00B378EB">
              <w:t>Union concernant la sécurité maritime:</w:t>
            </w:r>
          </w:p>
        </w:tc>
        <w:tc>
          <w:tcPr>
            <w:tcW w:w="4876" w:type="dxa"/>
            <w:hideMark/>
          </w:tcPr>
          <w:p w:rsidR="00FB38AB" w:rsidRPr="00B378EB" w:rsidRDefault="00D76C1F" w:rsidP="00FB38AB">
            <w:pPr>
              <w:pStyle w:val="Normal6"/>
              <w:rPr>
                <w:szCs w:val="24"/>
              </w:rPr>
            </w:pPr>
            <w:r w:rsidRPr="00B378EB">
              <w:t>1.</w:t>
            </w:r>
            <w:r w:rsidRPr="00B378EB">
              <w:tab/>
            </w:r>
            <w:r w:rsidRPr="00B378EB">
              <w:rPr>
                <w:b/>
                <w:i/>
              </w:rPr>
              <w:t>Les certificats électroniques sont obligatoires pour l</w:t>
            </w:r>
            <w:r>
              <w:rPr>
                <w:b/>
                <w:i/>
              </w:rPr>
              <w:t>’</w:t>
            </w:r>
            <w:r w:rsidRPr="00B378EB">
              <w:rPr>
                <w:b/>
                <w:i/>
              </w:rPr>
              <w:t>ensemble des États membres au plus tard [trois ans a</w:t>
            </w:r>
            <w:r w:rsidRPr="00B378EB">
              <w:rPr>
                <w:b/>
                <w:i/>
              </w:rPr>
              <w:t>près la date d</w:t>
            </w:r>
            <w:r>
              <w:rPr>
                <w:b/>
                <w:i/>
              </w:rPr>
              <w:t>’</w:t>
            </w:r>
            <w:r w:rsidRPr="00B378EB">
              <w:rPr>
                <w:b/>
                <w:i/>
              </w:rPr>
              <w:t>entrée en vigueur de la présente directive modificative].</w:t>
            </w:r>
            <w:r w:rsidRPr="00B378EB">
              <w:t xml:space="preserve"> Les États membres veillent à ce que, au minimum, les informations énumérées ci-après concernant les navires battant leur pavillon soient conservées et rendues accessibles dans un form</w:t>
            </w:r>
            <w:r w:rsidRPr="00B378EB">
              <w:t>at électronique compatible et interopérable avec les bases de données de l</w:t>
            </w:r>
            <w:r>
              <w:t>’</w:t>
            </w:r>
            <w:r w:rsidRPr="00B378EB">
              <w:t>Union concernant la sécurité maritime:</w:t>
            </w:r>
          </w:p>
        </w:tc>
      </w:tr>
    </w:tbl>
    <w:p w:rsidR="00FB38AB" w:rsidRPr="00B378EB" w:rsidRDefault="00D76C1F" w:rsidP="00FB38AB">
      <w:pPr>
        <w:rPr>
          <w:rStyle w:val="HideTWBExt"/>
        </w:rPr>
      </w:pPr>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17</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5</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6 – paragraphe 1 – point a bis (nouveau)</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a bis)</w:t>
            </w:r>
            <w:r w:rsidRPr="00B378EB">
              <w:rPr>
                <w:b/>
                <w:i/>
              </w:rPr>
              <w:tab/>
              <w:t>les caractéristiques de l</w:t>
            </w:r>
            <w:r>
              <w:rPr>
                <w:b/>
                <w:i/>
              </w:rPr>
              <w:t>’</w:t>
            </w:r>
            <w:r w:rsidRPr="00B378EB">
              <w:rPr>
                <w:b/>
                <w:i/>
              </w:rPr>
              <w:t>organisation du travail à bord et les registres des</w:t>
            </w:r>
            <w:r w:rsidRPr="00B378EB">
              <w:rPr>
                <w:b/>
                <w:i/>
              </w:rPr>
              <w:t xml:space="preserve"> heures quotidiennes de travail des gens de mer, tels que définis dans la directive 1999/63/CE.</w:t>
            </w:r>
          </w:p>
        </w:tc>
      </w:tr>
    </w:tbl>
    <w:p w:rsidR="00FB38AB" w:rsidRPr="00B378EB" w:rsidRDefault="00D76C1F" w:rsidP="00FB38AB">
      <w:r w:rsidRPr="00B378EB">
        <w:rPr>
          <w:rStyle w:val="HideTWBExt"/>
        </w:rPr>
        <w:t>&lt;/Amend&gt;</w:t>
      </w:r>
    </w:p>
    <w:p w:rsidR="00FB38AB" w:rsidRPr="00B378EB" w:rsidRDefault="00FB38AB" w:rsidP="00FB38AB"/>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18</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5</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6 – paragraphe 1 – point e</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e)</w:t>
            </w:r>
            <w:r w:rsidRPr="00B378EB">
              <w:tab/>
              <w:t>résultat des inspections menées dans le cadre du contrôle par l</w:t>
            </w:r>
            <w:r>
              <w:t>’</w:t>
            </w:r>
            <w:r w:rsidRPr="00B378EB">
              <w:t xml:space="preserve">État du port (anomalies: oui ou non, immobilisations: </w:t>
            </w:r>
            <w:r w:rsidRPr="00B378EB">
              <w:t>oui ou non);</w:t>
            </w:r>
          </w:p>
        </w:tc>
        <w:tc>
          <w:tcPr>
            <w:tcW w:w="4876" w:type="dxa"/>
            <w:hideMark/>
          </w:tcPr>
          <w:p w:rsidR="00FB38AB" w:rsidRPr="00B378EB" w:rsidRDefault="00D76C1F" w:rsidP="00FB38AB">
            <w:pPr>
              <w:pStyle w:val="Normal6"/>
              <w:rPr>
                <w:szCs w:val="24"/>
              </w:rPr>
            </w:pPr>
            <w:r w:rsidRPr="00B378EB">
              <w:t>e)</w:t>
            </w:r>
            <w:r w:rsidRPr="00B378EB">
              <w:tab/>
              <w:t>résultat des inspections menées dans le cadre du contrôle par l</w:t>
            </w:r>
            <w:r>
              <w:t>’</w:t>
            </w:r>
            <w:r w:rsidRPr="00B378EB">
              <w:t>État du port (anomalies: oui ou non, immobilisations: oui ou non</w:t>
            </w:r>
            <w:r w:rsidRPr="00B378EB">
              <w:rPr>
                <w:b/>
                <w:i/>
              </w:rPr>
              <w:t>; et, en en cas d</w:t>
            </w:r>
            <w:r>
              <w:rPr>
                <w:b/>
                <w:i/>
              </w:rPr>
              <w:t>’</w:t>
            </w:r>
            <w:r w:rsidRPr="00B378EB">
              <w:rPr>
                <w:b/>
                <w:i/>
              </w:rPr>
              <w:t>anomalies ou d</w:t>
            </w:r>
            <w:r>
              <w:rPr>
                <w:b/>
                <w:i/>
              </w:rPr>
              <w:t>’</w:t>
            </w:r>
            <w:r w:rsidRPr="00B378EB">
              <w:rPr>
                <w:b/>
                <w:i/>
              </w:rPr>
              <w:t>immobilisations, d</w:t>
            </w:r>
            <w:r>
              <w:rPr>
                <w:b/>
                <w:i/>
              </w:rPr>
              <w:t>’</w:t>
            </w:r>
            <w:r w:rsidRPr="00B378EB">
              <w:rPr>
                <w:b/>
                <w:i/>
              </w:rPr>
              <w:t>autres précisions, le cas échéant)</w:t>
            </w:r>
            <w:r w:rsidRPr="00B378EB">
              <w:t>;</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19</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5</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6 – paragraphe 1 – point e bis (nouveau)</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w:t>
            </w:r>
            <w:r w:rsidRPr="00B378EB">
              <w:t xml:space="preserve">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e bis)</w:t>
            </w:r>
            <w:r w:rsidRPr="00B378EB">
              <w:rPr>
                <w:b/>
                <w:i/>
              </w:rPr>
              <w:tab/>
              <w:t>les certificats réglementaires qui confirment qu</w:t>
            </w:r>
            <w:r>
              <w:rPr>
                <w:b/>
                <w:i/>
              </w:rPr>
              <w:t>’</w:t>
            </w:r>
            <w:r w:rsidRPr="00B378EB">
              <w:rPr>
                <w:b/>
                <w:i/>
              </w:rPr>
              <w:t>il a été remédié à toute anomalie identifiée dans le cadre des inspections effectuées dans le cadre du contrôle par l</w:t>
            </w:r>
            <w:r>
              <w:rPr>
                <w:b/>
                <w:i/>
              </w:rPr>
              <w:t>’</w:t>
            </w:r>
            <w:r w:rsidRPr="00B378EB">
              <w:rPr>
                <w:b/>
                <w:i/>
              </w:rPr>
              <w:t>État du port;</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20</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5</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6 – paragraphe 2</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2.</w:t>
            </w:r>
            <w:r w:rsidRPr="00B378EB">
              <w:tab/>
              <w:t xml:space="preserve">Les </w:t>
            </w:r>
            <w:r w:rsidRPr="00B378EB">
              <w:t>informations sont transmises à la base de données des inspections prévue à l</w:t>
            </w:r>
            <w:r>
              <w:t>’</w:t>
            </w:r>
            <w:r w:rsidRPr="00B378EB">
              <w:t>article 6 bis. Une copie de ce rapport est remise au capitaine.</w:t>
            </w:r>
          </w:p>
        </w:tc>
        <w:tc>
          <w:tcPr>
            <w:tcW w:w="4876" w:type="dxa"/>
            <w:hideMark/>
          </w:tcPr>
          <w:p w:rsidR="00FB38AB" w:rsidRPr="00B378EB" w:rsidRDefault="00D76C1F" w:rsidP="00FB38AB">
            <w:pPr>
              <w:pStyle w:val="Normal6"/>
              <w:rPr>
                <w:szCs w:val="24"/>
              </w:rPr>
            </w:pPr>
            <w:r w:rsidRPr="00B378EB">
              <w:t>2.</w:t>
            </w:r>
            <w:r w:rsidRPr="00B378EB">
              <w:tab/>
              <w:t>Les informations sont transmises à la base de données des inspections prévue à l</w:t>
            </w:r>
            <w:r>
              <w:t>’</w:t>
            </w:r>
            <w:r w:rsidRPr="00B378EB">
              <w:t xml:space="preserve">article 6 bis, </w:t>
            </w:r>
            <w:r w:rsidRPr="00B378EB">
              <w:rPr>
                <w:b/>
                <w:i/>
              </w:rPr>
              <w:t xml:space="preserve">étant donné que </w:t>
            </w:r>
            <w:r w:rsidRPr="00B378EB">
              <w:rPr>
                <w:b/>
                <w:i/>
              </w:rPr>
              <w:t>l</w:t>
            </w:r>
            <w:r>
              <w:rPr>
                <w:b/>
                <w:i/>
              </w:rPr>
              <w:t>’</w:t>
            </w:r>
            <w:r w:rsidRPr="00B378EB">
              <w:rPr>
                <w:b/>
                <w:i/>
              </w:rPr>
              <w:t>interopérabilité des bases de données contribue à une approche harmonisée de la communication des informations et de la mesure de la performance de la flotte sous la responsabilité de l</w:t>
            </w:r>
            <w:r>
              <w:rPr>
                <w:b/>
                <w:i/>
              </w:rPr>
              <w:t>’</w:t>
            </w:r>
            <w:r w:rsidRPr="00B378EB">
              <w:rPr>
                <w:b/>
                <w:i/>
              </w:rPr>
              <w:t>État du pavillon</w:t>
            </w:r>
            <w:r w:rsidR="00B378EB" w:rsidRPr="00B378EB">
              <w:rPr>
                <w:b/>
                <w:i/>
              </w:rPr>
              <w:t>.</w:t>
            </w:r>
            <w:r w:rsidRPr="00B378EB">
              <w:t xml:space="preserve"> Une copie de ce rapport est remise au capitaine.</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21</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6</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6 bis – paragraphe 4</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 xml:space="preserve">Texte proposé </w:t>
            </w:r>
            <w:r w:rsidRPr="00B378EB">
              <w:t>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4.</w:t>
            </w:r>
            <w:r w:rsidRPr="00B378EB">
              <w:tab/>
              <w:t>Les États membres ont accès à l</w:t>
            </w:r>
            <w:r>
              <w:t>’</w:t>
            </w:r>
            <w:r w:rsidRPr="00B378EB">
              <w:t>ensemble des informations enregistrées dans la base de données des inspections visée au paragraphe 1 du présent article et au système d</w:t>
            </w:r>
            <w:r>
              <w:t>’</w:t>
            </w:r>
            <w:r w:rsidRPr="00B378EB">
              <w:t>inspection prévu par la directive 2009/16/CE. Aucune di</w:t>
            </w:r>
            <w:r w:rsidRPr="00B378EB">
              <w:t>sposition de la présente directive n</w:t>
            </w:r>
            <w:r>
              <w:t>’</w:t>
            </w:r>
            <w:r w:rsidRPr="00B378EB">
              <w:t xml:space="preserve">empêche le partage de ces informations entre les autorités compétentes concernées au sein des États membres et entre eux, avec la Commission </w:t>
            </w:r>
            <w:r w:rsidRPr="00B378EB">
              <w:rPr>
                <w:b/>
                <w:i/>
              </w:rPr>
              <w:t>ou</w:t>
            </w:r>
            <w:r w:rsidRPr="00B378EB">
              <w:t xml:space="preserve"> avec l</w:t>
            </w:r>
            <w:r>
              <w:t>’</w:t>
            </w:r>
            <w:r w:rsidRPr="00B378EB">
              <w:t xml:space="preserve">Agence européenne pour la sécurité maritime (AESM) instituée par le </w:t>
            </w:r>
            <w:r w:rsidRPr="00B378EB">
              <w:t>règlement (CE) nº 1406/2002 du Parlement européen et du Conseil</w:t>
            </w:r>
            <w:r w:rsidRPr="00B378EB">
              <w:rPr>
                <w:vertAlign w:val="superscript"/>
              </w:rPr>
              <w:t>36</w:t>
            </w:r>
            <w:r w:rsidRPr="00B378EB">
              <w:t>.</w:t>
            </w:r>
          </w:p>
        </w:tc>
        <w:tc>
          <w:tcPr>
            <w:tcW w:w="4876" w:type="dxa"/>
            <w:hideMark/>
          </w:tcPr>
          <w:p w:rsidR="00FB38AB" w:rsidRPr="00B378EB" w:rsidRDefault="00D76C1F" w:rsidP="00FB38AB">
            <w:pPr>
              <w:pStyle w:val="Normal6"/>
              <w:rPr>
                <w:szCs w:val="24"/>
              </w:rPr>
            </w:pPr>
            <w:r w:rsidRPr="00B378EB">
              <w:t>4.</w:t>
            </w:r>
            <w:r w:rsidRPr="00B378EB">
              <w:tab/>
              <w:t>Les États membres ont accès à l</w:t>
            </w:r>
            <w:r>
              <w:t>’</w:t>
            </w:r>
            <w:r w:rsidRPr="00B378EB">
              <w:t>ensemble des informations enregistrées dans la base de données des inspections visée au paragraphe 1 du présent article et au système d</w:t>
            </w:r>
            <w:r>
              <w:t>’</w:t>
            </w:r>
            <w:r w:rsidRPr="00B378EB">
              <w:t>inspection prévu p</w:t>
            </w:r>
            <w:r w:rsidRPr="00B378EB">
              <w:t>ar la directive 2009/16/CE. Aucune disposition de la présente directive n</w:t>
            </w:r>
            <w:r>
              <w:t>’</w:t>
            </w:r>
            <w:r w:rsidRPr="00B378EB">
              <w:t xml:space="preserve">empêche le partage de ces informations entre les autorités compétentes concernées au sein des États membres et entre eux, avec la Commission </w:t>
            </w:r>
            <w:r w:rsidRPr="00B378EB">
              <w:rPr>
                <w:b/>
                <w:i/>
              </w:rPr>
              <w:t>et</w:t>
            </w:r>
            <w:r w:rsidRPr="00B378EB">
              <w:t xml:space="preserve"> avec l</w:t>
            </w:r>
            <w:r>
              <w:t>’</w:t>
            </w:r>
            <w:r w:rsidRPr="00B378EB">
              <w:t>Agence européenne pour la sécur</w:t>
            </w:r>
            <w:r w:rsidRPr="00B378EB">
              <w:t>ité maritime (AESM) instituée par le règlement (CE) nº 1406/2002 du Parlement européen et du Conseil</w:t>
            </w:r>
            <w:r w:rsidRPr="00B378EB">
              <w:rPr>
                <w:vertAlign w:val="superscript"/>
              </w:rPr>
              <w:t>36</w:t>
            </w:r>
            <w:r w:rsidRPr="00B378EB">
              <w:t>.</w:t>
            </w:r>
          </w:p>
        </w:tc>
      </w:tr>
      <w:tr w:rsidR="0039089F" w:rsidRPr="00B378EB" w:rsidTr="00FB38AB">
        <w:trPr>
          <w:jc w:val="center"/>
        </w:trPr>
        <w:tc>
          <w:tcPr>
            <w:tcW w:w="4876" w:type="dxa"/>
            <w:hideMark/>
          </w:tcPr>
          <w:p w:rsidR="00FB38AB" w:rsidRPr="00B378EB" w:rsidRDefault="00D76C1F" w:rsidP="00FB38AB">
            <w:pPr>
              <w:pStyle w:val="Normal6"/>
            </w:pPr>
            <w:r w:rsidRPr="00B378EB">
              <w:t>__________________</w:t>
            </w:r>
          </w:p>
        </w:tc>
        <w:tc>
          <w:tcPr>
            <w:tcW w:w="4876" w:type="dxa"/>
            <w:hideMark/>
          </w:tcPr>
          <w:p w:rsidR="00FB38AB" w:rsidRPr="00B378EB" w:rsidRDefault="00D76C1F" w:rsidP="00FB38AB">
            <w:pPr>
              <w:pStyle w:val="Normal6"/>
              <w:rPr>
                <w:szCs w:val="24"/>
              </w:rPr>
            </w:pPr>
            <w:r w:rsidRPr="00B378EB">
              <w:t>__________________</w:t>
            </w:r>
          </w:p>
        </w:tc>
      </w:tr>
      <w:tr w:rsidR="0039089F" w:rsidRPr="00B378EB" w:rsidTr="00FB38AB">
        <w:trPr>
          <w:jc w:val="center"/>
        </w:trPr>
        <w:tc>
          <w:tcPr>
            <w:tcW w:w="4876" w:type="dxa"/>
            <w:hideMark/>
          </w:tcPr>
          <w:p w:rsidR="00FB38AB" w:rsidRPr="00B378EB" w:rsidRDefault="00D76C1F" w:rsidP="00FB38AB">
            <w:pPr>
              <w:pStyle w:val="Normal6"/>
            </w:pPr>
            <w:r w:rsidRPr="00B378EB">
              <w:rPr>
                <w:vertAlign w:val="superscript"/>
              </w:rPr>
              <w:t>36</w:t>
            </w:r>
            <w:r w:rsidRPr="00B378EB">
              <w:t xml:space="preserve"> Règlement (CE) nº 1406/2002 du Parlement européen et du Conseil du 27 juin 2002 instituant une Agence européenne pour la sécurité maritime (JO L 208 du 5.8.2002, p. 1).</w:t>
            </w:r>
          </w:p>
        </w:tc>
        <w:tc>
          <w:tcPr>
            <w:tcW w:w="4876" w:type="dxa"/>
            <w:hideMark/>
          </w:tcPr>
          <w:p w:rsidR="00FB38AB" w:rsidRPr="00B378EB" w:rsidRDefault="00D76C1F" w:rsidP="00FB38AB">
            <w:pPr>
              <w:pStyle w:val="Normal6"/>
              <w:rPr>
                <w:szCs w:val="24"/>
              </w:rPr>
            </w:pPr>
            <w:r w:rsidRPr="00B378EB">
              <w:rPr>
                <w:vertAlign w:val="superscript"/>
              </w:rPr>
              <w:t>36</w:t>
            </w:r>
            <w:r w:rsidRPr="00B378EB">
              <w:t xml:space="preserve"> Règlement (CE) nº 1406/2002 du Parlement européen et du Conseil du 27 juin 2002 ins</w:t>
            </w:r>
            <w:r w:rsidRPr="00B378EB">
              <w:t>tituant une Agence européenne pour la sécurité maritime (JO L 208 du 5.8.2002, p. 1).</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22</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6</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w:t>
      </w:r>
      <w:r w:rsidRPr="00B378EB">
        <w:t>21/CE</w:t>
      </w:r>
      <w:r w:rsidRPr="00B378EB">
        <w:rPr>
          <w:rStyle w:val="HideTWBExt"/>
        </w:rPr>
        <w:t>&lt;/DocAmend2&gt;</w:t>
      </w:r>
    </w:p>
    <w:p w:rsidR="00FB38AB" w:rsidRPr="00B378EB" w:rsidRDefault="00D76C1F" w:rsidP="00FB38AB">
      <w:r w:rsidRPr="00B378EB">
        <w:rPr>
          <w:rStyle w:val="HideTWBExt"/>
        </w:rPr>
        <w:t>&lt;Article2&gt;</w:t>
      </w:r>
      <w:r w:rsidRPr="00B378EB">
        <w:t>Article 6 bis – paragraphe 5</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5.</w:t>
            </w:r>
            <w:r w:rsidRPr="00B378EB">
              <w:tab/>
              <w:t>Les États membres veillent à ce que les certificats réglementaires visés à l</w:t>
            </w:r>
            <w:r>
              <w:t>’</w:t>
            </w:r>
            <w:r w:rsidRPr="00B378EB">
              <w:t>article 6, paragraphe 1,</w:t>
            </w:r>
            <w:r w:rsidRPr="00B378EB">
              <w:rPr>
                <w:b/>
                <w:i/>
              </w:rPr>
              <w:t xml:space="preserve"> point b),</w:t>
            </w:r>
            <w:r w:rsidRPr="00B378EB">
              <w:t xml:space="preserve"> soient transmis par voie électronique à la base de données des inspections visée au paragraphe 1 du présent article en utilisant les spécifications fonctionnelles et techniques d</w:t>
            </w:r>
            <w:r>
              <w:t>’</w:t>
            </w:r>
            <w:r w:rsidRPr="00B378EB">
              <w:t>une interface de communication électronique harmonisée au sens de l</w:t>
            </w:r>
            <w:r>
              <w:t>’</w:t>
            </w:r>
            <w:r w:rsidRPr="00B378EB">
              <w:t>article </w:t>
            </w:r>
            <w:r w:rsidRPr="00B378EB">
              <w:t>24 bis de la directive 2009/16/CE.</w:t>
            </w:r>
          </w:p>
        </w:tc>
        <w:tc>
          <w:tcPr>
            <w:tcW w:w="4876" w:type="dxa"/>
            <w:hideMark/>
          </w:tcPr>
          <w:p w:rsidR="00FB38AB" w:rsidRPr="00B378EB" w:rsidRDefault="00D76C1F" w:rsidP="00FB38AB">
            <w:pPr>
              <w:pStyle w:val="Normal6"/>
              <w:rPr>
                <w:szCs w:val="24"/>
              </w:rPr>
            </w:pPr>
            <w:r w:rsidRPr="00B378EB">
              <w:t>5.</w:t>
            </w:r>
            <w:r w:rsidRPr="00B378EB">
              <w:tab/>
              <w:t xml:space="preserve">Les États membres veillent à ce que </w:t>
            </w:r>
            <w:r w:rsidRPr="00B378EB">
              <w:rPr>
                <w:b/>
                <w:i/>
              </w:rPr>
              <w:t>l</w:t>
            </w:r>
            <w:r>
              <w:rPr>
                <w:b/>
                <w:i/>
              </w:rPr>
              <w:t>’</w:t>
            </w:r>
            <w:r w:rsidRPr="00B378EB">
              <w:rPr>
                <w:b/>
                <w:i/>
              </w:rPr>
              <w:t>organisation du travail à bord et les registres des heures quotidiennes de travail ou de repos des gens de mer, conformément à la directive 2013/54/UE, ainsi que</w:t>
            </w:r>
            <w:r w:rsidRPr="00B378EB">
              <w:t xml:space="preserve"> que les certificat</w:t>
            </w:r>
            <w:r w:rsidRPr="00B378EB">
              <w:t>s réglementaires</w:t>
            </w:r>
            <w:r w:rsidRPr="00B378EB">
              <w:rPr>
                <w:b/>
                <w:i/>
              </w:rPr>
              <w:t>,</w:t>
            </w:r>
            <w:r w:rsidRPr="00B378EB">
              <w:t xml:space="preserve"> visés à l</w:t>
            </w:r>
            <w:r>
              <w:t>’</w:t>
            </w:r>
            <w:r w:rsidRPr="00B378EB">
              <w:t xml:space="preserve">article 6, paragraphe 1, </w:t>
            </w:r>
            <w:r w:rsidRPr="00B378EB">
              <w:rPr>
                <w:b/>
                <w:i/>
              </w:rPr>
              <w:t>points a bis) et b),</w:t>
            </w:r>
            <w:r w:rsidRPr="00B378EB">
              <w:t xml:space="preserve"> soient transmis par voie électronique à la base de données des inspections visée au paragraphe 1 du présent article en utilisant les spécifications fonctionnelles et techniques d</w:t>
            </w:r>
            <w:r>
              <w:t>’</w:t>
            </w:r>
            <w:r w:rsidRPr="00B378EB">
              <w:t>une</w:t>
            </w:r>
            <w:r w:rsidRPr="00B378EB">
              <w:t xml:space="preserve"> interface de communication électronique harmonisée au sens de l</w:t>
            </w:r>
            <w:r>
              <w:t>’</w:t>
            </w:r>
            <w:r w:rsidRPr="00B378EB">
              <w:t>article 24 bis de la directive 2009/16/CE.</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23</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7</w:t>
      </w:r>
      <w:r w:rsidRPr="00B378EB">
        <w:rPr>
          <w:rStyle w:val="HideTWBExt"/>
          <w:b w:val="0"/>
        </w:rPr>
        <w:t>&lt;/Article&gt;</w:t>
      </w:r>
    </w:p>
    <w:p w:rsidR="00FB38AB" w:rsidRPr="00B378EB" w:rsidRDefault="00D76C1F" w:rsidP="00FB38AB">
      <w:pPr>
        <w:keepNext/>
      </w:pPr>
      <w:r w:rsidRPr="00B378EB">
        <w:rPr>
          <w:rStyle w:val="HideTWBExt"/>
        </w:rPr>
        <w:t>&lt;Doc</w:t>
      </w:r>
      <w:r w:rsidRPr="00B378EB">
        <w:rPr>
          <w:rStyle w:val="HideTWBExt"/>
        </w:rPr>
        <w:t>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7 – paragraphe 1</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1.</w:t>
            </w:r>
            <w:r w:rsidRPr="00B378EB">
              <w:tab/>
            </w:r>
            <w:r w:rsidRPr="00B378EB">
              <w:t>Les États membres prennent les mesures nécessaires pour se soumettre à l</w:t>
            </w:r>
            <w:r>
              <w:t>’</w:t>
            </w:r>
            <w:r w:rsidRPr="00B378EB">
              <w:t>audit de leur administration par l</w:t>
            </w:r>
            <w:r>
              <w:t>’</w:t>
            </w:r>
            <w:r w:rsidRPr="00B378EB">
              <w:t xml:space="preserve">OMI au moins une fois tous les </w:t>
            </w:r>
            <w:r w:rsidRPr="00B378EB">
              <w:rPr>
                <w:b/>
                <w:i/>
              </w:rPr>
              <w:t>sept</w:t>
            </w:r>
            <w:r w:rsidRPr="00B378EB">
              <w:t xml:space="preserve"> ans et publient les résultats de l</w:t>
            </w:r>
            <w:r>
              <w:t>’</w:t>
            </w:r>
            <w:r w:rsidRPr="00B378EB">
              <w:t>audit ainsi que les mesures correctives éventuelles dans la base de données G</w:t>
            </w:r>
            <w:r w:rsidRPr="00B378EB">
              <w:t>ISIS (Global Integrated Shipping Information System) créée par l</w:t>
            </w:r>
            <w:r>
              <w:t>’</w:t>
            </w:r>
            <w:r w:rsidRPr="00B378EB">
              <w:t>OMI. Les États membres mettent également les mêmes informations à la disposition du public, conformément à la législation nationale applicable en matière de confidentialité.</w:t>
            </w:r>
          </w:p>
        </w:tc>
        <w:tc>
          <w:tcPr>
            <w:tcW w:w="4876" w:type="dxa"/>
            <w:hideMark/>
          </w:tcPr>
          <w:p w:rsidR="00FB38AB" w:rsidRPr="00B378EB" w:rsidRDefault="00D76C1F" w:rsidP="00FB38AB">
            <w:pPr>
              <w:pStyle w:val="Normal6"/>
              <w:rPr>
                <w:szCs w:val="24"/>
              </w:rPr>
            </w:pPr>
            <w:r w:rsidRPr="00B378EB">
              <w:t>1.</w:t>
            </w:r>
            <w:r w:rsidRPr="00B378EB">
              <w:tab/>
              <w:t>Les États memb</w:t>
            </w:r>
            <w:r w:rsidRPr="00B378EB">
              <w:t>res prennent les mesures nécessaires pour se soumettre à l</w:t>
            </w:r>
            <w:r>
              <w:t>’</w:t>
            </w:r>
            <w:r w:rsidRPr="00B378EB">
              <w:t>audit de leur administration par l</w:t>
            </w:r>
            <w:r>
              <w:t>’</w:t>
            </w:r>
            <w:r w:rsidRPr="00B378EB">
              <w:t xml:space="preserve">OMI au moins une fois tous les </w:t>
            </w:r>
            <w:r w:rsidRPr="00B378EB">
              <w:rPr>
                <w:b/>
                <w:i/>
              </w:rPr>
              <w:t>cinq</w:t>
            </w:r>
            <w:r w:rsidRPr="00B378EB">
              <w:t xml:space="preserve"> ans et publient les résultats de l</w:t>
            </w:r>
            <w:r>
              <w:t>’</w:t>
            </w:r>
            <w:r w:rsidRPr="00B378EB">
              <w:t>audit ainsi que les mesures correctives éventuelles dans la base de données GISIS (Global I</w:t>
            </w:r>
            <w:r w:rsidRPr="00B378EB">
              <w:t>ntegrated Shipping Information System) créée par l</w:t>
            </w:r>
            <w:r>
              <w:t>’</w:t>
            </w:r>
            <w:r w:rsidRPr="00B378EB">
              <w:t>OMI. Les États membres mettent également les mêmes informations à la disposition du public, conformément à la législation nationale applicable en matière de confidentialité.</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w:t>
      </w:r>
      <w:r w:rsidRPr="00B378EB">
        <w:rPr>
          <w:rStyle w:val="HideTWBExt"/>
          <w:b w:val="0"/>
        </w:rPr>
        <w:t>umAm&gt;</w:t>
      </w:r>
      <w:r w:rsidRPr="00B378EB">
        <w:t>24</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7</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7 – paragraphe 2</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2.</w:t>
            </w:r>
            <w:r w:rsidRPr="00B378EB">
              <w:tab/>
              <w:t xml:space="preserve">Les </w:t>
            </w:r>
            <w:r w:rsidRPr="00B378EB">
              <w:t>États membres veillent à ce que la Commission</w:t>
            </w:r>
            <w:r w:rsidRPr="00B378EB">
              <w:rPr>
                <w:b/>
                <w:i/>
              </w:rPr>
              <w:t>, assistée par</w:t>
            </w:r>
            <w:r w:rsidRPr="00B378EB">
              <w:t xml:space="preserve"> l</w:t>
            </w:r>
            <w:r>
              <w:t>’</w:t>
            </w:r>
            <w:r w:rsidRPr="00B378EB">
              <w:t>AESM</w:t>
            </w:r>
            <w:r w:rsidRPr="00B378EB">
              <w:rPr>
                <w:b/>
                <w:i/>
              </w:rPr>
              <w:t>, soit</w:t>
            </w:r>
            <w:r w:rsidRPr="00B378EB">
              <w:t xml:space="preserve"> autorisée à participer en qualité d</w:t>
            </w:r>
            <w:r>
              <w:t>’</w:t>
            </w:r>
            <w:r w:rsidRPr="00B378EB">
              <w:t>observateur au processus d</w:t>
            </w:r>
            <w:r>
              <w:t>’</w:t>
            </w:r>
            <w:r w:rsidRPr="00B378EB">
              <w:t>audit de l</w:t>
            </w:r>
            <w:r>
              <w:t>’</w:t>
            </w:r>
            <w:r w:rsidRPr="00B378EB">
              <w:t>OMI et à ce que tout rapport d</w:t>
            </w:r>
            <w:r>
              <w:t>’</w:t>
            </w:r>
            <w:r w:rsidRPr="00B378EB">
              <w:t>audit et les informations concernant les mesures de suivi soient immédiatement</w:t>
            </w:r>
            <w:r w:rsidRPr="00B378EB">
              <w:t xml:space="preserve"> communiqués à la Commission.</w:t>
            </w:r>
          </w:p>
        </w:tc>
        <w:tc>
          <w:tcPr>
            <w:tcW w:w="4876" w:type="dxa"/>
            <w:hideMark/>
          </w:tcPr>
          <w:p w:rsidR="00FB38AB" w:rsidRPr="00B378EB" w:rsidRDefault="00D76C1F" w:rsidP="00FB38AB">
            <w:pPr>
              <w:pStyle w:val="Normal6"/>
              <w:rPr>
                <w:szCs w:val="24"/>
              </w:rPr>
            </w:pPr>
            <w:r w:rsidRPr="00B378EB">
              <w:t>2.</w:t>
            </w:r>
            <w:r w:rsidRPr="00B378EB">
              <w:tab/>
              <w:t xml:space="preserve">Les États membres veillent à ce que la Commission </w:t>
            </w:r>
            <w:r w:rsidRPr="00B378EB">
              <w:rPr>
                <w:b/>
                <w:i/>
              </w:rPr>
              <w:t>et</w:t>
            </w:r>
            <w:r w:rsidRPr="00B378EB">
              <w:t xml:space="preserve"> l</w:t>
            </w:r>
            <w:r>
              <w:t>’</w:t>
            </w:r>
            <w:r w:rsidRPr="00B378EB">
              <w:t>AESM</w:t>
            </w:r>
            <w:r w:rsidRPr="00B378EB">
              <w:rPr>
                <w:b/>
                <w:i/>
              </w:rPr>
              <w:t xml:space="preserve"> soient</w:t>
            </w:r>
            <w:r w:rsidRPr="00B378EB">
              <w:t xml:space="preserve"> autorisées à participer en qualité d</w:t>
            </w:r>
            <w:r>
              <w:t>’</w:t>
            </w:r>
            <w:r w:rsidRPr="00B378EB">
              <w:t>observateurs au processus d</w:t>
            </w:r>
            <w:r>
              <w:t>’</w:t>
            </w:r>
            <w:r w:rsidRPr="00B378EB">
              <w:t>audit de l</w:t>
            </w:r>
            <w:r>
              <w:t>’</w:t>
            </w:r>
            <w:r w:rsidRPr="00B378EB">
              <w:t>OMI et à ce que tout rapport d</w:t>
            </w:r>
            <w:r>
              <w:t>’</w:t>
            </w:r>
            <w:r w:rsidRPr="00B378EB">
              <w:t xml:space="preserve">audit et les informations concernant les mesures </w:t>
            </w:r>
            <w:r w:rsidRPr="00B378EB">
              <w:t>de suivi soient immédiatement communiqués à la Commission.</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25</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8 – sous-point a</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8 – paragraphe 1 – alinéa 3</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Chaque État membre veille à ce que le reste du personnel aidant à l</w:t>
            </w:r>
            <w:r>
              <w:t>’</w:t>
            </w:r>
            <w:r w:rsidRPr="00B378EB">
              <w:t xml:space="preserve">exécution des inspections ait reçu un enseignement et une formation et </w:t>
            </w:r>
            <w:r w:rsidRPr="00B378EB">
              <w:t>soit soumis à une supervision en rapport avec les tâches qu</w:t>
            </w:r>
            <w:r>
              <w:t>’</w:t>
            </w:r>
            <w:r w:rsidRPr="00B378EB">
              <w:t>il est habilité à exécuter.</w:t>
            </w:r>
          </w:p>
        </w:tc>
        <w:tc>
          <w:tcPr>
            <w:tcW w:w="4876" w:type="dxa"/>
            <w:hideMark/>
          </w:tcPr>
          <w:p w:rsidR="00FB38AB" w:rsidRPr="00B378EB" w:rsidRDefault="00D76C1F" w:rsidP="00FB38AB">
            <w:pPr>
              <w:pStyle w:val="Normal6"/>
              <w:rPr>
                <w:szCs w:val="24"/>
              </w:rPr>
            </w:pPr>
            <w:r w:rsidRPr="00B378EB">
              <w:t>Chaque État membre veille à ce que le reste du personnel aidant à l</w:t>
            </w:r>
            <w:r>
              <w:t>’</w:t>
            </w:r>
            <w:r w:rsidRPr="00B378EB">
              <w:t>exécution des inspections ait reçu un enseignement et une formation et soit soumis à une supervision</w:t>
            </w:r>
            <w:r w:rsidRPr="00B378EB">
              <w:t xml:space="preserve"> en rapport avec les tâches qu</w:t>
            </w:r>
            <w:r>
              <w:t>’</w:t>
            </w:r>
            <w:r w:rsidRPr="00B378EB">
              <w:t xml:space="preserve">il est habilité à exécuter. </w:t>
            </w:r>
            <w:r w:rsidRPr="00B378EB">
              <w:rPr>
                <w:b/>
                <w:i/>
              </w:rPr>
              <w:t>Les États du pavillon révisent les lignes directrices fournies à leurs inspecteurs et aux personnes habilitées à agir en leur nom, de manière à ce qu</w:t>
            </w:r>
            <w:r>
              <w:rPr>
                <w:b/>
                <w:i/>
              </w:rPr>
              <w:t>’</w:t>
            </w:r>
            <w:r w:rsidRPr="00B378EB">
              <w:rPr>
                <w:b/>
                <w:i/>
              </w:rPr>
              <w:t xml:space="preserve">elles couvrent la vérification systématique de </w:t>
            </w:r>
            <w:r w:rsidRPr="00B378EB">
              <w:rPr>
                <w:b/>
                <w:i/>
              </w:rPr>
              <w:t>l</w:t>
            </w:r>
            <w:r>
              <w:rPr>
                <w:b/>
                <w:i/>
              </w:rPr>
              <w:t>’</w:t>
            </w:r>
            <w:r w:rsidRPr="00B378EB">
              <w:rPr>
                <w:b/>
                <w:i/>
              </w:rPr>
              <w:t>exactitude des registres. La formation fournie par l</w:t>
            </w:r>
            <w:r>
              <w:rPr>
                <w:b/>
                <w:i/>
              </w:rPr>
              <w:t>’</w:t>
            </w:r>
            <w:r w:rsidRPr="00B378EB">
              <w:rPr>
                <w:b/>
                <w:i/>
              </w:rPr>
              <w:t>AESM aux administrations de l</w:t>
            </w:r>
            <w:r>
              <w:rPr>
                <w:b/>
                <w:i/>
              </w:rPr>
              <w:t>’</w:t>
            </w:r>
            <w:r w:rsidRPr="00B378EB">
              <w:rPr>
                <w:b/>
                <w:i/>
              </w:rPr>
              <w:t>État du pavillon couvre ces procédures de vérification et est continue, renforcée et étendue de manière à couvrir plus en détail la CTM 2006. L</w:t>
            </w:r>
            <w:r>
              <w:rPr>
                <w:b/>
                <w:i/>
              </w:rPr>
              <w:t>’</w:t>
            </w:r>
            <w:r w:rsidRPr="00B378EB">
              <w:rPr>
                <w:b/>
                <w:i/>
              </w:rPr>
              <w:t xml:space="preserve">AESM facilite également la </w:t>
            </w:r>
            <w:r w:rsidRPr="00B378EB">
              <w:rPr>
                <w:b/>
                <w:i/>
              </w:rPr>
              <w:t>coordination et l</w:t>
            </w:r>
            <w:r>
              <w:rPr>
                <w:b/>
                <w:i/>
              </w:rPr>
              <w:t>’</w:t>
            </w:r>
            <w:r w:rsidRPr="00B378EB">
              <w:rPr>
                <w:b/>
                <w:i/>
              </w:rPr>
              <w:t>échange d</w:t>
            </w:r>
            <w:r>
              <w:rPr>
                <w:b/>
                <w:i/>
              </w:rPr>
              <w:t>’</w:t>
            </w:r>
            <w:r w:rsidRPr="00B378EB">
              <w:rPr>
                <w:b/>
                <w:i/>
              </w:rPr>
              <w:t>informations et de bonnes pratiques entre les administrations de l</w:t>
            </w:r>
            <w:r>
              <w:rPr>
                <w:b/>
                <w:i/>
              </w:rPr>
              <w:t>’</w:t>
            </w:r>
            <w:r w:rsidRPr="00B378EB">
              <w:rPr>
                <w:b/>
                <w:i/>
              </w:rPr>
              <w:t>État du pavillon.</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26</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9</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9)</w:t>
            </w:r>
            <w:r w:rsidRPr="00B378EB">
              <w:tab/>
              <w:t>l</w:t>
            </w:r>
            <w:r>
              <w:t>’</w:t>
            </w:r>
            <w:r w:rsidRPr="00B378EB">
              <w:t xml:space="preserve">article 9 </w:t>
            </w:r>
            <w:r w:rsidRPr="00B378EB">
              <w:rPr>
                <w:b/>
                <w:i/>
              </w:rPr>
              <w:t>est supprimé</w:t>
            </w:r>
            <w:r w:rsidRPr="00B378EB">
              <w:t>;</w:t>
            </w:r>
          </w:p>
        </w:tc>
        <w:tc>
          <w:tcPr>
            <w:tcW w:w="4876" w:type="dxa"/>
            <w:hideMark/>
          </w:tcPr>
          <w:p w:rsidR="00FB38AB" w:rsidRPr="00B378EB" w:rsidRDefault="00D76C1F" w:rsidP="00FB38AB">
            <w:pPr>
              <w:pStyle w:val="Normal6"/>
              <w:rPr>
                <w:szCs w:val="24"/>
              </w:rPr>
            </w:pPr>
            <w:r w:rsidRPr="00B378EB">
              <w:t>9)</w:t>
            </w:r>
            <w:r w:rsidRPr="00B378EB">
              <w:tab/>
              <w:t>L</w:t>
            </w:r>
            <w:r>
              <w:t>’</w:t>
            </w:r>
            <w:r w:rsidRPr="00B378EB">
              <w:t xml:space="preserve">article 9 </w:t>
            </w:r>
            <w:r w:rsidRPr="00B378EB">
              <w:rPr>
                <w:b/>
                <w:i/>
              </w:rPr>
              <w:t>est remplacé par le texte suivant:</w:t>
            </w:r>
          </w:p>
        </w:tc>
      </w:tr>
      <w:tr w:rsidR="0039089F" w:rsidRPr="00B378EB" w:rsidTr="00FB38AB">
        <w:trPr>
          <w:jc w:val="center"/>
        </w:trPr>
        <w:tc>
          <w:tcPr>
            <w:tcW w:w="4876" w:type="dxa"/>
          </w:tcPr>
          <w:p w:rsidR="00FB38AB" w:rsidRPr="00B378EB" w:rsidRDefault="00FB38AB" w:rsidP="00FB38AB">
            <w:pPr>
              <w:pStyle w:val="Normal6"/>
            </w:pPr>
          </w:p>
        </w:tc>
        <w:tc>
          <w:tcPr>
            <w:tcW w:w="4876" w:type="dxa"/>
          </w:tcPr>
          <w:p w:rsidR="00FB38AB" w:rsidRPr="00B378EB" w:rsidRDefault="00D76C1F" w:rsidP="00FB38AB">
            <w:pPr>
              <w:pStyle w:val="Normal6"/>
              <w:rPr>
                <w:b/>
                <w:i/>
              </w:rPr>
            </w:pPr>
            <w:r w:rsidRPr="00B378EB">
              <w:rPr>
                <w:b/>
                <w:i/>
              </w:rPr>
              <w:t>«Article 9</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Rapports et examen</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 xml:space="preserve">Tous les cinq ans, </w:t>
            </w:r>
            <w:r w:rsidRPr="00B378EB">
              <w:rPr>
                <w:b/>
                <w:i/>
              </w:rPr>
              <w:t>et pour la première fois au plus tard [trois ans à partir de la date d</w:t>
            </w:r>
            <w:r>
              <w:rPr>
                <w:b/>
                <w:i/>
              </w:rPr>
              <w:t>’</w:t>
            </w:r>
            <w:r w:rsidRPr="00B378EB">
              <w:rPr>
                <w:b/>
                <w:i/>
              </w:rPr>
              <w:t>entrée en vigueur de la présente directive modificative] la Commission présente au Parlement européen et au Conseil un rapport sur l</w:t>
            </w:r>
            <w:r>
              <w:rPr>
                <w:b/>
                <w:i/>
              </w:rPr>
              <w:t>’</w:t>
            </w:r>
            <w:r w:rsidRPr="00B378EB">
              <w:rPr>
                <w:b/>
                <w:i/>
              </w:rPr>
              <w:t>application de la présente directive</w:t>
            </w:r>
            <w:r w:rsidRPr="00B378EB">
              <w: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Ce rapport c</w:t>
            </w:r>
            <w:r w:rsidRPr="00B378EB">
              <w:rPr>
                <w:b/>
                <w:i/>
              </w:rPr>
              <w:t>ontient une évaluation des performances des États membres en tant qu</w:t>
            </w:r>
            <w:r>
              <w:rPr>
                <w:b/>
                <w:i/>
              </w:rPr>
              <w:t>’</w:t>
            </w:r>
            <w:r w:rsidRPr="00B378EB">
              <w:rPr>
                <w:b/>
                <w:i/>
              </w:rPr>
              <w:t>États du pavillon et est accompagné, le cas échéant, d</w:t>
            </w:r>
            <w:r>
              <w:rPr>
                <w:b/>
                <w:i/>
              </w:rPr>
              <w:t>’</w:t>
            </w:r>
            <w:r w:rsidRPr="00B378EB">
              <w:rPr>
                <w:b/>
                <w:i/>
              </w:rPr>
              <w:t>une proposition législative visant à modifier la présente directive.»</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27</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w:t>
      </w:r>
      <w:r w:rsidRPr="00B378EB">
        <w:t>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10</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 bis – paragraphe 1 – alinéa 1</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La Commission établit un groupe à haut niveau sur les questions relatives à l</w:t>
            </w:r>
            <w:r>
              <w:t>’</w:t>
            </w:r>
            <w:r w:rsidRPr="00B378EB">
              <w:t>État du pavillon, qui est chargé d</w:t>
            </w:r>
            <w:r>
              <w:t>’</w:t>
            </w:r>
            <w:r w:rsidRPr="00B378EB">
              <w:t>examiner les questions relatives à l</w:t>
            </w:r>
            <w:r>
              <w:t>’</w:t>
            </w:r>
            <w:r w:rsidRPr="00B378EB">
              <w:t>État du pavillon et facilite les échanges d</w:t>
            </w:r>
            <w:r>
              <w:t>’</w:t>
            </w:r>
            <w:r w:rsidRPr="00B378EB">
              <w:t>expérience entre les autorités nationales des États membres, l</w:t>
            </w:r>
            <w:r w:rsidRPr="00B378EB">
              <w:t>es experts de l</w:t>
            </w:r>
            <w:r>
              <w:t>’</w:t>
            </w:r>
            <w:r w:rsidRPr="00B378EB">
              <w:t xml:space="preserve">État du pavillon et les inspecteurs, </w:t>
            </w:r>
            <w:r w:rsidRPr="00B378EB">
              <w:rPr>
                <w:b/>
                <w:i/>
              </w:rPr>
              <w:t>y compris, le cas échéant, ceux</w:t>
            </w:r>
            <w:r w:rsidRPr="00B378EB">
              <w:t xml:space="preserve"> du secteur privé.</w:t>
            </w:r>
          </w:p>
        </w:tc>
        <w:tc>
          <w:tcPr>
            <w:tcW w:w="4876" w:type="dxa"/>
            <w:hideMark/>
          </w:tcPr>
          <w:p w:rsidR="00FB38AB" w:rsidRPr="00B378EB" w:rsidRDefault="00D76C1F" w:rsidP="00FB38AB">
            <w:pPr>
              <w:pStyle w:val="Normal6"/>
              <w:rPr>
                <w:szCs w:val="24"/>
              </w:rPr>
            </w:pPr>
            <w:r w:rsidRPr="00B378EB">
              <w:t>La Commission établit un groupe à haut niveau sur les questions relatives à l</w:t>
            </w:r>
            <w:r>
              <w:t>’</w:t>
            </w:r>
            <w:r w:rsidRPr="00B378EB">
              <w:t>État du pavillon, qui est chargé d</w:t>
            </w:r>
            <w:r>
              <w:t>’</w:t>
            </w:r>
            <w:r w:rsidRPr="00B378EB">
              <w:t>examiner les questions relatives à l</w:t>
            </w:r>
            <w:r>
              <w:t>’</w:t>
            </w:r>
            <w:r w:rsidRPr="00B378EB">
              <w:t>Éta</w:t>
            </w:r>
            <w:r w:rsidRPr="00B378EB">
              <w:t>t du pavillon et facilite les échanges d</w:t>
            </w:r>
            <w:r>
              <w:t>’</w:t>
            </w:r>
            <w:r w:rsidRPr="00B378EB">
              <w:t>expérience entre les autorités nationales des États membres, les experts de l</w:t>
            </w:r>
            <w:r>
              <w:t>’</w:t>
            </w:r>
            <w:r w:rsidRPr="00B378EB">
              <w:t xml:space="preserve">État du pavillon et les inspecteurs, </w:t>
            </w:r>
            <w:r w:rsidRPr="00B378EB">
              <w:rPr>
                <w:b/>
                <w:i/>
              </w:rPr>
              <w:t>ainsi que toutes les parties prenantes concernées</w:t>
            </w:r>
            <w:r w:rsidRPr="00B378EB">
              <w:t xml:space="preserve"> du secteur privé, </w:t>
            </w:r>
            <w:r w:rsidRPr="00B378EB">
              <w:rPr>
                <w:b/>
                <w:i/>
              </w:rPr>
              <w:t>de la société civile et du monde</w:t>
            </w:r>
            <w:r w:rsidRPr="00B378EB">
              <w:rPr>
                <w:b/>
                <w:i/>
              </w:rPr>
              <w:t xml:space="preserve"> universitaire</w:t>
            </w:r>
            <w:r w:rsidRPr="00B378EB">
              <w:t>.</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28</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10</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 bis – paragraphe 1 – alinéa 2</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Le groupe à haut niveau sur les questions relatives aux États du pavillon est composé de représentants des États membres et de la Commission</w:t>
            </w:r>
            <w:r w:rsidRPr="00B378EB">
              <w:rPr>
                <w:b/>
                <w:i/>
              </w:rPr>
              <w:t>, avec l</w:t>
            </w:r>
            <w:r>
              <w:rPr>
                <w:b/>
                <w:i/>
              </w:rPr>
              <w:t>’</w:t>
            </w:r>
            <w:r w:rsidRPr="00B378EB">
              <w:rPr>
                <w:b/>
                <w:i/>
              </w:rPr>
              <w:t>assistance de</w:t>
            </w:r>
            <w:r w:rsidRPr="00B378EB">
              <w:t xml:space="preserve"> l</w:t>
            </w:r>
            <w:r>
              <w:t>’</w:t>
            </w:r>
            <w:r w:rsidRPr="00B378EB">
              <w:t>AESM.</w:t>
            </w:r>
          </w:p>
        </w:tc>
        <w:tc>
          <w:tcPr>
            <w:tcW w:w="4876" w:type="dxa"/>
            <w:hideMark/>
          </w:tcPr>
          <w:p w:rsidR="00FB38AB" w:rsidRPr="00B378EB" w:rsidRDefault="00D76C1F" w:rsidP="00FB38AB">
            <w:pPr>
              <w:pStyle w:val="Normal6"/>
              <w:rPr>
                <w:szCs w:val="24"/>
              </w:rPr>
            </w:pPr>
            <w:r w:rsidRPr="00B378EB">
              <w:t>Le groupe à haut niveau sur</w:t>
            </w:r>
            <w:r w:rsidRPr="00B378EB">
              <w:t xml:space="preserve"> les questions relatives aux États du pavillon est composé de représentants des États membres, de la Commission </w:t>
            </w:r>
            <w:r w:rsidRPr="00B378EB">
              <w:rPr>
                <w:b/>
                <w:i/>
              </w:rPr>
              <w:t>et</w:t>
            </w:r>
            <w:r w:rsidRPr="00B378EB">
              <w:t xml:space="preserve"> de l</w:t>
            </w:r>
            <w:r>
              <w:t>’</w:t>
            </w:r>
            <w:r w:rsidRPr="00B378EB">
              <w:t>AESM.</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29</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 xml:space="preserve">Article 1 – alinéa 1 – </w:t>
      </w:r>
      <w:r w:rsidRPr="00B378EB">
        <w:t>point 10</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 bis – paragraphe 2 – point c</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c)</w:t>
            </w:r>
            <w:r w:rsidRPr="00B378EB">
              <w:tab/>
              <w:t>assister la Commission dans l</w:t>
            </w:r>
            <w:r>
              <w:t>’</w:t>
            </w:r>
            <w:r w:rsidRPr="00B378EB">
              <w:t>élaboration de la méthode technique destinée à détermi</w:t>
            </w:r>
            <w:r w:rsidRPr="00B378EB">
              <w:t>ner les ressources appropriées, en fonction de la taille et du type de flotte, visées à l</w:t>
            </w:r>
            <w:r>
              <w:t>’</w:t>
            </w:r>
            <w:r w:rsidRPr="00B378EB">
              <w:t>article 4 ter;</w:t>
            </w:r>
          </w:p>
        </w:tc>
        <w:tc>
          <w:tcPr>
            <w:tcW w:w="4876" w:type="dxa"/>
            <w:hideMark/>
          </w:tcPr>
          <w:p w:rsidR="00FB38AB" w:rsidRPr="00B378EB" w:rsidRDefault="00D76C1F" w:rsidP="00FB38AB">
            <w:pPr>
              <w:pStyle w:val="Normal6"/>
              <w:rPr>
                <w:szCs w:val="24"/>
              </w:rPr>
            </w:pPr>
            <w:r w:rsidRPr="00B378EB">
              <w:t>c)</w:t>
            </w:r>
            <w:r w:rsidRPr="00B378EB">
              <w:tab/>
              <w:t>assister la Commission dans l</w:t>
            </w:r>
            <w:r>
              <w:t>’</w:t>
            </w:r>
            <w:r w:rsidRPr="00B378EB">
              <w:t>élaboration de la méthode technique destinée à déterminer les ressources appropriées, en fonction de la taille et du t</w:t>
            </w:r>
            <w:r w:rsidRPr="00B378EB">
              <w:t xml:space="preserve">ype de flotte </w:t>
            </w:r>
            <w:r w:rsidRPr="00B378EB">
              <w:rPr>
                <w:b/>
                <w:i/>
              </w:rPr>
              <w:t>et du nombre d</w:t>
            </w:r>
            <w:r>
              <w:rPr>
                <w:b/>
                <w:i/>
              </w:rPr>
              <w:t>’</w:t>
            </w:r>
            <w:r w:rsidRPr="00B378EB">
              <w:rPr>
                <w:b/>
                <w:i/>
              </w:rPr>
              <w:t>inspections à effectuer</w:t>
            </w:r>
            <w:r w:rsidRPr="00B378EB">
              <w:t>, visées à l</w:t>
            </w:r>
            <w:r>
              <w:t>’</w:t>
            </w:r>
            <w:r w:rsidRPr="00B378EB">
              <w:t>article 4 ter;</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30</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10</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 ter – alinéa 1</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hideMark/>
          </w:tcPr>
          <w:p w:rsidR="00FB38AB" w:rsidRPr="00B378EB" w:rsidRDefault="00D76C1F" w:rsidP="00FB38AB">
            <w:pPr>
              <w:pStyle w:val="Normal6"/>
            </w:pPr>
            <w:r w:rsidRPr="00B378EB">
              <w:t>La Commission crée un outil de communication d</w:t>
            </w:r>
            <w:r>
              <w:t>’</w:t>
            </w:r>
            <w:r w:rsidRPr="00B378EB">
              <w:t>informations électronique pour la collecte d</w:t>
            </w:r>
            <w:r>
              <w:t>’</w:t>
            </w:r>
            <w:r w:rsidRPr="00B378EB">
              <w:t xml:space="preserve">informations et de données auprès des États membres en </w:t>
            </w:r>
            <w:r w:rsidRPr="00B378EB">
              <w:t>rapport avec la présente directive. Les États membres informent régulièrement la Commission, au moins une fois par an, sur:</w:t>
            </w:r>
          </w:p>
        </w:tc>
        <w:tc>
          <w:tcPr>
            <w:tcW w:w="4876" w:type="dxa"/>
            <w:hideMark/>
          </w:tcPr>
          <w:p w:rsidR="00FB38AB" w:rsidRPr="00B378EB" w:rsidRDefault="00D76C1F" w:rsidP="00FB38AB">
            <w:pPr>
              <w:pStyle w:val="Normal6"/>
              <w:rPr>
                <w:szCs w:val="24"/>
              </w:rPr>
            </w:pPr>
            <w:r w:rsidRPr="00B378EB">
              <w:rPr>
                <w:b/>
                <w:i/>
              </w:rPr>
              <w:t>1.</w:t>
            </w:r>
            <w:r w:rsidRPr="00B378EB">
              <w:t xml:space="preserve"> </w:t>
            </w:r>
            <w:r w:rsidRPr="00B378EB">
              <w:tab/>
              <w:t>La Commission crée un outil de communication d</w:t>
            </w:r>
            <w:r>
              <w:t>’</w:t>
            </w:r>
            <w:r w:rsidRPr="00B378EB">
              <w:t>informations électronique pour la collecte d</w:t>
            </w:r>
            <w:r>
              <w:t>’</w:t>
            </w:r>
            <w:r w:rsidRPr="00B378EB">
              <w:t>informations et de données auprès de</w:t>
            </w:r>
            <w:r w:rsidRPr="00B378EB">
              <w:t>s États membres en rapport avec la présente directive. Les États membres informent régulièrement la Commission, au moins une fois par an, sur:</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31</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 xml:space="preserve">Article 1 </w:t>
      </w:r>
      <w:r w:rsidRPr="00B378EB">
        <w:t>– alinéa 1 – point 10</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 ter – alinéa 1 – point a – sous-point iv bis (nouveau)</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iv bis)</w:t>
            </w:r>
            <w:r w:rsidRPr="00B378EB">
              <w:rPr>
                <w:b/>
                <w:i/>
              </w:rPr>
              <w:tab/>
              <w:t xml:space="preserve">la mesure dans laquelle le profil de </w:t>
            </w:r>
            <w:r w:rsidRPr="00B378EB">
              <w:rPr>
                <w:b/>
                <w:i/>
              </w:rPr>
              <w:t>risque des navires a été pris en compte au cours des visites, inspections et audits effectués par les États du pavillon;</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32</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Article 1 – alinéa 1 – point 10</w:t>
      </w:r>
      <w:r w:rsidRPr="00B378EB">
        <w:rPr>
          <w:rStyle w:val="HideTWBExt"/>
          <w:b w:val="0"/>
        </w:rPr>
        <w:t>&lt;</w:t>
      </w:r>
      <w:r w:rsidRPr="00B378EB">
        <w:rPr>
          <w:rStyle w:val="HideTWBExt"/>
          <w:b w:val="0"/>
        </w:rPr>
        <w: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 ter – alinéa 1 – point a – sous-point iv ter (nouveau)</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sidRPr="00B378EB">
              <w:rPr>
                <w:b/>
                <w:i/>
              </w:rPr>
              <w:t>iv ter)</w:t>
            </w:r>
            <w:r w:rsidRPr="00B378EB">
              <w:rPr>
                <w:b/>
                <w:i/>
              </w:rPr>
              <w:tab/>
              <w:t xml:space="preserve">les conditions de travail fondées sur les registres des </w:t>
            </w:r>
            <w:r w:rsidRPr="00B378EB">
              <w:rPr>
                <w:b/>
                <w:i/>
              </w:rPr>
              <w:t>heures quotidiennes de travail et de repos des gens de mer, conformément à la directive nº 2013/54/UE du Parlement européen et du Conseil;</w:t>
            </w:r>
          </w:p>
        </w:tc>
      </w:tr>
    </w:tbl>
    <w:p w:rsidR="00FB38AB" w:rsidRPr="00B378EB" w:rsidRDefault="00D76C1F" w:rsidP="00FB38AB">
      <w:r w:rsidRPr="00B378EB">
        <w:rPr>
          <w:rStyle w:val="HideTWBExt"/>
        </w:rPr>
        <w:t>&lt;/Amend&gt;</w:t>
      </w:r>
    </w:p>
    <w:p w:rsidR="00FB38AB" w:rsidRPr="00B378EB" w:rsidRDefault="00D76C1F" w:rsidP="00FB38AB">
      <w:pPr>
        <w:pStyle w:val="AmNumberTabs"/>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33</w:t>
      </w:r>
      <w:r w:rsidRPr="00B378EB">
        <w:rPr>
          <w:rStyle w:val="HideTWBExt"/>
          <w:b w:val="0"/>
        </w:rPr>
        <w:t>&lt;/NumAm&gt;</w:t>
      </w:r>
    </w:p>
    <w:p w:rsidR="00FB38AB" w:rsidRPr="00B378EB" w:rsidRDefault="00FB38AB" w:rsidP="00FB38AB"/>
    <w:p w:rsidR="00FB38AB" w:rsidRPr="00B378EB" w:rsidRDefault="00D76C1F" w:rsidP="00FB38AB">
      <w:pPr>
        <w:pStyle w:val="NormalBold"/>
        <w:keepNext/>
      </w:pPr>
      <w:r w:rsidRPr="00B378EB">
        <w:rPr>
          <w:rStyle w:val="HideTWBExt"/>
          <w:b w:val="0"/>
        </w:rPr>
        <w:t>&lt;DocAmend&gt;</w:t>
      </w:r>
      <w:r w:rsidRPr="00B378EB">
        <w:t>Proposition de directive</w:t>
      </w:r>
      <w:r w:rsidRPr="00B378EB">
        <w:rPr>
          <w:rStyle w:val="HideTWBExt"/>
          <w:b w:val="0"/>
        </w:rPr>
        <w:t>&lt;/DocAmend&gt;</w:t>
      </w:r>
    </w:p>
    <w:p w:rsidR="00FB38AB" w:rsidRPr="00B378EB" w:rsidRDefault="00D76C1F" w:rsidP="00FB38AB">
      <w:pPr>
        <w:pStyle w:val="NormalBold"/>
      </w:pPr>
      <w:r w:rsidRPr="00B378EB">
        <w:rPr>
          <w:rStyle w:val="HideTWBExt"/>
          <w:b w:val="0"/>
        </w:rPr>
        <w:t>&lt;Article&gt;</w:t>
      </w:r>
      <w:r w:rsidRPr="00B378EB">
        <w:t xml:space="preserve">Article 1 – </w:t>
      </w:r>
      <w:r w:rsidRPr="00B378EB">
        <w:t>alinéa 1 – point 10</w:t>
      </w:r>
      <w:r w:rsidRPr="00B378EB">
        <w:rPr>
          <w:rStyle w:val="HideTWBExt"/>
          <w:b w:val="0"/>
        </w:rPr>
        <w:t>&lt;/Article&gt;</w:t>
      </w:r>
    </w:p>
    <w:p w:rsidR="00FB38AB" w:rsidRPr="00B378EB" w:rsidRDefault="00D76C1F" w:rsidP="00FB38AB">
      <w:pPr>
        <w:keepNext/>
      </w:pPr>
      <w:r w:rsidRPr="00B378EB">
        <w:rPr>
          <w:rStyle w:val="HideTWBExt"/>
        </w:rPr>
        <w:t>&lt;DocAmend2&gt;</w:t>
      </w:r>
      <w:r w:rsidRPr="00B378EB">
        <w:t>Directive 2009/21/CE</w:t>
      </w:r>
      <w:r w:rsidRPr="00B378EB">
        <w:rPr>
          <w:rStyle w:val="HideTWBExt"/>
        </w:rPr>
        <w:t>&lt;/DocAmend2&gt;</w:t>
      </w:r>
    </w:p>
    <w:p w:rsidR="00FB38AB" w:rsidRPr="00B378EB" w:rsidRDefault="00D76C1F" w:rsidP="00FB38AB">
      <w:r w:rsidRPr="00B378EB">
        <w:rPr>
          <w:rStyle w:val="HideTWBExt"/>
        </w:rPr>
        <w:t>&lt;Article2&gt;</w:t>
      </w:r>
      <w:r w:rsidRPr="00B378EB">
        <w:t>Article 9 ter – alinéa 1 bis (nouveau)</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89F" w:rsidRPr="00B378EB" w:rsidTr="00FB38AB">
        <w:trPr>
          <w:jc w:val="center"/>
        </w:trPr>
        <w:tc>
          <w:tcPr>
            <w:tcW w:w="9752" w:type="dxa"/>
            <w:gridSpan w:val="2"/>
          </w:tcPr>
          <w:p w:rsidR="00FB38AB" w:rsidRPr="00B378EB" w:rsidRDefault="00FB38AB" w:rsidP="00FB38AB">
            <w:pPr>
              <w:keepNext/>
            </w:pPr>
          </w:p>
        </w:tc>
      </w:tr>
      <w:tr w:rsidR="0039089F" w:rsidRPr="00B378EB" w:rsidTr="00FB38AB">
        <w:trPr>
          <w:jc w:val="center"/>
        </w:trPr>
        <w:tc>
          <w:tcPr>
            <w:tcW w:w="4876" w:type="dxa"/>
            <w:hideMark/>
          </w:tcPr>
          <w:p w:rsidR="00FB38AB" w:rsidRPr="00B378EB" w:rsidRDefault="00D76C1F" w:rsidP="00FB38AB">
            <w:pPr>
              <w:pStyle w:val="ColumnHeading"/>
              <w:keepNext/>
            </w:pPr>
            <w:r w:rsidRPr="00B378EB">
              <w:t>Texte proposé par la Commission</w:t>
            </w:r>
          </w:p>
        </w:tc>
        <w:tc>
          <w:tcPr>
            <w:tcW w:w="4876" w:type="dxa"/>
            <w:hideMark/>
          </w:tcPr>
          <w:p w:rsidR="00FB38AB" w:rsidRPr="00B378EB" w:rsidRDefault="00D76C1F" w:rsidP="00FB38AB">
            <w:pPr>
              <w:pStyle w:val="ColumnHeading"/>
              <w:keepNext/>
            </w:pPr>
            <w:r w:rsidRPr="00B378EB">
              <w:t>Amendement</w:t>
            </w:r>
          </w:p>
        </w:tc>
      </w:tr>
      <w:tr w:rsidR="0039089F" w:rsidRPr="00B378EB" w:rsidTr="00FB38AB">
        <w:trPr>
          <w:jc w:val="center"/>
        </w:trPr>
        <w:tc>
          <w:tcPr>
            <w:tcW w:w="4876" w:type="dxa"/>
          </w:tcPr>
          <w:p w:rsidR="00FB38AB" w:rsidRPr="00B378EB" w:rsidRDefault="00FB38AB" w:rsidP="00FB38AB">
            <w:pPr>
              <w:pStyle w:val="Normal6"/>
            </w:pPr>
          </w:p>
        </w:tc>
        <w:tc>
          <w:tcPr>
            <w:tcW w:w="4876" w:type="dxa"/>
            <w:hideMark/>
          </w:tcPr>
          <w:p w:rsidR="00FB38AB" w:rsidRPr="00B378EB" w:rsidRDefault="00D76C1F" w:rsidP="00FB38AB">
            <w:pPr>
              <w:pStyle w:val="Normal6"/>
              <w:rPr>
                <w:szCs w:val="24"/>
              </w:rPr>
            </w:pPr>
            <w:r>
              <w:rPr>
                <w:b/>
                <w:i/>
              </w:rPr>
              <w:t xml:space="preserve"> </w:t>
            </w:r>
            <w:r w:rsidRPr="00B378EB">
              <w:tab/>
            </w:r>
            <w:r w:rsidRPr="00B378EB">
              <w:rPr>
                <w:b/>
                <w:i/>
              </w:rPr>
              <w:t xml:space="preserve">La Commission délivre un rapport annuel sur la base des informations </w:t>
            </w:r>
            <w:r w:rsidRPr="00B378EB">
              <w:rPr>
                <w:b/>
                <w:i/>
              </w:rPr>
              <w:t>recueillies en vertu du paragraphe 1 du présent article, qui est publié sur le site web officiel. Après sa publication, la Commission présente au Parlement européen et au Conseil les résultats de ce rapport.</w:t>
            </w:r>
          </w:p>
        </w:tc>
      </w:tr>
    </w:tbl>
    <w:p w:rsidR="00FB38AB" w:rsidRPr="00B378EB" w:rsidRDefault="00D76C1F" w:rsidP="00FB38AB">
      <w:r w:rsidRPr="00B378EB">
        <w:rPr>
          <w:rStyle w:val="HideTWBExt"/>
        </w:rPr>
        <w:t>&lt;/Amend&gt;</w:t>
      </w:r>
    </w:p>
    <w:p w:rsidR="00FB38AB" w:rsidRPr="00B378EB" w:rsidRDefault="00FB38AB" w:rsidP="00FB38AB"/>
    <w:p w:rsidR="00FB38AB" w:rsidRPr="00B378EB" w:rsidRDefault="00FB38AB" w:rsidP="00FB38AB"/>
    <w:p w:rsidR="00FB38AB" w:rsidRPr="00B378EB" w:rsidRDefault="00FB38AB" w:rsidP="00FB38AB"/>
    <w:p w:rsidR="00FB38AB" w:rsidRPr="00B378EB" w:rsidRDefault="00D76C1F" w:rsidP="00FB38AB">
      <w:r w:rsidRPr="00B378EB">
        <w:rPr>
          <w:rStyle w:val="HideTWBExt"/>
        </w:rPr>
        <w:t>&lt;/RepeatBlock-Amend&gt;</w:t>
      </w:r>
    </w:p>
    <w:p w:rsidR="000D66CD" w:rsidRPr="00B378EB" w:rsidRDefault="000D66CD" w:rsidP="00FB38AB">
      <w:pPr>
        <w:pStyle w:val="NormalHanging12a"/>
      </w:pPr>
    </w:p>
    <w:p w:rsidR="000D66CD" w:rsidRPr="00B378EB" w:rsidRDefault="000D66CD" w:rsidP="000D66CD"/>
    <w:p w:rsidR="000D66CD" w:rsidRPr="00B378EB" w:rsidRDefault="000D66CD" w:rsidP="000D66CD"/>
    <w:p w:rsidR="000D66CD" w:rsidRPr="00B378EB" w:rsidRDefault="000D66CD" w:rsidP="000D66CD">
      <w:pPr>
        <w:sectPr w:rsidR="000D66CD" w:rsidRPr="00B378EB" w:rsidSect="00B378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D66CD" w:rsidRPr="00B378EB" w:rsidRDefault="00D76C1F" w:rsidP="000D66CD">
      <w:pPr>
        <w:pStyle w:val="PageHeading"/>
      </w:pPr>
      <w:bookmarkStart w:id="4" w:name="_Toc155717095"/>
      <w:r w:rsidRPr="00B378EB">
        <w:t>EXPOSÉ DES MOTIFS</w:t>
      </w:r>
      <w:bookmarkEnd w:id="4"/>
    </w:p>
    <w:p w:rsidR="000D66CD" w:rsidRPr="00B378EB" w:rsidRDefault="000D66CD" w:rsidP="000D66CD"/>
    <w:p w:rsidR="00FB38AB" w:rsidRPr="00B378EB" w:rsidRDefault="00D76C1F" w:rsidP="00FB38AB">
      <w:pPr>
        <w:pStyle w:val="NormalWeb"/>
        <w:spacing w:before="0" w:beforeAutospacing="0" w:after="0" w:afterAutospacing="0"/>
        <w:jc w:val="both"/>
        <w:rPr>
          <w:color w:val="0E101A"/>
        </w:rPr>
      </w:pPr>
      <w:r w:rsidRPr="00B378EB">
        <w:rPr>
          <w:color w:val="0E101A"/>
        </w:rPr>
        <w:t>La rapporteure se félicite de la proposition de la Commission visant à réviser la directive 2009/21/CE concernant le respect des obligations des États du pavillon. Cette révision devrait améliorer la qualit</w:t>
      </w:r>
      <w:r w:rsidRPr="00B378EB">
        <w:rPr>
          <w:color w:val="0E101A"/>
        </w:rPr>
        <w:t>é des inspections des navires battant pavillon d</w:t>
      </w:r>
      <w:r>
        <w:rPr>
          <w:color w:val="0E101A"/>
        </w:rPr>
        <w:t>’</w:t>
      </w:r>
      <w:r w:rsidRPr="00B378EB">
        <w:rPr>
          <w:color w:val="0E101A"/>
        </w:rPr>
        <w:t>un État membre, fournir une meilleure surveillance des organismes agréés qui effectuent des travaux sous la responsabilité d</w:t>
      </w:r>
      <w:r>
        <w:rPr>
          <w:color w:val="0E101A"/>
        </w:rPr>
        <w:t>’</w:t>
      </w:r>
      <w:r w:rsidRPr="00B378EB">
        <w:rPr>
          <w:color w:val="0E101A"/>
        </w:rPr>
        <w:t>un État du pavillon et mettre en place un système de formation plus harmonisé pour</w:t>
      </w:r>
      <w:r w:rsidRPr="00B378EB">
        <w:rPr>
          <w:color w:val="0E101A"/>
        </w:rPr>
        <w:t xml:space="preserve"> les inspecteurs européens. En conséquence, cela devrait conduire à une meilleure application des règles de sécurité, à une réduction de la pollution générée par le transport maritime et à un meilleur respect par les États membres des obligations qui leur </w:t>
      </w:r>
      <w:r w:rsidRPr="00B378EB">
        <w:rPr>
          <w:color w:val="0E101A"/>
        </w:rPr>
        <w:t>incombent en tant qu</w:t>
      </w:r>
      <w:r>
        <w:rPr>
          <w:color w:val="0E101A"/>
        </w:rPr>
        <w:t>’</w:t>
      </w:r>
      <w:r w:rsidRPr="00B378EB">
        <w:rPr>
          <w:color w:val="0E101A"/>
        </w:rPr>
        <w:t>États du pavillon au titre de la réglementation de l</w:t>
      </w:r>
      <w:r>
        <w:rPr>
          <w:color w:val="0E101A"/>
        </w:rPr>
        <w:t>’</w:t>
      </w:r>
      <w:r w:rsidRPr="00B378EB">
        <w:rPr>
          <w:color w:val="0E101A"/>
        </w:rPr>
        <w:t xml:space="preserve">OMI. </w:t>
      </w:r>
    </w:p>
    <w:p w:rsidR="00FB38AB" w:rsidRPr="00B378EB" w:rsidRDefault="00FB38AB" w:rsidP="00FB38AB">
      <w:pPr>
        <w:pStyle w:val="NormalWeb"/>
        <w:spacing w:before="0" w:beforeAutospacing="0" w:after="0" w:afterAutospacing="0"/>
        <w:jc w:val="both"/>
        <w:rPr>
          <w:color w:val="0E101A"/>
        </w:rPr>
      </w:pPr>
    </w:p>
    <w:p w:rsidR="00FB38AB" w:rsidRPr="00B378EB" w:rsidRDefault="00D76C1F" w:rsidP="00FB38AB">
      <w:pPr>
        <w:pStyle w:val="NormalWeb"/>
        <w:spacing w:before="0" w:beforeAutospacing="0" w:after="0" w:afterAutospacing="0"/>
        <w:jc w:val="both"/>
        <w:rPr>
          <w:color w:val="0E101A"/>
        </w:rPr>
      </w:pPr>
      <w:r w:rsidRPr="00B378EB">
        <w:rPr>
          <w:color w:val="0E101A"/>
        </w:rPr>
        <w:t>La rapporteure est favorable à l</w:t>
      </w:r>
      <w:r>
        <w:rPr>
          <w:color w:val="0E101A"/>
        </w:rPr>
        <w:t>’</w:t>
      </w:r>
      <w:r w:rsidRPr="00B378EB">
        <w:rPr>
          <w:color w:val="0E101A"/>
        </w:rPr>
        <w:t>obligation de disposer d</w:t>
      </w:r>
      <w:r>
        <w:rPr>
          <w:color w:val="0E101A"/>
        </w:rPr>
        <w:t>’</w:t>
      </w:r>
      <w:r w:rsidRPr="00B378EB">
        <w:rPr>
          <w:color w:val="0E101A"/>
        </w:rPr>
        <w:t>un système de gestion de la qualité et à l</w:t>
      </w:r>
      <w:r>
        <w:rPr>
          <w:color w:val="0E101A"/>
        </w:rPr>
        <w:t>’</w:t>
      </w:r>
      <w:r w:rsidRPr="00B378EB">
        <w:rPr>
          <w:color w:val="0E101A"/>
        </w:rPr>
        <w:t>utilisation plus large des technologies numériques modernes, en particulie</w:t>
      </w:r>
      <w:r w:rsidRPr="00B378EB">
        <w:rPr>
          <w:color w:val="0E101A"/>
        </w:rPr>
        <w:t>r dans le domaine des certificats électroniques et de l</w:t>
      </w:r>
      <w:r>
        <w:rPr>
          <w:color w:val="0E101A"/>
        </w:rPr>
        <w:t>’</w:t>
      </w:r>
      <w:r w:rsidRPr="00B378EB">
        <w:rPr>
          <w:color w:val="0E101A"/>
        </w:rPr>
        <w:t>interopérabilité des bases de données de l</w:t>
      </w:r>
      <w:r>
        <w:rPr>
          <w:color w:val="0E101A"/>
        </w:rPr>
        <w:t>’</w:t>
      </w:r>
      <w:r w:rsidRPr="00B378EB">
        <w:rPr>
          <w:color w:val="0E101A"/>
        </w:rPr>
        <w:t>AESM, qui pourraient être consultées par les autorités de l</w:t>
      </w:r>
      <w:r>
        <w:rPr>
          <w:color w:val="0E101A"/>
        </w:rPr>
        <w:t>’</w:t>
      </w:r>
      <w:r w:rsidRPr="00B378EB">
        <w:rPr>
          <w:color w:val="0E101A"/>
        </w:rPr>
        <w:t>État du port, lorsqu</w:t>
      </w:r>
      <w:r>
        <w:rPr>
          <w:color w:val="0E101A"/>
        </w:rPr>
        <w:t>’</w:t>
      </w:r>
      <w:r w:rsidRPr="00B378EB">
        <w:rPr>
          <w:color w:val="0E101A"/>
        </w:rPr>
        <w:t>il s</w:t>
      </w:r>
      <w:r>
        <w:rPr>
          <w:color w:val="0E101A"/>
        </w:rPr>
        <w:t>’</w:t>
      </w:r>
      <w:r w:rsidRPr="00B378EB">
        <w:rPr>
          <w:color w:val="0E101A"/>
        </w:rPr>
        <w:t>agit d</w:t>
      </w:r>
      <w:r>
        <w:rPr>
          <w:color w:val="0E101A"/>
        </w:rPr>
        <w:t>’</w:t>
      </w:r>
      <w:r w:rsidRPr="00B378EB">
        <w:rPr>
          <w:color w:val="0E101A"/>
        </w:rPr>
        <w:t>un État membre, afin de préparer une inspection d</w:t>
      </w:r>
      <w:r>
        <w:rPr>
          <w:color w:val="0E101A"/>
        </w:rPr>
        <w:t>’</w:t>
      </w:r>
      <w:r w:rsidRPr="00B378EB">
        <w:rPr>
          <w:color w:val="0E101A"/>
        </w:rPr>
        <w:t>un navire batt</w:t>
      </w:r>
      <w:r w:rsidRPr="00B378EB">
        <w:rPr>
          <w:color w:val="0E101A"/>
        </w:rPr>
        <w:t>ant pavillon d</w:t>
      </w:r>
      <w:r>
        <w:rPr>
          <w:color w:val="0E101A"/>
        </w:rPr>
        <w:t>’</w:t>
      </w:r>
      <w:r w:rsidRPr="00B378EB">
        <w:rPr>
          <w:color w:val="0E101A"/>
        </w:rPr>
        <w:t xml:space="preserve">un État membre. </w:t>
      </w:r>
    </w:p>
    <w:p w:rsidR="00FB38AB" w:rsidRPr="00B378EB" w:rsidRDefault="00FB38AB" w:rsidP="00FB38AB">
      <w:pPr>
        <w:pStyle w:val="NormalWeb"/>
        <w:spacing w:before="0" w:beforeAutospacing="0" w:after="0" w:afterAutospacing="0"/>
        <w:jc w:val="both"/>
        <w:rPr>
          <w:color w:val="0E101A"/>
        </w:rPr>
      </w:pPr>
    </w:p>
    <w:p w:rsidR="00FB38AB" w:rsidRPr="00B378EB" w:rsidRDefault="00D76C1F" w:rsidP="00FB38AB">
      <w:pPr>
        <w:pStyle w:val="NormalWeb"/>
        <w:spacing w:before="0" w:beforeAutospacing="0" w:after="0" w:afterAutospacing="0"/>
        <w:jc w:val="both"/>
        <w:rPr>
          <w:color w:val="0E101A"/>
        </w:rPr>
      </w:pPr>
      <w:r w:rsidRPr="00B378EB">
        <w:rPr>
          <w:color w:val="0E101A"/>
        </w:rPr>
        <w:t>La rapporteure estime que la numérisation et l</w:t>
      </w:r>
      <w:r>
        <w:rPr>
          <w:color w:val="0E101A"/>
        </w:rPr>
        <w:t>’</w:t>
      </w:r>
      <w:r w:rsidRPr="00B378EB">
        <w:rPr>
          <w:color w:val="0E101A"/>
        </w:rPr>
        <w:t xml:space="preserve">automatisation du secteur maritime peuvent également contribuer de manière significative à la réduction des émissions de ce secteur et jouer un rôle clé dans sa décarbonation, </w:t>
      </w:r>
      <w:r w:rsidRPr="00B378EB">
        <w:rPr>
          <w:color w:val="0E101A"/>
        </w:rPr>
        <w:t>conformément aux ambitions du pacte vert. Elle est également convaincue que, pour préserver sa compétitivité, le secteur européen des transports maritimes doit participer aux efforts de l</w:t>
      </w:r>
      <w:r>
        <w:rPr>
          <w:color w:val="0E101A"/>
        </w:rPr>
        <w:t>’</w:t>
      </w:r>
      <w:r w:rsidRPr="00B378EB">
        <w:rPr>
          <w:color w:val="0E101A"/>
        </w:rPr>
        <w:t>Union visant à réduire les émissions de gaz à effet de serre et à pa</w:t>
      </w:r>
      <w:r w:rsidRPr="00B378EB">
        <w:rPr>
          <w:color w:val="0E101A"/>
        </w:rPr>
        <w:t>rvenir à la neutralité climatique au plus tard d</w:t>
      </w:r>
      <w:r>
        <w:rPr>
          <w:color w:val="0E101A"/>
        </w:rPr>
        <w:t>’</w:t>
      </w:r>
      <w:r w:rsidRPr="00B378EB">
        <w:rPr>
          <w:color w:val="0E101A"/>
        </w:rPr>
        <w:t>ici à 2050, conformément à l</w:t>
      </w:r>
      <w:r>
        <w:rPr>
          <w:color w:val="0E101A"/>
        </w:rPr>
        <w:t>’</w:t>
      </w:r>
      <w:r w:rsidRPr="00B378EB">
        <w:rPr>
          <w:color w:val="0E101A"/>
        </w:rPr>
        <w:t>accord de Paris. À cette fin, elle estime que les États membres devraient utiliser le système d</w:t>
      </w:r>
      <w:r>
        <w:rPr>
          <w:color w:val="0E101A"/>
        </w:rPr>
        <w:t>’</w:t>
      </w:r>
      <w:r w:rsidRPr="00B378EB">
        <w:rPr>
          <w:color w:val="0E101A"/>
        </w:rPr>
        <w:t>échange d</w:t>
      </w:r>
      <w:r>
        <w:rPr>
          <w:color w:val="0E101A"/>
        </w:rPr>
        <w:t>’</w:t>
      </w:r>
      <w:r w:rsidRPr="00B378EB">
        <w:rPr>
          <w:color w:val="0E101A"/>
        </w:rPr>
        <w:t>informations maritimes de l</w:t>
      </w:r>
      <w:r>
        <w:rPr>
          <w:color w:val="0E101A"/>
        </w:rPr>
        <w:t>’</w:t>
      </w:r>
      <w:r w:rsidRPr="00B378EB">
        <w:rPr>
          <w:color w:val="0E101A"/>
        </w:rPr>
        <w:t>Union (SafeSeaNet) ainsi que les services ét</w:t>
      </w:r>
      <w:r w:rsidRPr="00B378EB">
        <w:rPr>
          <w:color w:val="0E101A"/>
        </w:rPr>
        <w:t>ablis par la directive 2002/59/CE</w:t>
      </w:r>
      <w:r w:rsidRPr="00B378EB">
        <w:rPr>
          <w:rStyle w:val="FootnoteReference"/>
          <w:color w:val="0E101A"/>
        </w:rPr>
        <w:footnoteReference w:id="2"/>
      </w:r>
      <w:r w:rsidRPr="00B378EB">
        <w:rPr>
          <w:color w:val="0E101A"/>
        </w:rPr>
        <w:t>. Elle propose de rendre les certificats électroniques obligatoires pour l</w:t>
      </w:r>
      <w:r>
        <w:rPr>
          <w:color w:val="0E101A"/>
        </w:rPr>
        <w:t>’</w:t>
      </w:r>
      <w:r w:rsidRPr="00B378EB">
        <w:rPr>
          <w:color w:val="0E101A"/>
        </w:rPr>
        <w:t>ensemble des États membres dès trois ans après la date d</w:t>
      </w:r>
      <w:r>
        <w:rPr>
          <w:color w:val="0E101A"/>
        </w:rPr>
        <w:t>’</w:t>
      </w:r>
      <w:r w:rsidRPr="00B378EB">
        <w:rPr>
          <w:color w:val="0E101A"/>
        </w:rPr>
        <w:t xml:space="preserve">entrée en vigueur de la présente directive. </w:t>
      </w:r>
    </w:p>
    <w:p w:rsidR="00FB38AB" w:rsidRPr="00B378EB" w:rsidRDefault="00FB38AB" w:rsidP="00FB38AB">
      <w:pPr>
        <w:pStyle w:val="NormalWeb"/>
        <w:spacing w:before="0" w:beforeAutospacing="0" w:after="0" w:afterAutospacing="0"/>
        <w:jc w:val="both"/>
        <w:rPr>
          <w:color w:val="0E101A"/>
        </w:rPr>
      </w:pPr>
    </w:p>
    <w:p w:rsidR="00FB38AB" w:rsidRPr="00B378EB" w:rsidRDefault="00D76C1F" w:rsidP="00FB38AB">
      <w:pPr>
        <w:pStyle w:val="NoSpacing"/>
        <w:rPr>
          <w:noProof/>
        </w:rPr>
      </w:pPr>
      <w:r w:rsidRPr="00B378EB">
        <w:t>Afin d</w:t>
      </w:r>
      <w:r>
        <w:t>’</w:t>
      </w:r>
      <w:r w:rsidRPr="00B378EB">
        <w:t xml:space="preserve">améliorer la sécurité et de garantir </w:t>
      </w:r>
      <w:r w:rsidRPr="00B378EB">
        <w:t>l</w:t>
      </w:r>
      <w:r>
        <w:t>’</w:t>
      </w:r>
      <w:r w:rsidRPr="00B378EB">
        <w:t>égalité de traitement, la rapporteure est également convaincue que les programmes de formation dispensés par l</w:t>
      </w:r>
      <w:r>
        <w:t>’</w:t>
      </w:r>
      <w:r w:rsidRPr="00B378EB">
        <w:t>AESM aux autorités chargées du contrôle par l</w:t>
      </w:r>
      <w:r>
        <w:t>’</w:t>
      </w:r>
      <w:r w:rsidRPr="00B378EB">
        <w:t xml:space="preserve">État du pavillon devraient encourager une approche plus harmonisée et devraient être poursuivis, </w:t>
      </w:r>
      <w:r w:rsidRPr="00B378EB">
        <w:t>renforcés et étendus de manière à couvrir plus en détail les aspects liés à la convention du travail maritime. Il convient à cet égard que l</w:t>
      </w:r>
      <w:r>
        <w:t>’</w:t>
      </w:r>
      <w:r w:rsidRPr="00B378EB">
        <w:t>AESM facilite la coordination ainsi qu</w:t>
      </w:r>
      <w:r>
        <w:t>’</w:t>
      </w:r>
      <w:r w:rsidRPr="00B378EB">
        <w:t>un échange d</w:t>
      </w:r>
      <w:r>
        <w:t>’</w:t>
      </w:r>
      <w:r w:rsidRPr="00B378EB">
        <w:t>informations et de bonnes pratiques entre les autorités chargée</w:t>
      </w:r>
      <w:r w:rsidRPr="00B378EB">
        <w:t>s du contrôle par l</w:t>
      </w:r>
      <w:r>
        <w:t>’</w:t>
      </w:r>
      <w:r w:rsidRPr="00B378EB">
        <w:t>État du pavillon. La rapporteure souhaite que les inspections examinent les conditions de travail, la sécurité et les performances environnementales de tous les navires battant pavillon des États membres et qu</w:t>
      </w:r>
      <w:r>
        <w:t>’</w:t>
      </w:r>
      <w:r w:rsidRPr="00B378EB">
        <w:t>elles comprennent donc des</w:t>
      </w:r>
      <w:r w:rsidRPr="00B378EB">
        <w:t xml:space="preserve"> données précises sur les heures de travail et de repos des équipages.</w:t>
      </w:r>
      <w:r>
        <w:t xml:space="preserve"> </w:t>
      </w:r>
      <w:r w:rsidRPr="00B378EB">
        <w:t xml:space="preserve"> Les États du pavillon devraient réviser les lignes directrices fournies à leurs inspecteurs et aux personnes habilitées à agir en leur nom, afin d</w:t>
      </w:r>
      <w:r>
        <w:t>’</w:t>
      </w:r>
      <w:r w:rsidRPr="00B378EB">
        <w:t>y inclure une vérification systémati</w:t>
      </w:r>
      <w:r w:rsidRPr="00B378EB">
        <w:t>que de l</w:t>
      </w:r>
      <w:r>
        <w:t>’</w:t>
      </w:r>
      <w:r w:rsidRPr="00B378EB">
        <w:t>exactitude de ces registres.</w:t>
      </w:r>
    </w:p>
    <w:p w:rsidR="00FB38AB" w:rsidRPr="00B378EB" w:rsidRDefault="00D76C1F" w:rsidP="00FB38AB">
      <w:pPr>
        <w:pStyle w:val="NoSpacing"/>
        <w:rPr>
          <w:noProof/>
        </w:rPr>
      </w:pPr>
      <w:r w:rsidRPr="00B378EB">
        <w:t xml:space="preserve"> </w:t>
      </w:r>
    </w:p>
    <w:p w:rsidR="00FB38AB" w:rsidRPr="00B378EB" w:rsidRDefault="00D76C1F" w:rsidP="00FB38AB">
      <w:pPr>
        <w:pStyle w:val="NoSpacing"/>
        <w:rPr>
          <w:noProof/>
        </w:rPr>
      </w:pPr>
      <w:r w:rsidRPr="00B378EB">
        <w:t>La rapporteure est d</w:t>
      </w:r>
      <w:r>
        <w:t>’</w:t>
      </w:r>
      <w:r w:rsidRPr="00B378EB">
        <w:t>avis que, afin d</w:t>
      </w:r>
      <w:r>
        <w:t>’</w:t>
      </w:r>
      <w:r w:rsidRPr="00B378EB">
        <w:t>éliminer les pratiques indésirables, telles que le changement de pavillon des navires et l</w:t>
      </w:r>
      <w:r>
        <w:t>’</w:t>
      </w:r>
      <w:r w:rsidRPr="00B378EB">
        <w:t>utilisation de registres ouverts, il devrait exister un «lien substantiel» entre le pro</w:t>
      </w:r>
      <w:r w:rsidRPr="00B378EB">
        <w:t>priétaire effectif d</w:t>
      </w:r>
      <w:r>
        <w:t>’</w:t>
      </w:r>
      <w:r w:rsidRPr="00B378EB">
        <w:t>un navire et le pavillon du navire, conformément à la convention des Nations unies sur le droit de la mer (CNUDM) [article 5 de la CNUDM de 1958 et article 91, paragraphe 1, de la CNUDM de 1982]. En conséquence, les armateurs devraient</w:t>
      </w:r>
      <w:r w:rsidRPr="00B378EB">
        <w:t xml:space="preserve"> être tenus de payer des charges sociales en vertu de la loi de l</w:t>
      </w:r>
      <w:r>
        <w:t>’</w:t>
      </w:r>
      <w:r w:rsidRPr="00B378EB">
        <w:t>État du pavillon qu</w:t>
      </w:r>
      <w:r>
        <w:t>’</w:t>
      </w:r>
      <w:r w:rsidRPr="00B378EB">
        <w:t>ils battent, à moins que les employés ne les paient conformément à la loi de l</w:t>
      </w:r>
      <w:r>
        <w:t>’</w:t>
      </w:r>
      <w:r w:rsidRPr="00B378EB">
        <w:t>État dans lequel ils résident.</w:t>
      </w:r>
    </w:p>
    <w:p w:rsidR="00FB38AB" w:rsidRPr="00B378EB" w:rsidRDefault="00FB38AB" w:rsidP="00FB38AB">
      <w:pPr>
        <w:pStyle w:val="NoSpacing"/>
        <w:rPr>
          <w:noProof/>
        </w:rPr>
      </w:pPr>
    </w:p>
    <w:p w:rsidR="00FB38AB" w:rsidRPr="00B378EB" w:rsidRDefault="00D76C1F" w:rsidP="00FB38AB">
      <w:pPr>
        <w:pStyle w:val="NoSpacing"/>
        <w:rPr>
          <w:noProof/>
        </w:rPr>
      </w:pPr>
      <w:r w:rsidRPr="00B378EB">
        <w:t>Enfin, la proposition de la Commission institue un groupe d</w:t>
      </w:r>
      <w:r>
        <w:t>’</w:t>
      </w:r>
      <w:r w:rsidRPr="00B378EB">
        <w:t>experts sur les obligations des États du pavillon, censé constituer une plateforme d</w:t>
      </w:r>
      <w:r>
        <w:t>’</w:t>
      </w:r>
      <w:r w:rsidRPr="00B378EB">
        <w:t>échange de bonnes pratiques et élaborer une approche commune en matière d</w:t>
      </w:r>
      <w:r>
        <w:t>’</w:t>
      </w:r>
      <w:r w:rsidRPr="00B378EB">
        <w:t>inspections réalisées par l</w:t>
      </w:r>
      <w:r>
        <w:t>’</w:t>
      </w:r>
      <w:r w:rsidRPr="00B378EB">
        <w:t>État du pavillon ainsi qu</w:t>
      </w:r>
      <w:r>
        <w:t>’</w:t>
      </w:r>
      <w:r w:rsidRPr="00B378EB">
        <w:t>un modèle de rapport commun. Si la rapport</w:t>
      </w:r>
      <w:r w:rsidRPr="00B378EB">
        <w:t>eure souscrit à cette idée et estime qu</w:t>
      </w:r>
      <w:r>
        <w:t>’</w:t>
      </w:r>
      <w:r w:rsidRPr="00B378EB">
        <w:t>il convient de maintenir et de promouvoir un renforcement adéquat des capacités et des compétences, elle estime toutefois que les solutions et recommandations élaborées par le groupe d</w:t>
      </w:r>
      <w:r>
        <w:t>’</w:t>
      </w:r>
      <w:r w:rsidRPr="00B378EB">
        <w:t>experts ne devraient pas pénali</w:t>
      </w:r>
      <w:r w:rsidRPr="00B378EB">
        <w:t>ser les administrations qui affichent de bons résultats.</w:t>
      </w:r>
    </w:p>
    <w:p w:rsidR="000D66CD" w:rsidRPr="00B378EB" w:rsidRDefault="000D66CD" w:rsidP="000D66CD">
      <w:pPr>
        <w:pStyle w:val="NoSpacing"/>
        <w:rPr>
          <w:noProof/>
        </w:rPr>
      </w:pPr>
    </w:p>
    <w:p w:rsidR="00FB38AB" w:rsidRPr="00B378EB" w:rsidRDefault="00D76C1F">
      <w:pPr>
        <w:widowControl/>
      </w:pPr>
      <w:r w:rsidRPr="00B378EB">
        <w:br w:type="page"/>
      </w:r>
    </w:p>
    <w:p w:rsidR="00FB38AB" w:rsidRPr="00B378EB" w:rsidRDefault="00D76C1F" w:rsidP="00FB38AB">
      <w:pPr>
        <w:pStyle w:val="PageHeading"/>
        <w:rPr>
          <w:noProof/>
        </w:rPr>
      </w:pPr>
      <w:bookmarkStart w:id="5" w:name="_Toc152926244"/>
      <w:bookmarkStart w:id="6" w:name="_Toc155717096"/>
      <w:r w:rsidRPr="00B378EB">
        <w:t xml:space="preserve">ANNEXE: </w:t>
      </w:r>
      <w:bookmarkEnd w:id="5"/>
      <w:r w:rsidRPr="00B378EB">
        <w:t>LISTE DES ENTITÉS OU DES PERSONNES AYANT APPORTÉ LEUR CONTRIBUTION À LA RAPPORTEURE</w:t>
      </w:r>
      <w:bookmarkEnd w:id="6"/>
    </w:p>
    <w:p w:rsidR="00FB38AB" w:rsidRPr="00B378EB" w:rsidRDefault="00D76C1F" w:rsidP="00FB38AB">
      <w:pPr>
        <w:pStyle w:val="Normal24a"/>
      </w:pPr>
      <w:r w:rsidRPr="00B378EB">
        <w:rPr>
          <w:rStyle w:val="HideTWBExt"/>
        </w:rPr>
        <w:t>&lt;FootprintIntro&gt;</w:t>
      </w:r>
      <w:r w:rsidRPr="00B378EB">
        <w:t>Conformément à l</w:t>
      </w:r>
      <w:r>
        <w:t>’</w:t>
      </w:r>
      <w:r w:rsidRPr="00B378EB">
        <w:t>article 8 de l</w:t>
      </w:r>
      <w:r>
        <w:t>’</w:t>
      </w:r>
      <w:r w:rsidRPr="00B378EB">
        <w:t xml:space="preserve">annexe I du règlement intérieur, la rapporteure déclare </w:t>
      </w:r>
      <w:r w:rsidRPr="00B378EB">
        <w:t>avoir reçu des contributions des entités ou personnes suivantes pour l</w:t>
      </w:r>
      <w:r>
        <w:t>’</w:t>
      </w:r>
      <w:r w:rsidRPr="00B378EB">
        <w:t>élaboration du rapport, préalablement à son adoption en commission:</w:t>
      </w:r>
      <w:r w:rsidRPr="00B378E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9089F" w:rsidRPr="00B378EB" w:rsidTr="00FB38AB">
        <w:tc>
          <w:tcPr>
            <w:tcW w:w="9060" w:type="dxa"/>
            <w:shd w:val="clear" w:color="auto" w:fill="auto"/>
          </w:tcPr>
          <w:p w:rsidR="00FB38AB" w:rsidRPr="00B378EB" w:rsidRDefault="00D76C1F" w:rsidP="00FB38AB">
            <w:pPr>
              <w:pStyle w:val="NormalBoldCenter"/>
            </w:pPr>
            <w:r w:rsidRPr="00B378EB">
              <w:t>Entité et/ou personne</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b/>
                <w:vanish/>
              </w:rPr>
            </w:pPr>
            <w:r w:rsidRPr="00B378EB">
              <w:t>KVNR</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European Commission</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ECSA</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ETF</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IACS</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Netherlands Per. Rep.</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T&amp;E</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WSC</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EUDA</w:t>
            </w:r>
          </w:p>
        </w:tc>
      </w:tr>
      <w:tr w:rsidR="0039089F" w:rsidRPr="00B378EB" w:rsidTr="00FB38AB">
        <w:tc>
          <w:tcPr>
            <w:tcW w:w="9060" w:type="dxa"/>
            <w:tcBorders>
              <w:top w:val="single" w:sz="4" w:space="0" w:color="auto"/>
              <w:left w:val="single" w:sz="4" w:space="0" w:color="auto"/>
              <w:bottom w:val="single" w:sz="4" w:space="0" w:color="auto"/>
              <w:right w:val="single" w:sz="4" w:space="0" w:color="auto"/>
            </w:tcBorders>
            <w:hideMark/>
          </w:tcPr>
          <w:p w:rsidR="00FB38AB" w:rsidRPr="00B378EB" w:rsidRDefault="00D76C1F" w:rsidP="00FB38AB">
            <w:pPr>
              <w:rPr>
                <w:vanish/>
              </w:rPr>
            </w:pPr>
            <w:r w:rsidRPr="00B378EB">
              <w:t>EMSA</w:t>
            </w:r>
          </w:p>
        </w:tc>
      </w:tr>
    </w:tbl>
    <w:p w:rsidR="00FB38AB" w:rsidRPr="00B378EB" w:rsidRDefault="00FB38AB" w:rsidP="00FB38AB"/>
    <w:p w:rsidR="00FB38AB" w:rsidRPr="00B378EB" w:rsidRDefault="00D76C1F" w:rsidP="00FB38AB">
      <w:pPr>
        <w:rPr>
          <w:szCs w:val="24"/>
        </w:rPr>
      </w:pPr>
      <w:r w:rsidRPr="00B378EB">
        <w:t>La liste ci-dessus est établie sous la responsabilité exclusive de la rapporteure.</w:t>
      </w:r>
    </w:p>
    <w:p w:rsidR="000D66CD" w:rsidRPr="00B378EB" w:rsidRDefault="000D66CD" w:rsidP="000D66CD"/>
    <w:p w:rsidR="00B378EB" w:rsidRPr="00B378EB" w:rsidRDefault="00B378EB">
      <w:pPr>
        <w:widowControl/>
        <w:sectPr w:rsidR="00B378EB" w:rsidRPr="00B378EB" w:rsidSect="00B378EB">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378EB" w:rsidRPr="00B378EB" w:rsidRDefault="00B378EB" w:rsidP="00B378EB">
      <w:pPr>
        <w:pStyle w:val="Normal24a"/>
      </w:pPr>
      <w:r w:rsidRPr="00B378EB">
        <w:rPr>
          <w:rStyle w:val="HideTWBExt"/>
        </w:rPr>
        <w:t>&lt;Date&gt;</w:t>
      </w:r>
      <w:r w:rsidRPr="00B378EB">
        <w:rPr>
          <w:rStyle w:val="HideTWBInt"/>
        </w:rPr>
        <w:t>{29/11/2023}</w:t>
      </w:r>
      <w:r w:rsidRPr="00B378EB">
        <w:t>29.11.2023</w:t>
      </w:r>
      <w:r w:rsidRPr="00B378EB">
        <w:rPr>
          <w:rStyle w:val="HideTWBExt"/>
        </w:rPr>
        <w:t>&lt;/Date&gt;</w:t>
      </w:r>
    </w:p>
    <w:p w:rsidR="00B378EB" w:rsidRPr="00B378EB" w:rsidRDefault="00B378EB" w:rsidP="00B378EB">
      <w:pPr>
        <w:pStyle w:val="PageHeading"/>
      </w:pPr>
      <w:r w:rsidRPr="00B378EB">
        <w:rPr>
          <w:rStyle w:val="HideTWBExt"/>
        </w:rPr>
        <w:t>&lt;CommissionResp&gt;</w:t>
      </w:r>
      <w:bookmarkStart w:id="7" w:name="OpinionToc_1"/>
      <w:bookmarkStart w:id="8" w:name="_Toc155717097"/>
      <w:r w:rsidRPr="00B378EB">
        <w:t>AVIS DE LA COMMISSION DE LA PÊCHE</w:t>
      </w:r>
      <w:bookmarkEnd w:id="7"/>
      <w:bookmarkEnd w:id="8"/>
      <w:r w:rsidRPr="00B378EB">
        <w:rPr>
          <w:rStyle w:val="HideTWBExt"/>
        </w:rPr>
        <w:t>&lt;/CommissionResp&gt;</w:t>
      </w:r>
    </w:p>
    <w:p w:rsidR="00B378EB" w:rsidRPr="00B378EB" w:rsidRDefault="00B378EB" w:rsidP="00B378EB">
      <w:pPr>
        <w:pStyle w:val="Normal12a"/>
      </w:pPr>
      <w:r w:rsidRPr="00B378EB">
        <w:rPr>
          <w:rStyle w:val="HideTWBExt"/>
        </w:rPr>
        <w:t>&lt;CommissionInt&gt;</w:t>
      </w:r>
      <w:r w:rsidRPr="00B378EB">
        <w:t>à l</w:t>
      </w:r>
      <w:r w:rsidR="00D76C1F">
        <w:t>’</w:t>
      </w:r>
      <w:r w:rsidRPr="00B378EB">
        <w:t>intention de la commission des transports et du tourisme</w:t>
      </w:r>
      <w:r w:rsidRPr="00B378EB">
        <w:rPr>
          <w:rStyle w:val="HideTWBExt"/>
        </w:rPr>
        <w:t>&lt;/CommissionInt&gt;</w:t>
      </w:r>
    </w:p>
    <w:p w:rsidR="00B378EB" w:rsidRPr="00B378EB" w:rsidRDefault="00B378EB" w:rsidP="00B378EB">
      <w:r w:rsidRPr="00B378EB">
        <w:rPr>
          <w:rStyle w:val="HideTWBExt"/>
        </w:rPr>
        <w:t>&lt;Titre&gt;</w:t>
      </w:r>
      <w:r w:rsidRPr="00B378EB">
        <w:t>sur la proposition de directive du Parlement européen et du Conseil modifiant la directive 2009/21/CE concernant le respect des obligations des États du pavillon</w:t>
      </w:r>
      <w:r w:rsidRPr="00B378EB">
        <w:rPr>
          <w:rStyle w:val="HideTWBExt"/>
        </w:rPr>
        <w:t>&lt;/Titre&gt;</w:t>
      </w:r>
    </w:p>
    <w:p w:rsidR="00B378EB" w:rsidRPr="00B378EB" w:rsidRDefault="00B378EB" w:rsidP="00B378EB">
      <w:pPr>
        <w:pStyle w:val="Normal12a"/>
      </w:pPr>
      <w:r w:rsidRPr="00B378EB">
        <w:rPr>
          <w:rStyle w:val="HideTWBExt"/>
        </w:rPr>
        <w:t>&lt;DocRef&gt;</w:t>
      </w:r>
      <w:r w:rsidRPr="00B378EB">
        <w:t>(COM(2023)272 – C9</w:t>
      </w:r>
      <w:r w:rsidRPr="00B378EB">
        <w:noBreakHyphen/>
        <w:t>0188/2023 – 2023/0172(COD))</w:t>
      </w:r>
      <w:r w:rsidRPr="00B378EB">
        <w:rPr>
          <w:rStyle w:val="HideTWBExt"/>
        </w:rPr>
        <w:t>&lt;/DocRef&gt;</w:t>
      </w:r>
    </w:p>
    <w:p w:rsidR="00B378EB" w:rsidRPr="00B378EB" w:rsidRDefault="00B378EB" w:rsidP="00B378EB">
      <w:pPr>
        <w:pStyle w:val="Normal24a"/>
      </w:pPr>
      <w:r w:rsidRPr="00B378EB">
        <w:t xml:space="preserve">Rapporteure pour avis: </w:t>
      </w:r>
      <w:r w:rsidRPr="00B378EB">
        <w:rPr>
          <w:rStyle w:val="HideTWBExt"/>
        </w:rPr>
        <w:t>&lt;Depute&gt;</w:t>
      </w:r>
      <w:r w:rsidRPr="00B378EB">
        <w:t>Ana Miranda</w:t>
      </w:r>
      <w:r w:rsidRPr="00B378EB">
        <w:rPr>
          <w:rStyle w:val="HideTWBExt"/>
        </w:rPr>
        <w:t>&lt;/Depute&gt;</w:t>
      </w:r>
    </w:p>
    <w:p w:rsidR="00B378EB" w:rsidRPr="00B378EB" w:rsidRDefault="00B378EB" w:rsidP="00B378EB"/>
    <w:p w:rsidR="00B378EB" w:rsidRPr="00B378EB" w:rsidRDefault="00B378EB" w:rsidP="0004474F">
      <w:pPr>
        <w:tabs>
          <w:tab w:val="center" w:pos="4677"/>
        </w:tabs>
      </w:pPr>
    </w:p>
    <w:p w:rsidR="00B378EB" w:rsidRPr="00B378EB" w:rsidRDefault="00B378EB" w:rsidP="00DB56E4">
      <w:pPr>
        <w:pStyle w:val="PageHeadingNotTOC"/>
      </w:pPr>
      <w:r w:rsidRPr="00B378EB">
        <w:t>JUSTIFICATION SUCCINCTE</w:t>
      </w:r>
    </w:p>
    <w:p w:rsidR="00B378EB" w:rsidRPr="00B378EB" w:rsidRDefault="00B378EB" w:rsidP="0037139F">
      <w:pPr>
        <w:jc w:val="both"/>
      </w:pPr>
      <w:r w:rsidRPr="00B378EB">
        <w:t>La proposition actuelle s</w:t>
      </w:r>
      <w:r w:rsidR="00D76C1F">
        <w:t>’</w:t>
      </w:r>
      <w:r w:rsidRPr="00B378EB">
        <w:t>inscrit dans un train de mesures plus vaste destiné à renforcer la sécurité maritime. Bien que d</w:t>
      </w:r>
      <w:r w:rsidR="00D76C1F">
        <w:t>’</w:t>
      </w:r>
      <w:r w:rsidRPr="00B378EB">
        <w:t xml:space="preserve">autres éléments du train de mesures prévoient des modifications spécifiques du secteur de la pêche, la directive concernant les obligations des États du pavillon revêt, de manière tout aussi évidente, une importance cruciale pour les communautés de pêcheurs; les pavillons de complaisance, par exemple, posent des problèmes majeurs en matière de sécurité, de conditions de travail, de traçabilité des produits de la pêche et de conditions de concurrence équitables. </w:t>
      </w:r>
    </w:p>
    <w:p w:rsidR="00B378EB" w:rsidRPr="00B378EB" w:rsidRDefault="00B378EB" w:rsidP="0037139F">
      <w:pPr>
        <w:jc w:val="both"/>
      </w:pPr>
    </w:p>
    <w:p w:rsidR="00B378EB" w:rsidRPr="00B378EB" w:rsidRDefault="00B378EB" w:rsidP="0037139F">
      <w:pPr>
        <w:jc w:val="both"/>
      </w:pPr>
      <w:r w:rsidRPr="00B378EB">
        <w:t>Le train de mesures sur la sécurité maritime de 2009 a consisté essentiellement à apporter une réponse aux multiples catastrophes maritimes, dont l</w:t>
      </w:r>
      <w:r w:rsidR="00D76C1F">
        <w:t>’</w:t>
      </w:r>
      <w:r w:rsidRPr="00B378EB">
        <w:t>une des plus marquantes a été le naufrage du Prestige survenu au large des côtes de Galice en 2002. Cette catastrophe sans précédent a eu un effet dévastateur sur la vie marine, sur les oiseaux et sur l</w:t>
      </w:r>
      <w:r w:rsidR="00D76C1F">
        <w:t>’</w:t>
      </w:r>
      <w:r w:rsidRPr="00B378EB">
        <w:t xml:space="preserve">environnement en général. Elle a eu également des répercussions graves sur tous les acteurs de la pêche, en particulier ceux qui pratiquent la pêche côtière et la pêche artisanale et ceux qui travaillent dans le secteur conchylicole. </w:t>
      </w:r>
    </w:p>
    <w:p w:rsidR="00B378EB" w:rsidRPr="00B378EB" w:rsidRDefault="00B378EB" w:rsidP="0037139F">
      <w:pPr>
        <w:jc w:val="both"/>
      </w:pPr>
    </w:p>
    <w:p w:rsidR="00B378EB" w:rsidRPr="00B378EB" w:rsidRDefault="00B378EB" w:rsidP="0037139F">
      <w:pPr>
        <w:jc w:val="both"/>
      </w:pPr>
      <w:r w:rsidRPr="00B378EB">
        <w:t>En outre, la catastrophe a mis au jour des lacunes majeures dans la réaction du gouvernement espagnol – mises en avant dans la résolution adoptée par le Parlement à la suite de cet événement dramatique</w:t>
      </w:r>
      <w:r w:rsidRPr="00B378EB">
        <w:rPr>
          <w:rStyle w:val="FootnoteReference"/>
        </w:rPr>
        <w:footnoteReference w:id="3"/>
      </w:r>
      <w:r w:rsidRPr="00B378EB">
        <w:t xml:space="preserve"> – ainsi que des disparités en matière de sécurité maritime dans l</w:t>
      </w:r>
      <w:r w:rsidR="00D76C1F">
        <w:t>’</w:t>
      </w:r>
      <w:r w:rsidRPr="00B378EB">
        <w:t>ensemble de l</w:t>
      </w:r>
      <w:r w:rsidR="00D76C1F">
        <w:t>’</w:t>
      </w:r>
      <w:r w:rsidRPr="00B378EB">
        <w:t>Union. À l</w:t>
      </w:r>
      <w:r w:rsidR="00D76C1F">
        <w:t>’</w:t>
      </w:r>
      <w:r w:rsidRPr="00B378EB">
        <w:t>époque, le Parlement avait exprimé de vives inquiétudes au sujet des pavillons de complaisance. La directive de 2009 concernant les obligations des États du pavillon avait permis, dans une certaine mesure, d</w:t>
      </w:r>
      <w:r w:rsidR="00D76C1F">
        <w:t>’</w:t>
      </w:r>
      <w:r w:rsidRPr="00B378EB">
        <w:t>y remédier.</w:t>
      </w:r>
    </w:p>
    <w:p w:rsidR="00B378EB" w:rsidRPr="00B378EB" w:rsidRDefault="00B378EB" w:rsidP="0037139F">
      <w:pPr>
        <w:jc w:val="both"/>
      </w:pPr>
    </w:p>
    <w:p w:rsidR="00B378EB" w:rsidRPr="00B378EB" w:rsidRDefault="00B378EB" w:rsidP="0037139F">
      <w:pPr>
        <w:jc w:val="both"/>
      </w:pPr>
      <w:r w:rsidRPr="00B378EB">
        <w:t>La Commission estime que, de manière générale, la directive de 2009 a été transposée correctement par les États membres et qu</w:t>
      </w:r>
      <w:r w:rsidR="00D76C1F">
        <w:t>’</w:t>
      </w:r>
      <w:r w:rsidRPr="00B378EB">
        <w:t>elle a créé des conditions de concurrence plus équitables dans le secteur du transport maritime. Cependant, elle n</w:t>
      </w:r>
      <w:r w:rsidR="00D76C1F">
        <w:t>’</w:t>
      </w:r>
      <w:r w:rsidRPr="00B378EB">
        <w:t>est plus complètement à jour, compte tenu de l</w:t>
      </w:r>
      <w:r w:rsidR="00D76C1F">
        <w:t>’</w:t>
      </w:r>
      <w:r w:rsidRPr="00B378EB">
        <w:t>évolution de la situation au niveau de l</w:t>
      </w:r>
      <w:r w:rsidR="00D76C1F">
        <w:t>’</w:t>
      </w:r>
      <w:r w:rsidRPr="00B378EB">
        <w:t>OMI, et des incohérences subsistent en ce qui concerne les inspections et la surveillance.</w:t>
      </w:r>
    </w:p>
    <w:p w:rsidR="00B378EB" w:rsidRPr="00B378EB" w:rsidRDefault="00B378EB" w:rsidP="0037139F">
      <w:pPr>
        <w:jc w:val="both"/>
      </w:pPr>
    </w:p>
    <w:p w:rsidR="00B378EB" w:rsidRPr="00B378EB" w:rsidRDefault="00B378EB" w:rsidP="0037139F">
      <w:pPr>
        <w:jc w:val="both"/>
      </w:pPr>
      <w:r w:rsidRPr="00B378EB">
        <w:t>La proposition de la Commission vise donc à actualiser la directive afin de la mettre davantage en conformité avec les normes de l</w:t>
      </w:r>
      <w:r w:rsidR="00D76C1F">
        <w:t>’</w:t>
      </w:r>
      <w:r w:rsidRPr="00B378EB">
        <w:t>OMI, d</w:t>
      </w:r>
      <w:r w:rsidR="00D76C1F">
        <w:t>’</w:t>
      </w:r>
      <w:r w:rsidRPr="00B378EB">
        <w:t>harmoniser les inspections et la surveillance, de promouvoir des solutions numériques et d</w:t>
      </w:r>
      <w:r w:rsidR="00D76C1F">
        <w:t>’</w:t>
      </w:r>
      <w:r w:rsidRPr="00B378EB">
        <w:t>améliorer la coopération entre les autorités des États membres. La proposition vise également à améliorer la formation des États du pavillon.</w:t>
      </w:r>
    </w:p>
    <w:p w:rsidR="00B378EB" w:rsidRPr="00B378EB" w:rsidRDefault="00B378EB" w:rsidP="0037139F">
      <w:pPr>
        <w:jc w:val="both"/>
      </w:pPr>
    </w:p>
    <w:p w:rsidR="00B378EB" w:rsidRPr="00B378EB" w:rsidRDefault="00B378EB" w:rsidP="0037139F">
      <w:pPr>
        <w:jc w:val="both"/>
      </w:pPr>
      <w:r w:rsidRPr="00B378EB">
        <w:t>Votre rapporteure soutient pleinement l</w:t>
      </w:r>
      <w:r w:rsidR="00D76C1F">
        <w:t>’</w:t>
      </w:r>
      <w:r w:rsidRPr="00B378EB">
        <w:t>objectif de la Commission qui souhaite mettre à jour le régime législatif actuel et veiller à ce qu</w:t>
      </w:r>
      <w:r w:rsidR="00D76C1F">
        <w:t>’</w:t>
      </w:r>
      <w:r w:rsidRPr="00B378EB">
        <w:t>il reste pleinement aligné sur les normes internationales. Elle se félicite également des initiatives entreprises pour adopter pleinement les technologies numériques.</w:t>
      </w:r>
    </w:p>
    <w:p w:rsidR="00B378EB" w:rsidRPr="00B378EB" w:rsidRDefault="00B378EB" w:rsidP="0037139F">
      <w:pPr>
        <w:jc w:val="both"/>
      </w:pPr>
    </w:p>
    <w:p w:rsidR="00B378EB" w:rsidRPr="00B378EB" w:rsidRDefault="00B378EB" w:rsidP="0037139F">
      <w:pPr>
        <w:jc w:val="both"/>
      </w:pPr>
      <w:r w:rsidRPr="00B378EB">
        <w:t>Toutefois, elle met également l</w:t>
      </w:r>
      <w:r w:rsidR="00D76C1F">
        <w:t>’</w:t>
      </w:r>
      <w:r w:rsidRPr="00B378EB">
        <w:t>accent sur les résolutions récentes dans lesquelles le Parlement a continué de faire part de ses inquiétudes en ce qui concerne le changement de pavillon et les pavillons de complaisance</w:t>
      </w:r>
      <w:r w:rsidRPr="00B378EB">
        <w:rPr>
          <w:rStyle w:val="FootnoteReference"/>
        </w:rPr>
        <w:footnoteReference w:id="4"/>
      </w:r>
      <w:r w:rsidRPr="00B378EB">
        <w:t>. Cette question continue de poser un problème majeur pour l</w:t>
      </w:r>
      <w:r w:rsidR="00D76C1F">
        <w:t>’</w:t>
      </w:r>
      <w:r w:rsidRPr="00B378EB">
        <w:t>environnement et, sous l</w:t>
      </w:r>
      <w:r w:rsidR="00D76C1F">
        <w:t>’</w:t>
      </w:r>
      <w:r w:rsidRPr="00B378EB">
        <w:t>angle de la pêche, pour ceux dont les moyens de subsistance sont tributaires de cet environnement. Ces approches sont adoptées par la société civile au sens large, par exemple en Galice, où la plateforme «Nunca Máis» continue de faire campagne à la suite du naufrage du Prestige pour que le transport par navire dans les eaux de l</w:t>
      </w:r>
      <w:r w:rsidR="00D76C1F">
        <w:t>’</w:t>
      </w:r>
      <w:r w:rsidRPr="00B378EB">
        <w:t>Union respecte les normes de l</w:t>
      </w:r>
      <w:r w:rsidR="00D76C1F">
        <w:t>’</w:t>
      </w:r>
      <w:r w:rsidRPr="00B378EB">
        <w:t>OMI.</w:t>
      </w:r>
    </w:p>
    <w:p w:rsidR="00B378EB" w:rsidRPr="00B378EB" w:rsidRDefault="00B378EB" w:rsidP="0037139F">
      <w:pPr>
        <w:jc w:val="both"/>
      </w:pPr>
    </w:p>
    <w:p w:rsidR="00B378EB" w:rsidRPr="00B378EB" w:rsidRDefault="00B378EB" w:rsidP="0037139F">
      <w:pPr>
        <w:jc w:val="both"/>
      </w:pPr>
      <w:r w:rsidRPr="00B378EB">
        <w:t>L</w:t>
      </w:r>
      <w:r w:rsidR="00D76C1F">
        <w:t>’</w:t>
      </w:r>
      <w:r w:rsidRPr="00B378EB">
        <w:t>Europe abrite certaines des voies maritimes internationales parmi les plus fréquentées au monde et le problème des navires qui utilisent des pavillons de complaisance et qui traversent des zones marines sensibles telles que le corridor de Fisterra n</w:t>
      </w:r>
      <w:r w:rsidR="00D76C1F">
        <w:t>’</w:t>
      </w:r>
      <w:r w:rsidRPr="00B378EB">
        <w:t>est pas résolu.</w:t>
      </w:r>
    </w:p>
    <w:p w:rsidR="00B378EB" w:rsidRPr="00B378EB" w:rsidRDefault="00B378EB" w:rsidP="0037139F">
      <w:pPr>
        <w:jc w:val="both"/>
      </w:pPr>
    </w:p>
    <w:p w:rsidR="00B378EB" w:rsidRPr="00B378EB" w:rsidRDefault="00B378EB" w:rsidP="0037139F">
      <w:pPr>
        <w:jc w:val="both"/>
      </w:pPr>
      <w:r w:rsidRPr="00B378EB">
        <w:t>Les besoins diffèrent selon des eaux aussi variées que la Baltique, la Méditerranée ou la côte atlantique. Toutes ces zones soutiennent toutefois des communautés qui dépendent d</w:t>
      </w:r>
      <w:r w:rsidR="00D76C1F">
        <w:t>’</w:t>
      </w:r>
      <w:r w:rsidRPr="00B378EB">
        <w:t>un milieu marin propre et qui sont toutes tributaires d</w:t>
      </w:r>
      <w:r w:rsidR="00D76C1F">
        <w:t>’</w:t>
      </w:r>
      <w:r w:rsidRPr="00B378EB">
        <w:t>un régime de sécurité maritime fonctionnant correctement. La proposition actuelle devrait s</w:t>
      </w:r>
      <w:r w:rsidR="00D76C1F">
        <w:t>’</w:t>
      </w:r>
      <w:r w:rsidRPr="00B378EB">
        <w:t>inscrire dans le cadre des efforts déployés actuellement pour améliorer l</w:t>
      </w:r>
      <w:r w:rsidR="00D76C1F">
        <w:t>’</w:t>
      </w:r>
      <w:r w:rsidRPr="00B378EB">
        <w:t>action de l</w:t>
      </w:r>
      <w:r w:rsidR="00D76C1F">
        <w:t>’</w:t>
      </w:r>
      <w:r w:rsidRPr="00B378EB">
        <w:t>Union visant à protéger notre milieu marin vital, ainsi que l</w:t>
      </w:r>
      <w:r w:rsidR="00D76C1F">
        <w:t>’</w:t>
      </w:r>
      <w:r w:rsidRPr="00B378EB">
        <w:t>économie, la sécurité alimentaire et les communautés dépendantes de la pêche, de l</w:t>
      </w:r>
      <w:r w:rsidR="00D76C1F">
        <w:t>’</w:t>
      </w:r>
      <w:r w:rsidRPr="00B378EB">
        <w:t>aquaculture et de la conchyliculture.</w:t>
      </w:r>
    </w:p>
    <w:p w:rsidR="00B378EB" w:rsidRPr="00B378EB" w:rsidRDefault="00B378EB" w:rsidP="0037139F">
      <w:pPr>
        <w:jc w:val="both"/>
      </w:pPr>
    </w:p>
    <w:p w:rsidR="00B378EB" w:rsidRPr="00B378EB" w:rsidRDefault="00B378EB" w:rsidP="0037139F">
      <w:pPr>
        <w:jc w:val="both"/>
      </w:pPr>
      <w:r w:rsidRPr="00B378EB">
        <w:t>Enfin, votre rapporteure déplore la procédure tronquée à laquelle s</w:t>
      </w:r>
      <w:r w:rsidR="00D76C1F">
        <w:t>’</w:t>
      </w:r>
      <w:r w:rsidRPr="00B378EB">
        <w:t>est heurtée la commission de la pêche. La commission aurait dû disposer d</w:t>
      </w:r>
      <w:r w:rsidR="00D76C1F">
        <w:t>’</w:t>
      </w:r>
      <w:r w:rsidRPr="00B378EB">
        <w:t xml:space="preserve">une complète latitude pour se pencher, dans un délai raisonnable, sur un train de mesures qui revêt une telle importance pour le secteur de la pêche. </w:t>
      </w:r>
    </w:p>
    <w:p w:rsidR="00B378EB" w:rsidRPr="00B378EB" w:rsidRDefault="00B378EB" w:rsidP="0037139F">
      <w:pPr>
        <w:jc w:val="both"/>
      </w:pPr>
    </w:p>
    <w:p w:rsidR="00B378EB" w:rsidRPr="00B378EB" w:rsidRDefault="00B378EB" w:rsidP="00DB56E4">
      <w:pPr>
        <w:pStyle w:val="AmHeadingPA"/>
      </w:pPr>
      <w:r w:rsidRPr="00B378EB">
        <w:t>AMENDEMENTS</w:t>
      </w:r>
    </w:p>
    <w:p w:rsidR="00B378EB" w:rsidRPr="00B378EB" w:rsidRDefault="00B378EB" w:rsidP="001E3AC4">
      <w:pPr>
        <w:pStyle w:val="Normal12a"/>
      </w:pPr>
      <w:bookmarkStart w:id="9" w:name="IntroA"/>
      <w:r w:rsidRPr="00B378EB">
        <w:t>La commission de la pêche invite la commission des transports et du tourisme, compétente au fond, à prendre en considération les amendements suivants:</w:t>
      </w:r>
    </w:p>
    <w:bookmarkEnd w:id="9"/>
    <w:p w:rsidR="00B378EB" w:rsidRPr="00B378EB" w:rsidRDefault="00B378EB" w:rsidP="009F4ED5">
      <w:pPr>
        <w:pStyle w:val="AMNumberTabs0"/>
        <w:keepNext/>
      </w:pPr>
      <w:r w:rsidRPr="00B378EB">
        <w:rPr>
          <w:rStyle w:val="HideTWBExt"/>
          <w:b w:val="0"/>
        </w:rPr>
        <w:t>&lt;RepeatBlock-Amend&gt;&lt;Amend&gt;</w:t>
      </w:r>
      <w:r w:rsidRPr="00B378EB">
        <w:t>Amendement</w:t>
      </w:r>
      <w:r w:rsidRPr="00B378EB">
        <w:tab/>
      </w:r>
      <w:r w:rsidRPr="00B378EB">
        <w:tab/>
      </w:r>
      <w:r w:rsidRPr="00B378EB">
        <w:rPr>
          <w:rStyle w:val="HideTWBExt"/>
          <w:b w:val="0"/>
        </w:rPr>
        <w:t>&lt;NumAm&gt;</w:t>
      </w:r>
      <w:r w:rsidRPr="00B378EB">
        <w:t>1</w:t>
      </w:r>
      <w:r w:rsidRPr="00B378EB">
        <w:rPr>
          <w:rStyle w:val="HideTWBExt"/>
          <w:b w:val="0"/>
        </w:rPr>
        <w:t>&lt;/NumAm&gt;</w:t>
      </w:r>
    </w:p>
    <w:p w:rsidR="00B378EB" w:rsidRPr="00B378EB" w:rsidRDefault="00B378EB" w:rsidP="009F4ED5">
      <w:pPr>
        <w:pStyle w:val="NormalBold12b"/>
        <w:keepNext/>
      </w:pPr>
      <w:r w:rsidRPr="00B378EB">
        <w:rPr>
          <w:rStyle w:val="HideTWBExt"/>
          <w:b w:val="0"/>
        </w:rPr>
        <w:t>&lt;DocAmend&gt;</w:t>
      </w:r>
      <w:r w:rsidRPr="00B378EB">
        <w:t>Proposition de directive</w:t>
      </w:r>
      <w:r w:rsidRPr="00B378EB">
        <w:rPr>
          <w:rStyle w:val="HideTWBExt"/>
          <w:b w:val="0"/>
        </w:rPr>
        <w:t>&lt;/DocAmend&gt;</w:t>
      </w:r>
    </w:p>
    <w:p w:rsidR="00B378EB" w:rsidRPr="00B378EB" w:rsidRDefault="00B378EB" w:rsidP="009F4ED5">
      <w:pPr>
        <w:pStyle w:val="NormalBold"/>
      </w:pPr>
      <w:r w:rsidRPr="00B378EB">
        <w:rPr>
          <w:rStyle w:val="HideTWBExt"/>
          <w:b w:val="0"/>
        </w:rPr>
        <w:t>&lt;Article&gt;</w:t>
      </w:r>
      <w:r w:rsidRPr="00B378EB">
        <w:t>Considérant 1</w:t>
      </w:r>
      <w:r w:rsidRPr="00B378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78EB" w:rsidRPr="00B378EB" w:rsidTr="00E653EB">
        <w:trPr>
          <w:jc w:val="center"/>
        </w:trPr>
        <w:tc>
          <w:tcPr>
            <w:tcW w:w="9752" w:type="dxa"/>
            <w:gridSpan w:val="2"/>
          </w:tcPr>
          <w:p w:rsidR="00B378EB" w:rsidRPr="00B378EB" w:rsidRDefault="00B378EB" w:rsidP="00E653EB">
            <w:pPr>
              <w:keepNext/>
            </w:pPr>
          </w:p>
        </w:tc>
      </w:tr>
      <w:tr w:rsidR="00B378EB" w:rsidRPr="00B378EB" w:rsidTr="00E653EB">
        <w:trPr>
          <w:jc w:val="center"/>
        </w:trPr>
        <w:tc>
          <w:tcPr>
            <w:tcW w:w="4876" w:type="dxa"/>
          </w:tcPr>
          <w:p w:rsidR="00B378EB" w:rsidRPr="00B378EB" w:rsidRDefault="00B378EB" w:rsidP="00E653EB">
            <w:pPr>
              <w:pStyle w:val="ColumnHeading"/>
              <w:keepNext/>
            </w:pPr>
            <w:r w:rsidRPr="00B378EB">
              <w:t>Texte proposé par la Commission</w:t>
            </w:r>
          </w:p>
        </w:tc>
        <w:tc>
          <w:tcPr>
            <w:tcW w:w="4876" w:type="dxa"/>
          </w:tcPr>
          <w:p w:rsidR="00B378EB" w:rsidRPr="00B378EB" w:rsidRDefault="00B378EB" w:rsidP="00E653EB">
            <w:pPr>
              <w:pStyle w:val="ColumnHeading"/>
              <w:keepNext/>
            </w:pPr>
            <w:r w:rsidRPr="00B378EB">
              <w:t>Amendement</w:t>
            </w:r>
          </w:p>
        </w:tc>
      </w:tr>
      <w:tr w:rsidR="00B378EB" w:rsidRPr="00B378EB" w:rsidTr="00E653EB">
        <w:trPr>
          <w:jc w:val="center"/>
        </w:trPr>
        <w:tc>
          <w:tcPr>
            <w:tcW w:w="4876" w:type="dxa"/>
          </w:tcPr>
          <w:p w:rsidR="00B378EB" w:rsidRPr="00B378EB" w:rsidRDefault="00B378EB" w:rsidP="00E653EB">
            <w:pPr>
              <w:pStyle w:val="Normal6"/>
            </w:pPr>
            <w:r w:rsidRPr="00B378EB">
              <w:t>(1)</w:t>
            </w:r>
            <w:r w:rsidRPr="00B378EB">
              <w:tab/>
              <w:t>Il convient d</w:t>
            </w:r>
            <w:r w:rsidR="00D76C1F">
              <w:t>’</w:t>
            </w:r>
            <w:r w:rsidRPr="00B378EB">
              <w:t xml:space="preserve">assurer à tout moment la sécurité </w:t>
            </w:r>
            <w:r w:rsidRPr="00B378EB">
              <w:rPr>
                <w:b/>
                <w:i/>
              </w:rPr>
              <w:t>de la navigation</w:t>
            </w:r>
            <w:r w:rsidRPr="00B378EB">
              <w:t xml:space="preserve"> de l</w:t>
            </w:r>
            <w:r w:rsidR="00D76C1F">
              <w:t>’</w:t>
            </w:r>
            <w:r w:rsidRPr="00B378EB">
              <w:t>Union</w:t>
            </w:r>
            <w:r w:rsidRPr="00B378EB">
              <w:rPr>
                <w:b/>
                <w:i/>
              </w:rPr>
              <w:t xml:space="preserve"> et celle</w:t>
            </w:r>
            <w:r w:rsidRPr="00B378EB">
              <w:t xml:space="preserve"> des citoyens qui l</w:t>
            </w:r>
            <w:r w:rsidR="00D76C1F">
              <w:t>’</w:t>
            </w:r>
            <w:r w:rsidRPr="00B378EB">
              <w:t>utilisent, ainsi que la protection de l</w:t>
            </w:r>
            <w:r w:rsidR="00D76C1F">
              <w:t>’</w:t>
            </w:r>
            <w:r w:rsidRPr="00B378EB">
              <w:t>environnement.</w:t>
            </w:r>
          </w:p>
        </w:tc>
        <w:tc>
          <w:tcPr>
            <w:tcW w:w="4876" w:type="dxa"/>
          </w:tcPr>
          <w:p w:rsidR="00B378EB" w:rsidRPr="00B378EB" w:rsidRDefault="00B378EB" w:rsidP="00E653EB">
            <w:pPr>
              <w:pStyle w:val="Normal6"/>
              <w:rPr>
                <w:szCs w:val="24"/>
              </w:rPr>
            </w:pPr>
            <w:r w:rsidRPr="00B378EB">
              <w:t>(1)</w:t>
            </w:r>
            <w:r w:rsidRPr="00B378EB">
              <w:tab/>
              <w:t>Il convient d</w:t>
            </w:r>
            <w:r w:rsidR="00D76C1F">
              <w:t>’</w:t>
            </w:r>
            <w:r w:rsidRPr="00B378EB">
              <w:t xml:space="preserve">assurer à tout moment la sécurité </w:t>
            </w:r>
            <w:r w:rsidRPr="00B378EB">
              <w:rPr>
                <w:b/>
                <w:i/>
              </w:rPr>
              <w:t>du secteur maritime</w:t>
            </w:r>
            <w:r w:rsidRPr="00B378EB">
              <w:t xml:space="preserve"> de l</w:t>
            </w:r>
            <w:r w:rsidR="00D76C1F">
              <w:t>’</w:t>
            </w:r>
            <w:r w:rsidRPr="00B378EB">
              <w:t>Union</w:t>
            </w:r>
            <w:r w:rsidRPr="00B378EB">
              <w:rPr>
                <w:b/>
                <w:i/>
              </w:rPr>
              <w:t>, des gens de mer et</w:t>
            </w:r>
            <w:r w:rsidRPr="00B378EB">
              <w:t xml:space="preserve"> des citoyens qui l</w:t>
            </w:r>
            <w:r w:rsidR="00D76C1F">
              <w:t>’</w:t>
            </w:r>
            <w:r w:rsidRPr="00B378EB">
              <w:t xml:space="preserve">utilisent, </w:t>
            </w:r>
            <w:r w:rsidRPr="00B378EB">
              <w:rPr>
                <w:b/>
                <w:i/>
              </w:rPr>
              <w:t xml:space="preserve">tout en veillant au bien-être des passagers et des équipages, </w:t>
            </w:r>
            <w:r w:rsidRPr="00B378EB">
              <w:t>ainsi que la protection de l</w:t>
            </w:r>
            <w:r w:rsidR="00D76C1F">
              <w:t>’</w:t>
            </w:r>
            <w:r w:rsidRPr="00B378EB">
              <w:t>environnement.</w:t>
            </w:r>
            <w:r w:rsidRPr="00B378EB">
              <w:rPr>
                <w:b/>
                <w:i/>
              </w:rPr>
              <w:t xml:space="preserve"> En outre, il convient à tout moment de garder à l</w:t>
            </w:r>
            <w:r w:rsidR="00D76C1F">
              <w:rPr>
                <w:b/>
                <w:i/>
              </w:rPr>
              <w:t>’</w:t>
            </w:r>
            <w:r w:rsidRPr="00B378EB">
              <w:rPr>
                <w:b/>
                <w:i/>
              </w:rPr>
              <w:t>esprit qu</w:t>
            </w:r>
            <w:r w:rsidR="00D76C1F">
              <w:rPr>
                <w:b/>
                <w:i/>
              </w:rPr>
              <w:t>’</w:t>
            </w:r>
            <w:r w:rsidRPr="00B378EB">
              <w:rPr>
                <w:b/>
                <w:i/>
              </w:rPr>
              <w:t>un grand nombre d</w:t>
            </w:r>
            <w:r w:rsidR="00D76C1F">
              <w:rPr>
                <w:b/>
                <w:i/>
              </w:rPr>
              <w:t>’</w:t>
            </w:r>
            <w:r w:rsidRPr="00B378EB">
              <w:rPr>
                <w:b/>
                <w:i/>
              </w:rPr>
              <w:t>emplois et les communautés côtières sont tributaires de la protection de l</w:t>
            </w:r>
            <w:r w:rsidR="00D76C1F">
              <w:rPr>
                <w:b/>
                <w:i/>
              </w:rPr>
              <w:t>’</w:t>
            </w:r>
            <w:r w:rsidRPr="00B378EB">
              <w:rPr>
                <w:b/>
                <w:i/>
              </w:rPr>
              <w:t>environnement qui sera assurée.</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1 bis (nouveau)</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(1 bis)</w:t>
            </w:r>
            <w:r w:rsidRPr="00B378EB">
              <w:tab/>
            </w:r>
            <w:r w:rsidRPr="00B378EB">
              <w:rPr>
                <w:b/>
                <w:i/>
              </w:rPr>
              <w:t>Il convient de veiller au bien-être des travailleurs du secteur maritime en garantissant des conditions de travail équitables et une protection adéquate des gens de mer.</w:t>
            </w:r>
          </w:p>
        </w:tc>
      </w:tr>
    </w:tbl>
    <w:p w:rsidR="00B378EB" w:rsidRPr="00B378EB" w:rsidRDefault="00B378EB" w:rsidP="009F4ED5">
      <w:pPr>
        <w:pStyle w:val="AmJustTitle"/>
      </w:pPr>
      <w:r w:rsidRPr="00B378EB">
        <w:rPr>
          <w:rStyle w:val="HideTWBExt"/>
        </w:rPr>
        <w:t>&lt;TitreJust&gt;</w:t>
      </w:r>
      <w:r w:rsidRPr="00B378EB">
        <w:t>Justification</w:t>
      </w:r>
      <w:r w:rsidRPr="00B378EB">
        <w:rPr>
          <w:rStyle w:val="HideTWBExt"/>
        </w:rPr>
        <w:t>&lt;/TitreJust&gt;</w:t>
      </w:r>
    </w:p>
    <w:p w:rsidR="00B378EB" w:rsidRPr="00B378EB" w:rsidRDefault="00B378EB" w:rsidP="009F4ED5">
      <w:pPr>
        <w:pStyle w:val="AmJustText"/>
      </w:pPr>
      <w:r w:rsidRPr="00B378EB">
        <w:t>La directive insiste à juste titre sur la sécurité du secteur de la navigation de l</w:t>
      </w:r>
      <w:r w:rsidR="00D76C1F">
        <w:t>’</w:t>
      </w:r>
      <w:r w:rsidRPr="00B378EB">
        <w:t>Union et sur la protection de l</w:t>
      </w:r>
      <w:r w:rsidR="00D76C1F">
        <w:t>’</w:t>
      </w:r>
      <w:r w:rsidRPr="00B378EB">
        <w:t>environnement. Cependant, il pourrait être bénéfique de reconnaître de manière plus explicite l</w:t>
      </w:r>
      <w:r w:rsidR="00D76C1F">
        <w:t>’</w:t>
      </w:r>
      <w:r w:rsidRPr="00B378EB">
        <w:t>importance de conditions de travail équitables ainsi que du bien-être des gens de mer, qui sont des aspects essentiels des opérations maritimes.</w:t>
      </w:r>
    </w:p>
    <w:p w:rsidR="00B378EB" w:rsidRPr="00B378EB" w:rsidRDefault="00B378EB" w:rsidP="009F4ED5">
      <w:r w:rsidRPr="00B378EB">
        <w:rPr>
          <w:rStyle w:val="HideTWBExt"/>
        </w:rPr>
        <w:t>&lt;/Amend&gt;</w:t>
      </w:r>
    </w:p>
    <w:p w:rsidR="00B378EB" w:rsidRPr="00B378EB" w:rsidRDefault="00B378EB" w:rsidP="009F4ED5">
      <w:pPr>
        <w:pStyle w:val="AMNumberTabs0"/>
        <w:keepNext/>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3</w:t>
      </w:r>
      <w:r w:rsidRPr="00B378EB">
        <w:rPr>
          <w:rStyle w:val="HideTWBExt"/>
          <w:b w:val="0"/>
        </w:rPr>
        <w:t>&lt;/NumAm&gt;</w:t>
      </w:r>
    </w:p>
    <w:p w:rsidR="00B378EB" w:rsidRPr="00B378EB" w:rsidRDefault="00B378EB" w:rsidP="009F4ED5">
      <w:pPr>
        <w:pStyle w:val="NormalBold12b"/>
        <w:keepNext/>
      </w:pPr>
      <w:r w:rsidRPr="00B378EB">
        <w:rPr>
          <w:rStyle w:val="HideTWBExt"/>
          <w:b w:val="0"/>
        </w:rPr>
        <w:t>&lt;DocAmend&gt;</w:t>
      </w:r>
      <w:r w:rsidRPr="00B378EB">
        <w:t>Proposition de directive</w:t>
      </w:r>
      <w:r w:rsidRPr="00B378EB">
        <w:rPr>
          <w:rStyle w:val="HideTWBExt"/>
          <w:b w:val="0"/>
        </w:rPr>
        <w:t>&lt;/DocAmend&gt;</w:t>
      </w:r>
    </w:p>
    <w:p w:rsidR="00B378EB" w:rsidRPr="00B378EB" w:rsidRDefault="00B378EB" w:rsidP="009F4ED5">
      <w:pPr>
        <w:pStyle w:val="NormalBold"/>
      </w:pPr>
      <w:r w:rsidRPr="00B378EB">
        <w:rPr>
          <w:rStyle w:val="HideTWBExt"/>
          <w:b w:val="0"/>
        </w:rPr>
        <w:t>&lt;Article&gt;</w:t>
      </w:r>
      <w:r w:rsidRPr="00B378EB">
        <w:t>Considérant 2</w:t>
      </w:r>
      <w:r w:rsidRPr="00B378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78EB" w:rsidRPr="00B378EB" w:rsidTr="00E653EB">
        <w:trPr>
          <w:jc w:val="center"/>
        </w:trPr>
        <w:tc>
          <w:tcPr>
            <w:tcW w:w="9752" w:type="dxa"/>
            <w:gridSpan w:val="2"/>
          </w:tcPr>
          <w:p w:rsidR="00B378EB" w:rsidRPr="00B378EB" w:rsidRDefault="00B378EB" w:rsidP="00E653EB">
            <w:pPr>
              <w:keepNext/>
            </w:pPr>
          </w:p>
        </w:tc>
      </w:tr>
      <w:tr w:rsidR="00B378EB" w:rsidRPr="00B378EB" w:rsidTr="00E653EB">
        <w:trPr>
          <w:jc w:val="center"/>
        </w:trPr>
        <w:tc>
          <w:tcPr>
            <w:tcW w:w="4876" w:type="dxa"/>
          </w:tcPr>
          <w:p w:rsidR="00B378EB" w:rsidRPr="00B378EB" w:rsidRDefault="00B378EB" w:rsidP="00E653EB">
            <w:pPr>
              <w:pStyle w:val="ColumnHeading"/>
              <w:keepNext/>
            </w:pPr>
            <w:r w:rsidRPr="00B378EB">
              <w:t>Texte proposé par la Commission</w:t>
            </w:r>
          </w:p>
        </w:tc>
        <w:tc>
          <w:tcPr>
            <w:tcW w:w="4876" w:type="dxa"/>
          </w:tcPr>
          <w:p w:rsidR="00B378EB" w:rsidRPr="00B378EB" w:rsidRDefault="00B378EB" w:rsidP="00E653EB">
            <w:pPr>
              <w:pStyle w:val="ColumnHeading"/>
              <w:keepNext/>
            </w:pPr>
            <w:r w:rsidRPr="00B378EB">
              <w:t>Amendement</w:t>
            </w:r>
          </w:p>
        </w:tc>
      </w:tr>
      <w:tr w:rsidR="00B378EB" w:rsidRPr="00B378EB" w:rsidTr="00E653EB">
        <w:trPr>
          <w:jc w:val="center"/>
        </w:trPr>
        <w:tc>
          <w:tcPr>
            <w:tcW w:w="4876" w:type="dxa"/>
          </w:tcPr>
          <w:p w:rsidR="00B378EB" w:rsidRPr="00B378EB" w:rsidRDefault="00B378EB" w:rsidP="00E653EB">
            <w:pPr>
              <w:pStyle w:val="Normal6"/>
            </w:pPr>
            <w:r w:rsidRPr="00B378EB">
              <w:t>(2)</w:t>
            </w:r>
            <w:r w:rsidRPr="00B378EB">
              <w:tab/>
              <w:t>En vertu des dispositions de la convention des Nations unies sur le droit de la mer de 1982 (UNCLOS) et des conventions dont l</w:t>
            </w:r>
            <w:r w:rsidR="00D76C1F">
              <w:t>’</w:t>
            </w:r>
            <w:r w:rsidRPr="00B378EB">
              <w:t>OMI est dépositaire, il appartient aux États parties à ces instruments de promulguer les dispositions législatives et réglementaires et de prendre toutes les autres mesures nécessaires pour donner pleinement et entièrement effet à ces instruments de manière que, du point de vue de la sauvegarde de la vie en mer</w:t>
            </w:r>
            <w:r w:rsidRPr="00B378EB">
              <w:rPr>
                <w:b/>
                <w:i/>
              </w:rPr>
              <w:t xml:space="preserve"> et</w:t>
            </w:r>
            <w:r w:rsidRPr="00B378EB">
              <w:t xml:space="preserve"> de la protection du milieu marin, les navires soient capables d</w:t>
            </w:r>
            <w:r w:rsidR="00D76C1F">
              <w:t>’</w:t>
            </w:r>
            <w:r w:rsidRPr="00B378EB">
              <w:t>assurer le service auquel ils sont destinés.</w:t>
            </w:r>
          </w:p>
        </w:tc>
        <w:tc>
          <w:tcPr>
            <w:tcW w:w="4876" w:type="dxa"/>
          </w:tcPr>
          <w:p w:rsidR="00B378EB" w:rsidRPr="00B378EB" w:rsidRDefault="00B378EB" w:rsidP="00E653EB">
            <w:pPr>
              <w:pStyle w:val="Normal6"/>
              <w:rPr>
                <w:szCs w:val="24"/>
              </w:rPr>
            </w:pPr>
            <w:r w:rsidRPr="00B378EB">
              <w:t>(2)</w:t>
            </w:r>
            <w:r w:rsidRPr="00B378EB">
              <w:tab/>
              <w:t>En vertu des dispositions de la convention des Nations unies sur le droit de la mer de 1982 (UNCLOS) et des conventions dont l</w:t>
            </w:r>
            <w:r w:rsidR="00D76C1F">
              <w:t>’</w:t>
            </w:r>
            <w:r w:rsidRPr="00B378EB">
              <w:t>OMI est dépositaire, il appartient aux États parties à ces instruments de promulguer les dispositions législatives et réglementaires et de prendre toutes les autres mesures nécessaires pour donner pleinement et entièrement effet à ces instruments de manière que, du point de vue de la sauvegarde de la vie en mer</w:t>
            </w:r>
            <w:r w:rsidRPr="00B378EB">
              <w:rPr>
                <w:b/>
                <w:i/>
              </w:rPr>
              <w:t>,</w:t>
            </w:r>
            <w:r w:rsidRPr="00B378EB">
              <w:t xml:space="preserve"> de la protection du milieu marin</w:t>
            </w:r>
            <w:r w:rsidRPr="00B378EB">
              <w:rPr>
                <w:b/>
                <w:i/>
              </w:rPr>
              <w:t xml:space="preserve"> et de ceux dont les moyens de subsistance dépendent de ce milieu</w:t>
            </w:r>
            <w:r w:rsidRPr="00B378EB">
              <w:t>, les navires soient capables d</w:t>
            </w:r>
            <w:r w:rsidR="00D76C1F">
              <w:t>’</w:t>
            </w:r>
            <w:r w:rsidRPr="00B378EB">
              <w:t>assurer le service auquel ils sont destinés.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4</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2 bis (nouveau)</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(2 bis)</w:t>
            </w:r>
            <w:r w:rsidRPr="00B378EB">
              <w:tab/>
            </w:r>
            <w:r w:rsidRPr="00B378EB">
              <w:rPr>
                <w:b/>
                <w:i/>
              </w:rPr>
              <w:t>Les situations d</w:t>
            </w:r>
            <w:r w:rsidR="00D76C1F">
              <w:rPr>
                <w:b/>
                <w:i/>
              </w:rPr>
              <w:t>’</w:t>
            </w:r>
            <w:r w:rsidRPr="00B378EB">
              <w:rPr>
                <w:b/>
                <w:i/>
              </w:rPr>
              <w:t>insécurité en mer sont susceptibles d</w:t>
            </w:r>
            <w:r w:rsidR="00D76C1F">
              <w:rPr>
                <w:b/>
                <w:i/>
              </w:rPr>
              <w:t>’</w:t>
            </w:r>
            <w:r w:rsidRPr="00B378EB">
              <w:rPr>
                <w:b/>
                <w:i/>
              </w:rPr>
              <w:t>entraîner des accidents et des catastrophes maritimes qui peuvent avoir des conséquences sans précédent sur les écosystèmes marins (vulnérables).</w:t>
            </w:r>
            <w:r w:rsidRPr="00B378EB">
              <w:t xml:space="preserve"> </w:t>
            </w:r>
            <w:r w:rsidRPr="00B378EB">
              <w:rPr>
                <w:b/>
                <w:i/>
              </w:rPr>
              <w:t>Les mers et les océans jouent un rôle essentiel dans la régulation du climat de la planète et constituent un énorme puits de carbone, et il est donc essentiel de protéger ces écosystèmes.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5</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5</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(5)</w:t>
            </w:r>
            <w:r w:rsidRPr="00B378EB">
              <w:tab/>
              <w:t>Au niveau international, la fonction d</w:t>
            </w:r>
            <w:r w:rsidR="00D76C1F">
              <w:t>’</w:t>
            </w:r>
            <w:r w:rsidRPr="00B378EB">
              <w:t>enquête sur les accidents de mer relève de la responsabilité de l</w:t>
            </w:r>
            <w:r w:rsidR="00D76C1F">
              <w:t>’</w:t>
            </w:r>
            <w:r w:rsidRPr="00B378EB">
              <w:t xml:space="preserve">État du pavillon, </w:t>
            </w:r>
            <w:r w:rsidRPr="00B378EB">
              <w:rPr>
                <w:b/>
                <w:i/>
              </w:rPr>
              <w:t>tandis qu</w:t>
            </w:r>
            <w:r w:rsidR="00D76C1F">
              <w:rPr>
                <w:b/>
                <w:i/>
              </w:rPr>
              <w:t>’</w:t>
            </w:r>
            <w:r w:rsidRPr="00B378EB">
              <w:rPr>
                <w:b/>
                <w:i/>
              </w:rPr>
              <w:t>au</w:t>
            </w:r>
            <w:r w:rsidRPr="00B378EB">
              <w:t xml:space="preserve"> niveau de l</w:t>
            </w:r>
            <w:r w:rsidR="00D76C1F">
              <w:t>’</w:t>
            </w:r>
            <w:r w:rsidRPr="00B378EB">
              <w:t xml:space="preserve">Union, </w:t>
            </w:r>
            <w:r w:rsidRPr="00B378EB">
              <w:rPr>
                <w:b/>
                <w:i/>
              </w:rPr>
              <w:t>elle</w:t>
            </w:r>
            <w:r w:rsidRPr="00B378EB">
              <w:t xml:space="preserve"> est rendue indépendante et réglementée par la directive 2009/18/CE du Parlement européen et du Conseil</w:t>
            </w:r>
            <w:r w:rsidRPr="00B378EB">
              <w:rPr>
                <w:vertAlign w:val="superscript"/>
              </w:rPr>
              <w:t>29</w:t>
            </w:r>
            <w:r w:rsidRPr="00B378EB">
              <w:t>. La présente directive ne devrait pas avoir d</w:t>
            </w:r>
            <w:r w:rsidR="00D76C1F">
              <w:t>’</w:t>
            </w:r>
            <w:r w:rsidRPr="00B378EB">
              <w:t>incidence sur la directive 2009/18/CE.</w:t>
            </w:r>
          </w:p>
        </w:tc>
        <w:tc>
          <w:tcPr>
            <w:tcW w:w="4876" w:type="dxa"/>
          </w:tcPr>
          <w:p w:rsidR="00B378EB" w:rsidRPr="00B378EB" w:rsidRDefault="00B378EB" w:rsidP="00E653EB">
            <w:pPr>
              <w:pStyle w:val="Normal6a"/>
            </w:pPr>
            <w:r w:rsidRPr="00B378EB">
              <w:t>(5)</w:t>
            </w:r>
            <w:r w:rsidRPr="00B378EB">
              <w:tab/>
              <w:t>Au niveau international, la fonction d</w:t>
            </w:r>
            <w:r w:rsidR="00D76C1F">
              <w:t>’</w:t>
            </w:r>
            <w:r w:rsidRPr="00B378EB">
              <w:t>enquête sur les accidents de mer relève de la responsabilité de l</w:t>
            </w:r>
            <w:r w:rsidR="00D76C1F">
              <w:t>’</w:t>
            </w:r>
            <w:r w:rsidRPr="00B378EB">
              <w:t>État du pavillon</w:t>
            </w:r>
            <w:r w:rsidRPr="00B378EB">
              <w:rPr>
                <w:b/>
                <w:i/>
              </w:rPr>
              <w:t>;</w:t>
            </w:r>
            <w:r w:rsidRPr="00B378EB">
              <w:t xml:space="preserve"> </w:t>
            </w:r>
            <w:r w:rsidRPr="00B378EB">
              <w:rPr>
                <w:b/>
                <w:i/>
              </w:rPr>
              <w:t>dans ces conditions, il importe tout particulièrement de veiller à ce que les enquêtes sur les accidents érigent la responsabilité et la formation en priorités afin de prévenir les accidents futurs.</w:t>
            </w:r>
            <w:r w:rsidRPr="00B378EB">
              <w:t xml:space="preserve"> </w:t>
            </w:r>
            <w:r w:rsidRPr="00B378EB">
              <w:rPr>
                <w:b/>
                <w:i/>
              </w:rPr>
              <w:t>En revanche, au</w:t>
            </w:r>
            <w:r w:rsidRPr="00B378EB">
              <w:t xml:space="preserve"> niveau de l</w:t>
            </w:r>
            <w:r w:rsidR="00D76C1F">
              <w:t>’</w:t>
            </w:r>
            <w:r w:rsidRPr="00B378EB">
              <w:t xml:space="preserve">Union, </w:t>
            </w:r>
            <w:r w:rsidRPr="00B378EB">
              <w:rPr>
                <w:b/>
                <w:i/>
              </w:rPr>
              <w:t>cette fonction</w:t>
            </w:r>
            <w:r w:rsidRPr="00B378EB">
              <w:t xml:space="preserve"> est rendue indépendante et réglementée par la directive 2009/18/CE du Parlement européen et du Conseil</w:t>
            </w:r>
            <w:r w:rsidRPr="00B378EB">
              <w:rPr>
                <w:vertAlign w:val="superscript"/>
              </w:rPr>
              <w:t>29</w:t>
            </w:r>
            <w:r w:rsidRPr="00B378EB">
              <w:t>. La présente directive ne devrait pas avoir d</w:t>
            </w:r>
            <w:r w:rsidR="00D76C1F">
              <w:t>’</w:t>
            </w:r>
            <w:r w:rsidRPr="00B378EB">
              <w:t>incidence sur la directive 2009/18/CE.</w:t>
            </w:r>
          </w:p>
        </w:tc>
      </w:tr>
      <w:tr w:rsidR="00B378EB" w:rsidRPr="00B378EB" w:rsidTr="00E653EB">
        <w:trPr>
          <w:jc w:val="center"/>
        </w:trPr>
        <w:tc>
          <w:tcPr>
            <w:tcW w:w="4876" w:type="dxa"/>
          </w:tcPr>
          <w:p w:rsidR="00B378EB" w:rsidRPr="00B378EB" w:rsidRDefault="00B378EB" w:rsidP="00E653EB">
            <w:pPr>
              <w:pStyle w:val="Normal6a"/>
            </w:pPr>
            <w:r w:rsidRPr="00B378EB">
              <w:rPr>
                <w:b/>
                <w:i/>
              </w:rPr>
              <w:t>_________________</w:t>
            </w:r>
          </w:p>
        </w:tc>
        <w:tc>
          <w:tcPr>
            <w:tcW w:w="4876" w:type="dxa"/>
          </w:tcPr>
          <w:p w:rsidR="00B378EB" w:rsidRPr="00B378EB" w:rsidRDefault="00B378EB" w:rsidP="00E653EB">
            <w:pPr>
              <w:pStyle w:val="Normal6a"/>
            </w:pPr>
            <w:r w:rsidRPr="00B378EB">
              <w:rPr>
                <w:b/>
                <w:i/>
              </w:rPr>
              <w:t>_________________</w:t>
            </w:r>
          </w:p>
        </w:tc>
      </w:tr>
      <w:tr w:rsidR="00B378EB" w:rsidRPr="00B378EB" w:rsidTr="00E653EB">
        <w:trPr>
          <w:jc w:val="center"/>
        </w:trPr>
        <w:tc>
          <w:tcPr>
            <w:tcW w:w="4876" w:type="dxa"/>
          </w:tcPr>
          <w:p w:rsidR="00B378EB" w:rsidRPr="00B378EB" w:rsidRDefault="00B378EB" w:rsidP="00E653EB">
            <w:pPr>
              <w:pStyle w:val="Normal6a"/>
            </w:pPr>
            <w:r w:rsidRPr="00B378EB">
              <w:rPr>
                <w:vertAlign w:val="superscript"/>
              </w:rPr>
              <w:t>29</w:t>
            </w:r>
            <w:r w:rsidRPr="00B378EB">
              <w:t xml:space="preserve"> Directive 2009/18/CE du Parlement européen et du Conseil du 23 avril 2009 établissant les principes fondamentaux régissant les enquêtes sur les accidents dans le secteur des transports maritimes et modifiant la directive 1999/35/CE du Conseil et la directive 2002/59/CE du Parlement européen et du Conseil (JO L 131 du 28.5.2009, p. 114).</w:t>
            </w:r>
          </w:p>
        </w:tc>
        <w:tc>
          <w:tcPr>
            <w:tcW w:w="4876" w:type="dxa"/>
          </w:tcPr>
          <w:p w:rsidR="00B378EB" w:rsidRPr="00B378EB" w:rsidRDefault="00B378EB" w:rsidP="00E653EB">
            <w:pPr>
              <w:pStyle w:val="Normal6a"/>
            </w:pPr>
            <w:r w:rsidRPr="00B378EB">
              <w:rPr>
                <w:vertAlign w:val="superscript"/>
              </w:rPr>
              <w:t>29</w:t>
            </w:r>
            <w:r w:rsidRPr="00B378EB">
              <w:t xml:space="preserve"> Directive 2009/18/CE du Parlement européen et du Conseil du 23 avril 2009 établissant les principes fondamentaux régissant les enquêtes sur les accidents dans le secteur des transports maritimes et modifiant la directive 1999/35/CE du Conseil et la directive 2002/59/CE du Parlement européen et du Conseil (JO L 131 du 28.5.2009, p. 114).</w:t>
            </w:r>
          </w:p>
        </w:tc>
      </w:tr>
    </w:tbl>
    <w:p w:rsidR="00B378EB" w:rsidRPr="00B378EB" w:rsidRDefault="00B378EB" w:rsidP="009F4ED5">
      <w:pPr>
        <w:pStyle w:val="AmJustTitle"/>
      </w:pPr>
      <w:r w:rsidRPr="00B378EB">
        <w:rPr>
          <w:rStyle w:val="HideTWBExt"/>
        </w:rPr>
        <w:t>&lt;TitreJust&gt;</w:t>
      </w:r>
      <w:r w:rsidRPr="00B378EB">
        <w:t>Justification</w:t>
      </w:r>
      <w:r w:rsidRPr="00B378EB">
        <w:rPr>
          <w:rStyle w:val="HideTWBExt"/>
        </w:rPr>
        <w:t>&lt;/TitreJust&gt;</w:t>
      </w:r>
    </w:p>
    <w:p w:rsidR="00B378EB" w:rsidRPr="00B378EB" w:rsidRDefault="00B378EB" w:rsidP="009F4ED5">
      <w:pPr>
        <w:pStyle w:val="AmJustText"/>
      </w:pPr>
      <w:r w:rsidRPr="00B378EB">
        <w:t>La directive maintient l</w:t>
      </w:r>
      <w:r w:rsidR="00D76C1F">
        <w:t>’</w:t>
      </w:r>
      <w:r w:rsidRPr="00B378EB">
        <w:t>indépendance des enquêtes sur les accidents maritimes, ce qui est essentiel. Néanmoins, elle devrait également insister sur les aspects importants que sont, dans ces enquêtes, l</w:t>
      </w:r>
      <w:r w:rsidR="00D76C1F">
        <w:t>’</w:t>
      </w:r>
      <w:r w:rsidRPr="00B378EB">
        <w:t>établissement de rapports approfondis, la transparence et l</w:t>
      </w:r>
      <w:r w:rsidR="00D76C1F">
        <w:t>’</w:t>
      </w:r>
      <w:r w:rsidRPr="00B378EB">
        <w:t>obligation de rendre des comptes, afin de veiller à ce que les enseignements qui en sont tirés soient traduits dans la pratique pour prévenir des accidents à l</w:t>
      </w:r>
      <w:r w:rsidR="00D76C1F">
        <w:t>’</w:t>
      </w:r>
      <w:r w:rsidRPr="00B378EB">
        <w:t>avenir.</w:t>
      </w:r>
    </w:p>
    <w:p w:rsidR="00B378EB" w:rsidRPr="00B378EB" w:rsidRDefault="00B378EB" w:rsidP="009F4ED5">
      <w:r w:rsidRPr="00B378EB">
        <w:rPr>
          <w:rStyle w:val="HideTWBExt"/>
        </w:rPr>
        <w:t>&lt;/Amend&gt;</w:t>
      </w:r>
    </w:p>
    <w:p w:rsidR="00B378EB" w:rsidRPr="00B378EB" w:rsidRDefault="00B378EB" w:rsidP="009F4ED5">
      <w:pPr>
        <w:pStyle w:val="AMNumberTabs0"/>
        <w:keepNext/>
      </w:pPr>
      <w:r w:rsidRPr="00B378EB">
        <w:rPr>
          <w:rStyle w:val="HideTWBExt"/>
          <w:b w:val="0"/>
        </w:rPr>
        <w:t>&lt;Amend&gt;</w:t>
      </w:r>
      <w:r w:rsidRPr="00B378EB">
        <w:t>Amendement</w:t>
      </w:r>
      <w:r w:rsidRPr="00B378EB">
        <w:tab/>
      </w:r>
      <w:r w:rsidRPr="00B378EB">
        <w:tab/>
      </w:r>
      <w:r w:rsidRPr="00B378EB">
        <w:rPr>
          <w:rStyle w:val="HideTWBExt"/>
          <w:b w:val="0"/>
        </w:rPr>
        <w:t>&lt;NumAm&gt;</w:t>
      </w:r>
      <w:r w:rsidRPr="00B378EB">
        <w:t>6</w:t>
      </w:r>
      <w:r w:rsidRPr="00B378EB">
        <w:rPr>
          <w:rStyle w:val="HideTWBExt"/>
          <w:b w:val="0"/>
        </w:rPr>
        <w:t>&lt;/NumAm&gt;</w:t>
      </w:r>
    </w:p>
    <w:p w:rsidR="00B378EB" w:rsidRPr="00B378EB" w:rsidRDefault="00B378EB" w:rsidP="009F4ED5">
      <w:pPr>
        <w:pStyle w:val="NormalBold12b"/>
        <w:keepNext/>
      </w:pPr>
      <w:r w:rsidRPr="00B378EB">
        <w:rPr>
          <w:rStyle w:val="HideTWBExt"/>
          <w:b w:val="0"/>
        </w:rPr>
        <w:t>&lt;DocAmend&gt;</w:t>
      </w:r>
      <w:r w:rsidRPr="00B378EB">
        <w:t>Proposition de directive</w:t>
      </w:r>
      <w:r w:rsidRPr="00B378EB">
        <w:rPr>
          <w:rStyle w:val="HideTWBExt"/>
          <w:b w:val="0"/>
        </w:rPr>
        <w:t>&lt;/DocAmend&gt;</w:t>
      </w:r>
    </w:p>
    <w:p w:rsidR="00B378EB" w:rsidRPr="00B378EB" w:rsidRDefault="00B378EB" w:rsidP="009F4ED5">
      <w:pPr>
        <w:pStyle w:val="NormalBold"/>
      </w:pPr>
      <w:r w:rsidRPr="00B378EB">
        <w:rPr>
          <w:rStyle w:val="HideTWBExt"/>
          <w:b w:val="0"/>
        </w:rPr>
        <w:t>&lt;Article&gt;</w:t>
      </w:r>
      <w:r w:rsidRPr="00B378EB">
        <w:t>Considérant 7</w:t>
      </w:r>
      <w:r w:rsidRPr="00B378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78EB" w:rsidRPr="00B378EB" w:rsidTr="00E653EB">
        <w:trPr>
          <w:jc w:val="center"/>
        </w:trPr>
        <w:tc>
          <w:tcPr>
            <w:tcW w:w="9752" w:type="dxa"/>
            <w:gridSpan w:val="2"/>
          </w:tcPr>
          <w:p w:rsidR="00B378EB" w:rsidRPr="00B378EB" w:rsidRDefault="00B378EB" w:rsidP="00E653EB">
            <w:pPr>
              <w:keepNext/>
            </w:pPr>
          </w:p>
        </w:tc>
      </w:tr>
      <w:tr w:rsidR="00B378EB" w:rsidRPr="00B378EB" w:rsidTr="00E653EB">
        <w:trPr>
          <w:jc w:val="center"/>
        </w:trPr>
        <w:tc>
          <w:tcPr>
            <w:tcW w:w="4876" w:type="dxa"/>
          </w:tcPr>
          <w:p w:rsidR="00B378EB" w:rsidRPr="00B378EB" w:rsidRDefault="00B378EB" w:rsidP="00E653EB">
            <w:pPr>
              <w:pStyle w:val="ColumnHeading"/>
              <w:keepNext/>
            </w:pPr>
            <w:r w:rsidRPr="00B378EB">
              <w:t>Texte proposé par la Commission</w:t>
            </w:r>
          </w:p>
        </w:tc>
        <w:tc>
          <w:tcPr>
            <w:tcW w:w="4876" w:type="dxa"/>
          </w:tcPr>
          <w:p w:rsidR="00B378EB" w:rsidRPr="00B378EB" w:rsidRDefault="00B378EB" w:rsidP="00E653EB">
            <w:pPr>
              <w:pStyle w:val="ColumnHeading"/>
              <w:keepNext/>
            </w:pPr>
            <w:r w:rsidRPr="00B378EB">
              <w:t>Amendement</w:t>
            </w:r>
          </w:p>
        </w:tc>
      </w:tr>
      <w:tr w:rsidR="00B378EB" w:rsidRPr="00B378EB" w:rsidTr="00E653EB">
        <w:trPr>
          <w:jc w:val="center"/>
        </w:trPr>
        <w:tc>
          <w:tcPr>
            <w:tcW w:w="4876" w:type="dxa"/>
          </w:tcPr>
          <w:p w:rsidR="00B378EB" w:rsidRPr="00B378EB" w:rsidRDefault="00B378EB" w:rsidP="00E653EB">
            <w:pPr>
              <w:pStyle w:val="Normal6"/>
            </w:pPr>
            <w:r w:rsidRPr="00B378EB">
              <w:t>(7)</w:t>
            </w:r>
            <w:r w:rsidRPr="00B378EB">
              <w:tab/>
              <w:t>Les administrations maritimes des États membres doivent pouvoir disposer, pour mettre en œuvre leurs obligations en tant qu</w:t>
            </w:r>
            <w:r w:rsidR="00D76C1F">
              <w:t>’</w:t>
            </w:r>
            <w:r w:rsidRPr="00B378EB">
              <w:t>État du pavillon, de ressources suffisantes, y compris la capacité de prise de décision technique, proportionnées à la taille et au type de leur flotte et basées sur les prescriptions de l</w:t>
            </w:r>
            <w:r w:rsidR="00D76C1F">
              <w:t>’</w:t>
            </w:r>
            <w:r w:rsidRPr="00B378EB">
              <w:t>OMI. Afin d</w:t>
            </w:r>
            <w:r w:rsidR="00D76C1F">
              <w:t>’</w:t>
            </w:r>
            <w:r w:rsidRPr="00B378EB">
              <w:t>améliorer la performance qualitative globale des navires battant pavillon d</w:t>
            </w:r>
            <w:r w:rsidR="00D76C1F">
              <w:t>’</w:t>
            </w:r>
            <w:r w:rsidRPr="00B378EB">
              <w:t>un État membre, il est également nécessaire d</w:t>
            </w:r>
            <w:r w:rsidR="00D76C1F">
              <w:t>’</w:t>
            </w:r>
            <w:r w:rsidRPr="00B378EB">
              <w:t>harmoniser la surveillance stricte et approfondie, y compris en matière d</w:t>
            </w:r>
            <w:r w:rsidR="00D76C1F">
              <w:t>’</w:t>
            </w:r>
            <w:r w:rsidRPr="00B378EB">
              <w:t>élaboration des règles et de revue de la conception, des organismes agréés exécutant les obligations de l</w:t>
            </w:r>
            <w:r w:rsidR="00D76C1F">
              <w:t>’</w:t>
            </w:r>
            <w:r w:rsidRPr="00B378EB">
              <w:t>État du pavillon pour le compte des États membres.</w:t>
            </w:r>
          </w:p>
        </w:tc>
        <w:tc>
          <w:tcPr>
            <w:tcW w:w="4876" w:type="dxa"/>
          </w:tcPr>
          <w:p w:rsidR="00B378EB" w:rsidRPr="00B378EB" w:rsidRDefault="00B378EB" w:rsidP="00E653EB">
            <w:pPr>
              <w:pStyle w:val="Normal6"/>
              <w:rPr>
                <w:szCs w:val="24"/>
              </w:rPr>
            </w:pPr>
            <w:r w:rsidRPr="00B378EB">
              <w:t>(7)</w:t>
            </w:r>
            <w:r w:rsidRPr="00B378EB">
              <w:tab/>
              <w:t>Les administrations maritimes des États membres doivent pouvoir disposer, pour mettre en œuvre leurs obligations en tant qu</w:t>
            </w:r>
            <w:r w:rsidR="00D76C1F">
              <w:t>’</w:t>
            </w:r>
            <w:r w:rsidRPr="00B378EB">
              <w:t>État du pavillon, de ressources suffisantes, y compris la capacité de prise de décision technique, proportionnées à la taille et au type de leur flotte et basées sur les prescriptions de l</w:t>
            </w:r>
            <w:r w:rsidR="00D76C1F">
              <w:t>’</w:t>
            </w:r>
            <w:r w:rsidRPr="00B378EB">
              <w:t>OMI.</w:t>
            </w:r>
            <w:r w:rsidRPr="00B378EB">
              <w:rPr>
                <w:b/>
                <w:i/>
              </w:rPr>
              <w:t xml:space="preserve"> Il convient de tenir pleinement compte des administrations aux niveaux infranationaux ayant des compétences dans le secteur de la pêche, conformément à l</w:t>
            </w:r>
            <w:r w:rsidR="00D76C1F">
              <w:rPr>
                <w:b/>
                <w:i/>
              </w:rPr>
              <w:t>’</w:t>
            </w:r>
            <w:r w:rsidRPr="00B378EB">
              <w:rPr>
                <w:b/>
                <w:i/>
              </w:rPr>
              <w:t>ordre juridique de chaque État membre.</w:t>
            </w:r>
            <w:r w:rsidRPr="00B378EB">
              <w:t xml:space="preserve"> Afin d</w:t>
            </w:r>
            <w:r w:rsidR="00D76C1F">
              <w:t>’</w:t>
            </w:r>
            <w:r w:rsidRPr="00B378EB">
              <w:t>améliorer la performance qualitative globale des navires battant pavillon d</w:t>
            </w:r>
            <w:r w:rsidR="00D76C1F">
              <w:t>’</w:t>
            </w:r>
            <w:r w:rsidRPr="00B378EB">
              <w:t>un État membre, il est également nécessaire d</w:t>
            </w:r>
            <w:r w:rsidR="00D76C1F">
              <w:t>’</w:t>
            </w:r>
            <w:r w:rsidRPr="00B378EB">
              <w:t>harmoniser la surveillance stricte et approfondie, y compris en matière d</w:t>
            </w:r>
            <w:r w:rsidR="00D76C1F">
              <w:t>’</w:t>
            </w:r>
            <w:r w:rsidRPr="00B378EB">
              <w:t>élaboration des règles et de revue de la conception, des organismes agréés exécutant les obligations de l</w:t>
            </w:r>
            <w:r w:rsidR="00D76C1F">
              <w:t>’</w:t>
            </w:r>
            <w:r w:rsidRPr="00B378EB">
              <w:t>État du pavillon pour le compte des États membres.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7</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8</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(8)</w:t>
            </w:r>
            <w:r w:rsidRPr="00B378EB">
              <w:tab/>
              <w:t>Il convient d</w:t>
            </w:r>
            <w:r w:rsidR="00D76C1F">
              <w:t>’</w:t>
            </w:r>
            <w:r w:rsidRPr="00B378EB">
              <w:t xml:space="preserve">établir </w:t>
            </w:r>
            <w:r w:rsidRPr="00B378EB">
              <w:rPr>
                <w:b/>
                <w:i/>
              </w:rPr>
              <w:t>les</w:t>
            </w:r>
            <w:r w:rsidRPr="00B378EB">
              <w:t xml:space="preserve"> critères minimaux et </w:t>
            </w:r>
            <w:r w:rsidRPr="00B378EB">
              <w:rPr>
                <w:b/>
                <w:i/>
              </w:rPr>
              <w:t>les</w:t>
            </w:r>
            <w:r w:rsidRPr="00B378EB">
              <w:t xml:space="preserve"> objectifs d</w:t>
            </w:r>
            <w:r w:rsidR="00D76C1F">
              <w:t>’</w:t>
            </w:r>
            <w:r w:rsidRPr="00B378EB">
              <w:t>inspection liés à ces ressources sur la base de l</w:t>
            </w:r>
            <w:r w:rsidR="00D76C1F">
              <w:t>’</w:t>
            </w:r>
            <w:r w:rsidRPr="00B378EB">
              <w:t>expérience pratique des États membres, y compris le recours à des inspecteurs non exclusivement employés par une autorité compétente, au moyen de mesures d</w:t>
            </w:r>
            <w:r w:rsidR="00D76C1F">
              <w:t>’</w:t>
            </w:r>
            <w:r w:rsidRPr="00B378EB">
              <w:t>exécution.</w:t>
            </w:r>
          </w:p>
        </w:tc>
        <w:tc>
          <w:tcPr>
            <w:tcW w:w="4876" w:type="dxa"/>
          </w:tcPr>
          <w:p w:rsidR="00B378EB" w:rsidRPr="00B378EB" w:rsidRDefault="00B378EB" w:rsidP="00E653EB">
            <w:pPr>
              <w:pStyle w:val="Normal6a"/>
            </w:pPr>
            <w:r w:rsidRPr="00B378EB">
              <w:t>(8)</w:t>
            </w:r>
            <w:r w:rsidRPr="00B378EB">
              <w:tab/>
              <w:t>Il convient d</w:t>
            </w:r>
            <w:r w:rsidR="00D76C1F">
              <w:t>’</w:t>
            </w:r>
            <w:r w:rsidRPr="00B378EB">
              <w:t xml:space="preserve">établir </w:t>
            </w:r>
            <w:r w:rsidRPr="00B378EB">
              <w:rPr>
                <w:b/>
                <w:i/>
              </w:rPr>
              <w:t>des</w:t>
            </w:r>
            <w:r w:rsidRPr="00B378EB">
              <w:t xml:space="preserve"> critères minimaux et </w:t>
            </w:r>
            <w:r w:rsidRPr="00B378EB">
              <w:rPr>
                <w:b/>
                <w:i/>
              </w:rPr>
              <w:t>des</w:t>
            </w:r>
            <w:r w:rsidRPr="00B378EB">
              <w:t xml:space="preserve"> objectifs d</w:t>
            </w:r>
            <w:r w:rsidR="00D76C1F">
              <w:t>’</w:t>
            </w:r>
            <w:r w:rsidRPr="00B378EB">
              <w:t>inspection liés à ces ressources sur la base de l</w:t>
            </w:r>
            <w:r w:rsidR="00D76C1F">
              <w:t>’</w:t>
            </w:r>
            <w:r w:rsidRPr="00B378EB">
              <w:t xml:space="preserve">expérience </w:t>
            </w:r>
            <w:r w:rsidRPr="00B378EB">
              <w:rPr>
                <w:b/>
                <w:i/>
              </w:rPr>
              <w:t xml:space="preserve">de la </w:t>
            </w:r>
            <w:r w:rsidRPr="00B378EB">
              <w:t>pratique</w:t>
            </w:r>
            <w:r w:rsidRPr="00B378EB">
              <w:rPr>
                <w:b/>
                <w:i/>
              </w:rPr>
              <w:t xml:space="preserve"> et de l</w:t>
            </w:r>
            <w:r w:rsidR="00D76C1F">
              <w:rPr>
                <w:b/>
                <w:i/>
              </w:rPr>
              <w:t>’</w:t>
            </w:r>
            <w:r w:rsidRPr="00B378EB">
              <w:rPr>
                <w:b/>
                <w:i/>
              </w:rPr>
              <w:t>observation</w:t>
            </w:r>
            <w:r w:rsidRPr="00B378EB">
              <w:t xml:space="preserve"> des États membres, y compris le recours à des inspecteurs non exclusivement employés par une autorité compétente, au moyen de mesures d</w:t>
            </w:r>
            <w:r w:rsidR="00D76C1F">
              <w:t>’</w:t>
            </w:r>
            <w:r w:rsidRPr="00B378EB">
              <w:t>exécution.</w:t>
            </w:r>
          </w:p>
        </w:tc>
      </w:tr>
    </w:tbl>
    <w:p w:rsidR="00B378EB" w:rsidRPr="00B378EB" w:rsidRDefault="00B378EB" w:rsidP="009F4ED5">
      <w:pPr>
        <w:pStyle w:val="AmJustTitle"/>
      </w:pPr>
      <w:r w:rsidRPr="00B378EB">
        <w:rPr>
          <w:rStyle w:val="HideTWBExt"/>
        </w:rPr>
        <w:t>&lt;TitreJust&gt;</w:t>
      </w:r>
      <w:r w:rsidRPr="00B378EB">
        <w:t>Justification</w:t>
      </w:r>
      <w:r w:rsidRPr="00B378EB">
        <w:rPr>
          <w:rStyle w:val="HideTWBExt"/>
        </w:rPr>
        <w:t>&lt;/TitreJust&gt;</w:t>
      </w:r>
    </w:p>
    <w:p w:rsidR="00B378EB" w:rsidRPr="00B378EB" w:rsidRDefault="00B378EB" w:rsidP="009F4ED5">
      <w:pPr>
        <w:pStyle w:val="AmJustText"/>
      </w:pPr>
      <w:r w:rsidRPr="00B378EB">
        <w:t>Si l</w:t>
      </w:r>
      <w:r w:rsidR="00D76C1F">
        <w:t>’</w:t>
      </w:r>
      <w:r w:rsidRPr="00B378EB">
        <w:t>expérience théorique n</w:t>
      </w:r>
      <w:r w:rsidR="00D76C1F">
        <w:t>’</w:t>
      </w:r>
      <w:r w:rsidRPr="00B378EB">
        <w:t>est pas forcément la plus utile pour les inspections, l</w:t>
      </w:r>
      <w:r w:rsidR="00D76C1F">
        <w:t>’</w:t>
      </w:r>
      <w:r w:rsidRPr="00B378EB">
        <w:t>expérience d</w:t>
      </w:r>
      <w:r w:rsidR="00D76C1F">
        <w:t>’</w:t>
      </w:r>
      <w:r w:rsidRPr="00B378EB">
        <w:t>observation peut grandement profiter aux États membres dans l</w:t>
      </w:r>
      <w:r w:rsidR="00D76C1F">
        <w:t>’</w:t>
      </w:r>
      <w:r w:rsidRPr="00B378EB">
        <w:t>application d</w:t>
      </w:r>
      <w:r w:rsidR="00D76C1F">
        <w:t>’</w:t>
      </w:r>
      <w:r w:rsidRPr="00B378EB">
        <w:t>un scénario le plus favorable, sur le fondement de la procédure suivie dans d</w:t>
      </w:r>
      <w:r w:rsidR="00D76C1F">
        <w:t>’</w:t>
      </w:r>
      <w:r w:rsidRPr="00B378EB">
        <w:t>autres pays, en leur fournissant des informations pratiques, des possibilités d</w:t>
      </w:r>
      <w:r w:rsidR="00D76C1F">
        <w:t>’</w:t>
      </w:r>
      <w:r w:rsidRPr="00B378EB">
        <w:t>apprentissage et une base pour une prise de décision éclairée.</w:t>
      </w:r>
    </w:p>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8</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9</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(9)</w:t>
            </w:r>
            <w:r w:rsidRPr="00B378EB">
              <w:tab/>
              <w:t>Le régime commun de renforcement des capacités (après obtention de la qualification au niveau national) auxquels seront soumis les inspecteurs et experts de l</w:t>
            </w:r>
            <w:r w:rsidR="00D76C1F">
              <w:t>’</w:t>
            </w:r>
            <w:r w:rsidRPr="00B378EB">
              <w:t>État du pavillon devrait garantir l</w:t>
            </w:r>
            <w:r w:rsidR="00D76C1F">
              <w:t>’</w:t>
            </w:r>
            <w:r w:rsidRPr="00B378EB">
              <w:t>égalité de traitement entre toutes les administrations maritimes et contribuer à améliorer la performance qualitative des navires battant pavillon d</w:t>
            </w:r>
            <w:r w:rsidR="00D76C1F">
              <w:t>’</w:t>
            </w:r>
            <w:r w:rsidRPr="00B378EB">
              <w:t>un État membre.</w:t>
            </w:r>
          </w:p>
        </w:tc>
        <w:tc>
          <w:tcPr>
            <w:tcW w:w="4876" w:type="dxa"/>
          </w:tcPr>
          <w:p w:rsidR="00B378EB" w:rsidRPr="00B378EB" w:rsidRDefault="00B378EB" w:rsidP="00E653EB">
            <w:pPr>
              <w:pStyle w:val="Normal6a"/>
            </w:pPr>
            <w:r w:rsidRPr="00B378EB">
              <w:t>(9)</w:t>
            </w:r>
            <w:r w:rsidRPr="00B378EB">
              <w:tab/>
              <w:t>Le régime commun de renforcement des capacités (après obtention de la qualification au niveau national) auxquels seront soumis les inspecteurs et experts de l</w:t>
            </w:r>
            <w:r w:rsidR="00D76C1F">
              <w:t>’</w:t>
            </w:r>
            <w:r w:rsidRPr="00B378EB">
              <w:t>État du pavillon devrait garantir l</w:t>
            </w:r>
            <w:r w:rsidR="00D76C1F">
              <w:t>’</w:t>
            </w:r>
            <w:r w:rsidRPr="00B378EB">
              <w:t>égalité de traitement entre toutes les administrations maritimes et contribuer à améliorer la performance qualitative des navires battant pavillon d</w:t>
            </w:r>
            <w:r w:rsidR="00D76C1F">
              <w:t>’</w:t>
            </w:r>
            <w:r w:rsidRPr="00B378EB">
              <w:t xml:space="preserve">un État membre. </w:t>
            </w:r>
            <w:r w:rsidRPr="00B378EB">
              <w:rPr>
                <w:b/>
                <w:i/>
              </w:rPr>
              <w:t>Il convient d</w:t>
            </w:r>
            <w:r w:rsidR="00D76C1F">
              <w:rPr>
                <w:b/>
                <w:i/>
              </w:rPr>
              <w:t>’</w:t>
            </w:r>
            <w:r w:rsidRPr="00B378EB">
              <w:rPr>
                <w:b/>
                <w:i/>
              </w:rPr>
              <w:t>assurer la formation continue et le perfectionnement professionnel des gens de mer afin de leur permettre de se tenir au fait de l</w:t>
            </w:r>
            <w:r w:rsidR="00D76C1F">
              <w:rPr>
                <w:b/>
                <w:i/>
              </w:rPr>
              <w:t>’</w:t>
            </w:r>
            <w:r w:rsidRPr="00B378EB">
              <w:rPr>
                <w:b/>
                <w:i/>
              </w:rPr>
              <w:t>évolution des normes en matière de sécurité et d</w:t>
            </w:r>
            <w:r w:rsidR="00D76C1F">
              <w:rPr>
                <w:b/>
                <w:i/>
              </w:rPr>
              <w:t>’</w:t>
            </w:r>
            <w:r w:rsidRPr="00B378EB">
              <w:rPr>
                <w:b/>
                <w:i/>
              </w:rPr>
              <w:t>environnement.</w:t>
            </w:r>
          </w:p>
        </w:tc>
      </w:tr>
    </w:tbl>
    <w:p w:rsidR="00B378EB" w:rsidRPr="00B378EB" w:rsidRDefault="00B378EB" w:rsidP="009F4ED5">
      <w:pPr>
        <w:pStyle w:val="AmJustTitle"/>
      </w:pPr>
      <w:r w:rsidRPr="00B378EB">
        <w:rPr>
          <w:rStyle w:val="HideTWBExt"/>
        </w:rPr>
        <w:t>&lt;TitreJust&gt;</w:t>
      </w:r>
      <w:r w:rsidRPr="00B378EB">
        <w:t>Justification</w:t>
      </w:r>
      <w:r w:rsidRPr="00B378EB">
        <w:rPr>
          <w:rStyle w:val="HideTWBExt"/>
        </w:rPr>
        <w:t>&lt;/TitreJust&gt;</w:t>
      </w:r>
    </w:p>
    <w:p w:rsidR="00B378EB" w:rsidRPr="00B378EB" w:rsidRDefault="00B378EB" w:rsidP="009F4ED5">
      <w:pPr>
        <w:pStyle w:val="AmJustText"/>
      </w:pPr>
      <w:r w:rsidRPr="00B378EB">
        <w:t>Le programme de renforcement des capacités des inspecteurs de l</w:t>
      </w:r>
      <w:r w:rsidR="00D76C1F">
        <w:t>’</w:t>
      </w:r>
      <w:r w:rsidRPr="00B378EB">
        <w:t>État du pavillon constitue une étape positive. Pour aller plus loin, il conviendrait de mettre l</w:t>
      </w:r>
      <w:r w:rsidR="00D76C1F">
        <w:t>’</w:t>
      </w:r>
      <w:r w:rsidRPr="00B378EB">
        <w:t>accent sur le développement professionnel continu et les possibilités de formation afin que ces professionnels restent bien outillés pour s</w:t>
      </w:r>
      <w:r w:rsidR="00D76C1F">
        <w:t>’</w:t>
      </w:r>
      <w:r w:rsidRPr="00B378EB">
        <w:t>adapter à l</w:t>
      </w:r>
      <w:r w:rsidR="00D76C1F">
        <w:t>’</w:t>
      </w:r>
      <w:r w:rsidRPr="00B378EB">
        <w:t>évolution des normes en matière de sécurité et d</w:t>
      </w:r>
      <w:r w:rsidR="00D76C1F">
        <w:t>’</w:t>
      </w:r>
      <w:r w:rsidRPr="00B378EB">
        <w:t>environnement.</w:t>
      </w:r>
    </w:p>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9</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11</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(11)</w:t>
            </w:r>
            <w:r w:rsidRPr="00B378EB">
              <w:tab/>
              <w:t>La création et le développement d</w:t>
            </w:r>
            <w:r w:rsidR="00D76C1F">
              <w:t>’</w:t>
            </w:r>
            <w:r w:rsidRPr="00B378EB">
              <w:t>une base de données fournissant des informations essentielles, sous forme électronique, sur les navires battant pavillon d</w:t>
            </w:r>
            <w:r w:rsidR="00D76C1F">
              <w:t>’</w:t>
            </w:r>
            <w:r w:rsidRPr="00B378EB">
              <w:t>un État membre devraient contribuer à renforcer l</w:t>
            </w:r>
            <w:r w:rsidR="00D76C1F">
              <w:t>’</w:t>
            </w:r>
            <w:r w:rsidRPr="00B378EB">
              <w:t>échange d</w:t>
            </w:r>
            <w:r w:rsidR="00D76C1F">
              <w:t>’</w:t>
            </w:r>
            <w:r w:rsidRPr="00B378EB">
              <w:t xml:space="preserve">informations, à améliorer encore </w:t>
            </w:r>
            <w:r w:rsidRPr="00B378EB">
              <w:rPr>
                <w:b/>
                <w:i/>
              </w:rPr>
              <w:t>la transparence des performances d</w:t>
            </w:r>
            <w:r w:rsidR="00D76C1F">
              <w:rPr>
                <w:b/>
                <w:i/>
              </w:rPr>
              <w:t>’</w:t>
            </w:r>
            <w:r w:rsidRPr="00B378EB">
              <w:rPr>
                <w:b/>
                <w:i/>
              </w:rPr>
              <w:t>une</w:t>
            </w:r>
            <w:r w:rsidRPr="00B378EB">
              <w:t xml:space="preserve"> flotte de </w:t>
            </w:r>
            <w:r w:rsidRPr="00B378EB">
              <w:rPr>
                <w:b/>
                <w:i/>
              </w:rPr>
              <w:t>haute qualité</w:t>
            </w:r>
            <w:r w:rsidRPr="00B378EB">
              <w:t xml:space="preserve"> et à permettre un meilleur suivi des obligations incombant à l</w:t>
            </w:r>
            <w:r w:rsidR="00D76C1F">
              <w:t>’</w:t>
            </w:r>
            <w:r w:rsidRPr="00B378EB">
              <w:t>État du pavillon afin de garantir l</w:t>
            </w:r>
            <w:r w:rsidR="00D76C1F">
              <w:t>’</w:t>
            </w:r>
            <w:r w:rsidRPr="00B378EB">
              <w:t>égalité de traitement entre toutes les administrations maritimes.</w:t>
            </w:r>
          </w:p>
        </w:tc>
        <w:tc>
          <w:tcPr>
            <w:tcW w:w="4876" w:type="dxa"/>
          </w:tcPr>
          <w:p w:rsidR="00B378EB" w:rsidRPr="00B378EB" w:rsidRDefault="00B378EB" w:rsidP="00E653EB">
            <w:pPr>
              <w:pStyle w:val="Normal6a"/>
            </w:pPr>
            <w:r w:rsidRPr="00B378EB">
              <w:t>(11)</w:t>
            </w:r>
            <w:r w:rsidRPr="00B378EB">
              <w:tab/>
              <w:t>La création et le développement d</w:t>
            </w:r>
            <w:r w:rsidR="00D76C1F">
              <w:t>’</w:t>
            </w:r>
            <w:r w:rsidRPr="00B378EB">
              <w:t>une base de données fournissant des informations essentielles, sous forme électronique, sur les navires battant pavillon d</w:t>
            </w:r>
            <w:r w:rsidR="00D76C1F">
              <w:t>’</w:t>
            </w:r>
            <w:r w:rsidRPr="00B378EB">
              <w:t>un État membre devraient contribuer à renforcer l</w:t>
            </w:r>
            <w:r w:rsidR="00D76C1F">
              <w:t>’</w:t>
            </w:r>
            <w:r w:rsidRPr="00B378EB">
              <w:t>échange d</w:t>
            </w:r>
            <w:r w:rsidR="00D76C1F">
              <w:t>’</w:t>
            </w:r>
            <w:r w:rsidRPr="00B378EB">
              <w:t xml:space="preserve">informations, à améliorer encore </w:t>
            </w:r>
            <w:r w:rsidRPr="00B378EB">
              <w:rPr>
                <w:b/>
                <w:i/>
              </w:rPr>
              <w:t>les conditions de travail et les salaires de la</w:t>
            </w:r>
            <w:r w:rsidRPr="00B378EB">
              <w:t xml:space="preserve"> flotte</w:t>
            </w:r>
            <w:r w:rsidRPr="00B378EB">
              <w:rPr>
                <w:b/>
                <w:i/>
              </w:rPr>
              <w:t xml:space="preserve"> afin</w:t>
            </w:r>
            <w:r w:rsidRPr="00B378EB">
              <w:t xml:space="preserve"> de </w:t>
            </w:r>
            <w:r w:rsidRPr="00B378EB">
              <w:rPr>
                <w:b/>
                <w:i/>
              </w:rPr>
              <w:t>promouvoir des modalités d</w:t>
            </w:r>
            <w:r w:rsidR="00D76C1F">
              <w:rPr>
                <w:b/>
                <w:i/>
              </w:rPr>
              <w:t>’</w:t>
            </w:r>
            <w:r w:rsidRPr="00B378EB">
              <w:rPr>
                <w:b/>
                <w:i/>
              </w:rPr>
              <w:t>emploi équitables</w:t>
            </w:r>
            <w:r w:rsidRPr="00B378EB">
              <w:t xml:space="preserve"> et à permettre un meilleur suivi des obligations incombant à l</w:t>
            </w:r>
            <w:r w:rsidR="00D76C1F">
              <w:t>’</w:t>
            </w:r>
            <w:r w:rsidRPr="00B378EB">
              <w:t>État du pavillon afin de garantir l</w:t>
            </w:r>
            <w:r w:rsidR="00D76C1F">
              <w:t>’</w:t>
            </w:r>
            <w:r w:rsidRPr="00B378EB">
              <w:t>égalité de traitement entre toutes les administrations maritimes.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10</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12 bis (nouveau)</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(12 bis)</w:t>
            </w:r>
            <w:r w:rsidRPr="00B378EB">
              <w:tab/>
            </w:r>
            <w:r w:rsidRPr="00B378EB">
              <w:rPr>
                <w:b/>
                <w:i/>
              </w:rPr>
              <w:t>Il convient de garantir la transparence des opérations maritimes et l</w:t>
            </w:r>
            <w:r w:rsidR="00D76C1F">
              <w:rPr>
                <w:b/>
                <w:i/>
              </w:rPr>
              <w:t>’</w:t>
            </w:r>
            <w:r w:rsidRPr="00B378EB">
              <w:rPr>
                <w:b/>
                <w:i/>
              </w:rPr>
              <w:t>obligation faite aux propriétaires de navires de rendre des comptes pour toute violation de la réglementation en matière de sécurité ou d</w:t>
            </w:r>
            <w:r w:rsidR="00D76C1F">
              <w:rPr>
                <w:b/>
                <w:i/>
              </w:rPr>
              <w:t>’</w:t>
            </w:r>
            <w:r w:rsidRPr="00B378EB">
              <w:rPr>
                <w:b/>
                <w:i/>
              </w:rPr>
              <w:t>environnement.</w:t>
            </w:r>
          </w:p>
        </w:tc>
      </w:tr>
    </w:tbl>
    <w:p w:rsidR="00B378EB" w:rsidRPr="00B378EB" w:rsidRDefault="00B378EB" w:rsidP="009F4ED5">
      <w:pPr>
        <w:pStyle w:val="AmJustTitle"/>
      </w:pPr>
      <w:r w:rsidRPr="00B378EB">
        <w:rPr>
          <w:rStyle w:val="HideTWBExt"/>
        </w:rPr>
        <w:t>&lt;TitreJust&gt;</w:t>
      </w:r>
      <w:r w:rsidRPr="00B378EB">
        <w:t>Justification</w:t>
      </w:r>
      <w:r w:rsidRPr="00B378EB">
        <w:rPr>
          <w:rStyle w:val="HideTWBExt"/>
        </w:rPr>
        <w:t>&lt;/TitreJust&gt;</w:t>
      </w:r>
    </w:p>
    <w:p w:rsidR="00B378EB" w:rsidRPr="00B378EB" w:rsidRDefault="00B378EB" w:rsidP="009F4ED5">
      <w:pPr>
        <w:pStyle w:val="AmJustText"/>
      </w:pPr>
      <w:r w:rsidRPr="00B378EB">
        <w:t>Il est essentiel, à des fins de suivi, de garantir que les autorités compétentes ont accès aux informations. En outre, des dispositions pourraient être prises pour protéger les lanceurs d</w:t>
      </w:r>
      <w:r w:rsidR="00D76C1F">
        <w:t>’</w:t>
      </w:r>
      <w:r w:rsidRPr="00B378EB">
        <w:t>alerte qui signalent des violations de la sécurité ou des atteintes à l</w:t>
      </w:r>
      <w:r w:rsidR="00D76C1F">
        <w:t>’</w:t>
      </w:r>
      <w:r w:rsidRPr="00B378EB">
        <w:t>environnement; cela contribuerait à une culture de la transparence et de la responsabilité.</w:t>
      </w:r>
    </w:p>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11</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12 ter (nouveau)</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(12 ter)</w:t>
            </w:r>
            <w:r w:rsidRPr="00B378EB">
              <w:tab/>
            </w:r>
            <w:r w:rsidRPr="00B378EB">
              <w:rPr>
                <w:b/>
                <w:i/>
              </w:rPr>
              <w:t>Les autorités compétentes devraient mettre en place des mécanismes permettant aux lanceurs d</w:t>
            </w:r>
            <w:r w:rsidR="00D76C1F">
              <w:rPr>
                <w:b/>
                <w:i/>
              </w:rPr>
              <w:t>’</w:t>
            </w:r>
            <w:r w:rsidRPr="00B378EB">
              <w:rPr>
                <w:b/>
                <w:i/>
              </w:rPr>
              <w:t>alerte de signaler des violations de la sécurité et des atteintes à l</w:t>
            </w:r>
            <w:r w:rsidR="00D76C1F">
              <w:rPr>
                <w:b/>
                <w:i/>
              </w:rPr>
              <w:t>’</w:t>
            </w:r>
            <w:r w:rsidRPr="00B378EB">
              <w:rPr>
                <w:b/>
                <w:i/>
              </w:rPr>
              <w:t>environnement sans craindre de représailles.</w:t>
            </w:r>
          </w:p>
        </w:tc>
      </w:tr>
    </w:tbl>
    <w:p w:rsidR="00B378EB" w:rsidRPr="00B378EB" w:rsidRDefault="00B378EB" w:rsidP="009F4ED5">
      <w:pPr>
        <w:pStyle w:val="AmJustTitle"/>
      </w:pPr>
      <w:r w:rsidRPr="00B378EB">
        <w:rPr>
          <w:rStyle w:val="HideTWBExt"/>
        </w:rPr>
        <w:t>&lt;TitreJust&gt;</w:t>
      </w:r>
      <w:r w:rsidRPr="00B378EB">
        <w:t>Justification</w:t>
      </w:r>
      <w:r w:rsidRPr="00B378EB">
        <w:rPr>
          <w:rStyle w:val="HideTWBExt"/>
        </w:rPr>
        <w:t>&lt;/TitreJust&gt;</w:t>
      </w:r>
    </w:p>
    <w:p w:rsidR="00B378EB" w:rsidRPr="00B378EB" w:rsidRDefault="00B378EB" w:rsidP="009F4ED5">
      <w:pPr>
        <w:pStyle w:val="AmJustText"/>
      </w:pPr>
      <w:r w:rsidRPr="00B378EB">
        <w:t>La directive devrait également prévoir des mécanismes clairs permettant aux travailleurs de faire part de leurs préoccupations en matière de sécurité et d</w:t>
      </w:r>
      <w:r w:rsidR="00D76C1F">
        <w:t>’</w:t>
      </w:r>
      <w:r w:rsidRPr="00B378EB">
        <w:t>environnement, ce qui favoriserait une stratégie proactive en faveur de la sécurité.</w:t>
      </w:r>
    </w:p>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12</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17</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(17)</w:t>
            </w:r>
            <w:r w:rsidRPr="00B378EB">
              <w:tab/>
              <w:t>Afin d</w:t>
            </w:r>
            <w:r w:rsidR="00D76C1F">
              <w:t>’</w:t>
            </w:r>
            <w:r w:rsidRPr="00B378EB">
              <w:t>examiner les questions relatives à l</w:t>
            </w:r>
            <w:r w:rsidR="00D76C1F">
              <w:t>’</w:t>
            </w:r>
            <w:r w:rsidRPr="00B378EB">
              <w:t>État du pavillon, y compris les questions techniques, et de faciliter l</w:t>
            </w:r>
            <w:r w:rsidR="00D76C1F">
              <w:t>’</w:t>
            </w:r>
            <w:r w:rsidRPr="00B378EB">
              <w:t>échange d</w:t>
            </w:r>
            <w:r w:rsidR="00D76C1F">
              <w:t>’</w:t>
            </w:r>
            <w:r w:rsidRPr="00B378EB">
              <w:t>expertise et d</w:t>
            </w:r>
            <w:r w:rsidR="00D76C1F">
              <w:t>’</w:t>
            </w:r>
            <w:r w:rsidRPr="00B378EB">
              <w:t>informations, il convient de mettre en place un groupe à haut niveau sur les questions relatives à l</w:t>
            </w:r>
            <w:r w:rsidR="00D76C1F">
              <w:t>’</w:t>
            </w:r>
            <w:r w:rsidRPr="00B378EB">
              <w:t>État du pavillon, composé des autorités nationales des États membres, d</w:t>
            </w:r>
            <w:r w:rsidR="00D76C1F">
              <w:t>’</w:t>
            </w:r>
            <w:r w:rsidRPr="00B378EB">
              <w:t>experts de l</w:t>
            </w:r>
            <w:r w:rsidR="00D76C1F">
              <w:t>’</w:t>
            </w:r>
            <w:r w:rsidRPr="00B378EB">
              <w:t>État du pavillon et d</w:t>
            </w:r>
            <w:r w:rsidR="00D76C1F">
              <w:t>’</w:t>
            </w:r>
            <w:r w:rsidRPr="00B378EB">
              <w:t>inspecteurs, ainsi que, le cas échéant, d</w:t>
            </w:r>
            <w:r w:rsidR="00D76C1F">
              <w:t>’</w:t>
            </w:r>
            <w:r w:rsidRPr="00B378EB">
              <w:t>experts du secteur privé.</w:t>
            </w:r>
          </w:p>
        </w:tc>
        <w:tc>
          <w:tcPr>
            <w:tcW w:w="4876" w:type="dxa"/>
          </w:tcPr>
          <w:p w:rsidR="00B378EB" w:rsidRPr="00B378EB" w:rsidRDefault="00B378EB" w:rsidP="00E653EB">
            <w:pPr>
              <w:pStyle w:val="Normal6a"/>
            </w:pPr>
            <w:r w:rsidRPr="00B378EB">
              <w:t>(17)</w:t>
            </w:r>
            <w:r w:rsidRPr="00B378EB">
              <w:tab/>
              <w:t>Afin d</w:t>
            </w:r>
            <w:r w:rsidR="00D76C1F">
              <w:t>’</w:t>
            </w:r>
            <w:r w:rsidRPr="00B378EB">
              <w:t>examiner les questions relatives à l</w:t>
            </w:r>
            <w:r w:rsidR="00D76C1F">
              <w:t>’</w:t>
            </w:r>
            <w:r w:rsidRPr="00B378EB">
              <w:t>État du pavillon, y compris les questions techniques, et de faciliter l</w:t>
            </w:r>
            <w:r w:rsidR="00D76C1F">
              <w:t>’</w:t>
            </w:r>
            <w:r w:rsidRPr="00B378EB">
              <w:t>échange d</w:t>
            </w:r>
            <w:r w:rsidR="00D76C1F">
              <w:t>’</w:t>
            </w:r>
            <w:r w:rsidRPr="00B378EB">
              <w:t>expertise et d</w:t>
            </w:r>
            <w:r w:rsidR="00D76C1F">
              <w:t>’</w:t>
            </w:r>
            <w:r w:rsidRPr="00B378EB">
              <w:t>informations, il convient de mettre en place un groupe à haut niveau sur les questions relatives à l</w:t>
            </w:r>
            <w:r w:rsidR="00D76C1F">
              <w:t>’</w:t>
            </w:r>
            <w:r w:rsidRPr="00B378EB">
              <w:t>État du pavillon, composé des autorités nationales des États membres, d</w:t>
            </w:r>
            <w:r w:rsidR="00D76C1F">
              <w:t>’</w:t>
            </w:r>
            <w:r w:rsidRPr="00B378EB">
              <w:t>experts de l</w:t>
            </w:r>
            <w:r w:rsidR="00D76C1F">
              <w:t>’</w:t>
            </w:r>
            <w:r w:rsidRPr="00B378EB">
              <w:t>État du pavillon et d</w:t>
            </w:r>
            <w:r w:rsidR="00D76C1F">
              <w:t>’</w:t>
            </w:r>
            <w:r w:rsidRPr="00B378EB">
              <w:t>inspecteurs, ainsi que, le cas échéant, d</w:t>
            </w:r>
            <w:r w:rsidR="00D76C1F">
              <w:t>’</w:t>
            </w:r>
            <w:r w:rsidRPr="00B378EB">
              <w:t>experts du secteur privé</w:t>
            </w:r>
            <w:r w:rsidRPr="00B378EB">
              <w:rPr>
                <w:b/>
                <w:i/>
              </w:rPr>
              <w:t xml:space="preserve"> et de représentants des travailleurs maritimes</w:t>
            </w:r>
            <w:r w:rsidRPr="00B378EB">
              <w:t>.</w:t>
            </w:r>
          </w:p>
        </w:tc>
      </w:tr>
    </w:tbl>
    <w:p w:rsidR="00B378EB" w:rsidRPr="00B378EB" w:rsidRDefault="00B378EB" w:rsidP="009F4ED5">
      <w:pPr>
        <w:pStyle w:val="AmJustTitle"/>
      </w:pPr>
      <w:r w:rsidRPr="00B378EB">
        <w:rPr>
          <w:rStyle w:val="HideTWBExt"/>
        </w:rPr>
        <w:t>&lt;TitreJust&gt;</w:t>
      </w:r>
      <w:r w:rsidRPr="00B378EB">
        <w:t>Justification</w:t>
      </w:r>
      <w:r w:rsidRPr="00B378EB">
        <w:rPr>
          <w:rStyle w:val="HideTWBExt"/>
        </w:rPr>
        <w:t>&lt;/TitreJust&gt;</w:t>
      </w:r>
    </w:p>
    <w:p w:rsidR="00B378EB" w:rsidRPr="00B378EB" w:rsidRDefault="00B378EB" w:rsidP="009F4ED5">
      <w:pPr>
        <w:pStyle w:val="AmJustText"/>
      </w:pPr>
      <w:r w:rsidRPr="00B378EB">
        <w:t>La mise en place d</w:t>
      </w:r>
      <w:r w:rsidR="00D76C1F">
        <w:t>’</w:t>
      </w:r>
      <w:r w:rsidRPr="00B378EB">
        <w:t>un groupe de haut niveau pour les questions relatives à l</w:t>
      </w:r>
      <w:r w:rsidR="00D76C1F">
        <w:t>’</w:t>
      </w:r>
      <w:r w:rsidRPr="00B378EB">
        <w:t>État du pavillon est une évolution positive. Néanmoins, ce groupe pourrait être renforcé par l</w:t>
      </w:r>
      <w:r w:rsidR="00D76C1F">
        <w:t>’</w:t>
      </w:r>
      <w:r w:rsidRPr="00B378EB">
        <w:t>inclusion en son sein d</w:t>
      </w:r>
      <w:r w:rsidR="00D76C1F">
        <w:t>’</w:t>
      </w:r>
      <w:r w:rsidRPr="00B378EB">
        <w:t>une représentation des travailleurs et de leurs représentants, ce qui garantirait une approche globale de la gouvernance maritime.</w:t>
      </w:r>
    </w:p>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13</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Considérant 18</w:t>
      </w:r>
      <w:r w:rsidRPr="00B378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(18)</w:t>
            </w:r>
            <w:r w:rsidRPr="00B378EB">
              <w:tab/>
              <w:t>Il convient de mettre en place un outil électronique de communication d</w:t>
            </w:r>
            <w:r w:rsidR="00D76C1F">
              <w:t>’</w:t>
            </w:r>
            <w:r w:rsidRPr="00B378EB">
              <w:t>informations afin d</w:t>
            </w:r>
            <w:r w:rsidR="00D76C1F">
              <w:t>’</w:t>
            </w:r>
            <w:r w:rsidRPr="00B378EB">
              <w:t>améliorer encore la cohérence de la collecte de statistiques et de données et informations maritimes pertinentes auprès des États membres.</w:t>
            </w:r>
          </w:p>
        </w:tc>
        <w:tc>
          <w:tcPr>
            <w:tcW w:w="4876" w:type="dxa"/>
          </w:tcPr>
          <w:p w:rsidR="00B378EB" w:rsidRPr="00B378EB" w:rsidRDefault="00B378EB" w:rsidP="00E653EB">
            <w:pPr>
              <w:pStyle w:val="Normal6a"/>
            </w:pPr>
            <w:r w:rsidRPr="00B378EB">
              <w:t>(18)</w:t>
            </w:r>
            <w:r w:rsidRPr="00B378EB">
              <w:tab/>
              <w:t>Il convient de mettre en place un outil électronique de communication d</w:t>
            </w:r>
            <w:r w:rsidR="00D76C1F">
              <w:t>’</w:t>
            </w:r>
            <w:r w:rsidRPr="00B378EB">
              <w:t>informations afin d</w:t>
            </w:r>
            <w:r w:rsidR="00D76C1F">
              <w:t>’</w:t>
            </w:r>
            <w:r w:rsidRPr="00B378EB">
              <w:t>améliorer encore la cohérence de la collecte de statistiques et de données et informations maritimes pertinentes auprès des États membres</w:t>
            </w:r>
            <w:r w:rsidRPr="00B378EB">
              <w:rPr>
                <w:b/>
                <w:i/>
              </w:rPr>
              <w:t>, en tenant compte des obligations de déclaration déjà prévues par d</w:t>
            </w:r>
            <w:r w:rsidR="00D76C1F">
              <w:rPr>
                <w:b/>
                <w:i/>
              </w:rPr>
              <w:t>’</w:t>
            </w:r>
            <w:r w:rsidRPr="00B378EB">
              <w:rPr>
                <w:b/>
                <w:i/>
              </w:rPr>
              <w:t>autres actes de l</w:t>
            </w:r>
            <w:r w:rsidR="00D76C1F">
              <w:rPr>
                <w:b/>
                <w:i/>
              </w:rPr>
              <w:t>’</w:t>
            </w:r>
            <w:r w:rsidRPr="00B378EB">
              <w:rPr>
                <w:b/>
                <w:i/>
              </w:rPr>
              <w:t>Union tels que le règlement (CE) nº 1224/2009</w:t>
            </w:r>
            <w:r w:rsidRPr="00B378EB">
              <w:t>.</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14</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2</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 paragraphe 1</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1.</w:t>
            </w:r>
            <w:r w:rsidRPr="00B378EB">
              <w:tab/>
              <w:t>Avant d</w:t>
            </w:r>
            <w:r w:rsidR="00D76C1F">
              <w:t>’</w:t>
            </w:r>
            <w:r w:rsidRPr="00B378EB">
              <w:t>autoriser l</w:t>
            </w:r>
            <w:r w:rsidR="00D76C1F">
              <w:t>’</w:t>
            </w:r>
            <w:r w:rsidRPr="00B378EB">
              <w:t>exploitation d</w:t>
            </w:r>
            <w:r w:rsidR="00D76C1F">
              <w:t>’</w:t>
            </w:r>
            <w:r w:rsidRPr="00B378EB">
              <w:t>un navire ayant obtenu le droit de battre son pavillon, l</w:t>
            </w:r>
            <w:r w:rsidR="00D76C1F">
              <w:t>’</w:t>
            </w:r>
            <w:r w:rsidRPr="00B378EB">
              <w:t>État membre concerné veille à ce que le navire en question satisfasse aux règles et aux réglementations internationales applicables. En particulier, il vérifie les antécédents du navire en matière de sécurité au moyen des rapports d</w:t>
            </w:r>
            <w:r w:rsidR="00D76C1F">
              <w:t>’</w:t>
            </w:r>
            <w:r w:rsidRPr="00B378EB">
              <w:t>inspection et des certificats figurant dans la base de données visée à l</w:t>
            </w:r>
            <w:r w:rsidR="00D76C1F">
              <w:t>’</w:t>
            </w:r>
            <w:r w:rsidRPr="00B378EB">
              <w:t>article 6 bis. Il consulte, si nécessaire, l</w:t>
            </w:r>
            <w:r w:rsidR="00D76C1F">
              <w:t>’</w:t>
            </w:r>
            <w:r w:rsidRPr="00B378EB">
              <w:t xml:space="preserve">État du pavillon précédent afin </w:t>
            </w:r>
            <w:r w:rsidRPr="00B378EB">
              <w:rPr>
                <w:b/>
                <w:i/>
              </w:rPr>
              <w:t>d</w:t>
            </w:r>
            <w:r w:rsidR="00D76C1F">
              <w:rPr>
                <w:b/>
                <w:i/>
              </w:rPr>
              <w:t>’</w:t>
            </w:r>
            <w:r w:rsidRPr="00B378EB">
              <w:rPr>
                <w:b/>
                <w:i/>
              </w:rPr>
              <w:t>établir si des anomalies</w:t>
            </w:r>
            <w:r w:rsidRPr="00B378EB">
              <w:t xml:space="preserve"> ou </w:t>
            </w:r>
            <w:r w:rsidRPr="00B378EB">
              <w:rPr>
                <w:b/>
                <w:i/>
              </w:rPr>
              <w:t>des problèmes</w:t>
            </w:r>
            <w:r w:rsidRPr="00B378EB">
              <w:t xml:space="preserve"> de sécurité </w:t>
            </w:r>
            <w:r w:rsidRPr="00B378EB">
              <w:rPr>
                <w:b/>
                <w:i/>
              </w:rPr>
              <w:t>relevés par celui-ci doivent encore être réglés</w:t>
            </w:r>
            <w:r w:rsidRPr="00B378EB">
              <w:t>.</w:t>
            </w:r>
          </w:p>
        </w:tc>
        <w:tc>
          <w:tcPr>
            <w:tcW w:w="4876" w:type="dxa"/>
          </w:tcPr>
          <w:p w:rsidR="00B378EB" w:rsidRPr="00B378EB" w:rsidRDefault="00B378EB" w:rsidP="00E653EB">
            <w:pPr>
              <w:pStyle w:val="Normal6a"/>
            </w:pPr>
            <w:r w:rsidRPr="00B378EB">
              <w:t>1.</w:t>
            </w:r>
            <w:r w:rsidRPr="00B378EB">
              <w:tab/>
              <w:t>Avant d</w:t>
            </w:r>
            <w:r w:rsidR="00D76C1F">
              <w:t>’</w:t>
            </w:r>
            <w:r w:rsidRPr="00B378EB">
              <w:t>autoriser l</w:t>
            </w:r>
            <w:r w:rsidR="00D76C1F">
              <w:t>’</w:t>
            </w:r>
            <w:r w:rsidRPr="00B378EB">
              <w:t>exploitation d</w:t>
            </w:r>
            <w:r w:rsidR="00D76C1F">
              <w:t>’</w:t>
            </w:r>
            <w:r w:rsidRPr="00B378EB">
              <w:t>un navire ayant obtenu le droit de battre son pavillon, l</w:t>
            </w:r>
            <w:r w:rsidR="00D76C1F">
              <w:t>’</w:t>
            </w:r>
            <w:r w:rsidRPr="00B378EB">
              <w:t>État membre concerné veille à ce que le navire en question satisfasse aux règles et aux réglementations internationales applicables</w:t>
            </w:r>
            <w:r w:rsidRPr="00B378EB">
              <w:rPr>
                <w:b/>
                <w:i/>
              </w:rPr>
              <w:t>, notamment en ce qui concerne les conditions de travail des gens de mer et la protection de l</w:t>
            </w:r>
            <w:r w:rsidR="00D76C1F">
              <w:rPr>
                <w:b/>
                <w:i/>
              </w:rPr>
              <w:t>’</w:t>
            </w:r>
            <w:r w:rsidRPr="00B378EB">
              <w:rPr>
                <w:b/>
                <w:i/>
              </w:rPr>
              <w:t>environnement</w:t>
            </w:r>
            <w:r w:rsidRPr="00B378EB">
              <w:t>. En particulier, il vérifie les antécédents du navire en matière de sécurité au moyen des rapports d</w:t>
            </w:r>
            <w:r w:rsidR="00D76C1F">
              <w:t>’</w:t>
            </w:r>
            <w:r w:rsidRPr="00B378EB">
              <w:t>inspection et des certificats figurant dans la base de données visée à l</w:t>
            </w:r>
            <w:r w:rsidR="00D76C1F">
              <w:t>’</w:t>
            </w:r>
            <w:r w:rsidRPr="00B378EB">
              <w:t>article 6 bis. Il consulte, si nécessaire, l</w:t>
            </w:r>
            <w:r w:rsidR="00D76C1F">
              <w:t>’</w:t>
            </w:r>
            <w:r w:rsidRPr="00B378EB">
              <w:t xml:space="preserve">État du pavillon précédent afin </w:t>
            </w:r>
            <w:r w:rsidRPr="00B378EB">
              <w:rPr>
                <w:b/>
                <w:i/>
              </w:rPr>
              <w:t>de remédier à toute anomalie</w:t>
            </w:r>
            <w:r w:rsidRPr="00B378EB">
              <w:t xml:space="preserve"> ou </w:t>
            </w:r>
            <w:r w:rsidRPr="00B378EB">
              <w:rPr>
                <w:b/>
                <w:i/>
              </w:rPr>
              <w:t>à tout problème</w:t>
            </w:r>
            <w:r w:rsidRPr="00B378EB">
              <w:t xml:space="preserve"> de sécurité </w:t>
            </w:r>
            <w:r w:rsidRPr="00B378EB">
              <w:rPr>
                <w:b/>
                <w:i/>
              </w:rPr>
              <w:t>devant encore être réglé.</w:t>
            </w:r>
            <w:r w:rsidRPr="00B378EB">
              <w:t xml:space="preserve"> </w:t>
            </w:r>
            <w:r w:rsidRPr="00B378EB">
              <w:rPr>
                <w:b/>
                <w:i/>
              </w:rPr>
              <w:t>Cette collaboration vise à garantir que toute anomalie ou tout problème de sécurité en suspens est entièrement résolu avant la mise en exploitation du navire</w:t>
            </w:r>
            <w:r w:rsidRPr="00B378EB">
              <w:t>.</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15</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3</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a)</w:t>
            </w:r>
            <w:r w:rsidRPr="00B378EB">
              <w:tab/>
              <w:t>interdire aux navires d</w:t>
            </w:r>
            <w:r w:rsidR="00D76C1F">
              <w:t>’</w:t>
            </w:r>
            <w:r w:rsidRPr="00B378EB">
              <w:t>appareiller avant de pouvoir prendre la mer en respectant les règles et normes internationales;</w:t>
            </w:r>
          </w:p>
        </w:tc>
        <w:tc>
          <w:tcPr>
            <w:tcW w:w="4876" w:type="dxa"/>
          </w:tcPr>
          <w:p w:rsidR="00B378EB" w:rsidRPr="00B378EB" w:rsidRDefault="00B378EB" w:rsidP="00E653EB">
            <w:pPr>
              <w:pStyle w:val="Normal6a"/>
            </w:pPr>
            <w:r w:rsidRPr="00B378EB">
              <w:t>a)</w:t>
            </w:r>
            <w:r w:rsidRPr="00B378EB">
              <w:tab/>
              <w:t>interdire aux navires d</w:t>
            </w:r>
            <w:r w:rsidR="00D76C1F">
              <w:t>’</w:t>
            </w:r>
            <w:r w:rsidRPr="00B378EB">
              <w:t xml:space="preserve">appareiller avant de pouvoir prendre la mer en respectant les règles et normes internationales; </w:t>
            </w:r>
            <w:r w:rsidRPr="00B378EB">
              <w:rPr>
                <w:b/>
                <w:i/>
              </w:rPr>
              <w:t>y compris la réalisation régulière d</w:t>
            </w:r>
            <w:r w:rsidR="00D76C1F">
              <w:rPr>
                <w:b/>
                <w:i/>
              </w:rPr>
              <w:t>’</w:t>
            </w:r>
            <w:r w:rsidRPr="00B378EB">
              <w:rPr>
                <w:b/>
                <w:i/>
              </w:rPr>
              <w:t>exercices de sécurité afin de garantir que l</w:t>
            </w:r>
            <w:r w:rsidR="00D76C1F">
              <w:rPr>
                <w:b/>
                <w:i/>
              </w:rPr>
              <w:t>’</w:t>
            </w:r>
            <w:r w:rsidRPr="00B378EB">
              <w:rPr>
                <w:b/>
                <w:i/>
              </w:rPr>
              <w:t>équipage est prêt à faire face aux situations d</w:t>
            </w:r>
            <w:r w:rsidR="00D76C1F">
              <w:rPr>
                <w:b/>
                <w:i/>
              </w:rPr>
              <w:t>’</w:t>
            </w:r>
            <w:r w:rsidRPr="00B378EB">
              <w:rPr>
                <w:b/>
                <w:i/>
              </w:rPr>
              <w:t>urgence et l</w:t>
            </w:r>
            <w:r w:rsidR="00D76C1F">
              <w:rPr>
                <w:b/>
                <w:i/>
              </w:rPr>
              <w:t>’</w:t>
            </w:r>
            <w:r w:rsidRPr="00B378EB">
              <w:rPr>
                <w:b/>
                <w:i/>
              </w:rPr>
              <w:t>application des règles relatives aux heures de repos de l</w:t>
            </w:r>
            <w:r w:rsidR="00D76C1F">
              <w:rPr>
                <w:b/>
                <w:i/>
              </w:rPr>
              <w:t>’</w:t>
            </w:r>
            <w:r w:rsidRPr="00B378EB">
              <w:rPr>
                <w:b/>
                <w:i/>
              </w:rPr>
              <w:t>équipage afin de prévenir les accidents liés à la fatigue;</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16</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3</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b)</w:t>
            </w:r>
            <w:r w:rsidRPr="00B378EB">
              <w:tab/>
              <w:t xml:space="preserve">veiller à ce que les navires autorisés à battre leur pavillon aient été inspectés conformément aux directives sur les visites en vertu du système harmonisé de visites et de délivrance des certificats (HSSC) </w:t>
            </w:r>
            <w:r w:rsidRPr="00B378EB">
              <w:rPr>
                <w:b/>
                <w:i/>
              </w:rPr>
              <w:t>et</w:t>
            </w:r>
          </w:p>
        </w:tc>
        <w:tc>
          <w:tcPr>
            <w:tcW w:w="4876" w:type="dxa"/>
          </w:tcPr>
          <w:p w:rsidR="00B378EB" w:rsidRPr="00B378EB" w:rsidRDefault="00B378EB" w:rsidP="00E653EB">
            <w:pPr>
              <w:pStyle w:val="Normal6a"/>
            </w:pPr>
            <w:r w:rsidRPr="00B378EB">
              <w:t>b)</w:t>
            </w:r>
            <w:r w:rsidRPr="00B378EB">
              <w:tab/>
              <w:t>veiller à ce que les navires autorisés à battre leur pavillon aient été inspectés conformément aux directives sur les visites en vertu du système harmonisé de visites et de délivrance des certificats (HSSC)</w:t>
            </w:r>
            <w:r w:rsidRPr="00B378EB">
              <w:rPr>
                <w:b/>
                <w:i/>
              </w:rPr>
              <w:t>.</w:t>
            </w:r>
            <w:r w:rsidRPr="00B378EB">
              <w:t xml:space="preserve"> </w:t>
            </w:r>
            <w:r w:rsidRPr="00B378EB">
              <w:rPr>
                <w:b/>
                <w:i/>
              </w:rPr>
              <w:t>Il s</w:t>
            </w:r>
            <w:r w:rsidR="00D76C1F">
              <w:rPr>
                <w:b/>
                <w:i/>
              </w:rPr>
              <w:t>’</w:t>
            </w:r>
            <w:r w:rsidRPr="00B378EB">
              <w:rPr>
                <w:b/>
                <w:i/>
              </w:rPr>
              <w:t>agit notamment de réaliser des audits environnementaux destinés à évaluer le respect de la réglementation relative aux émissions, à la gestion des eaux de ballast et à d</w:t>
            </w:r>
            <w:r w:rsidR="00D76C1F">
              <w:rPr>
                <w:b/>
                <w:i/>
              </w:rPr>
              <w:t>’</w:t>
            </w:r>
            <w:r w:rsidRPr="00B378EB">
              <w:rPr>
                <w:b/>
                <w:i/>
              </w:rPr>
              <w:t>autres préoccupations environnementales, allant au-delà des inspections de sécurité standard;</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17</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3</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b bis)</w:t>
            </w:r>
            <w:r w:rsidRPr="00B378EB">
              <w:tab/>
            </w:r>
            <w:r w:rsidRPr="00B378EB">
              <w:rPr>
                <w:b/>
                <w:i/>
              </w:rPr>
              <w:t>promouvoir une culture de la sécurité à bord en encourageant le signalement des quasi-accidents et des conditions dangereuses, ainsi que l</w:t>
            </w:r>
            <w:r w:rsidR="00D76C1F">
              <w:rPr>
                <w:b/>
                <w:i/>
              </w:rPr>
              <w:t>’</w:t>
            </w:r>
            <w:r w:rsidRPr="00B378EB">
              <w:rPr>
                <w:b/>
                <w:i/>
              </w:rPr>
              <w:t>amélioration permanente des pratiques en matière de 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18</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3</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b ter)</w:t>
            </w:r>
            <w:r w:rsidRPr="00B378EB">
              <w:tab/>
            </w:r>
            <w:r w:rsidRPr="00B378EB">
              <w:rPr>
                <w:b/>
                <w:i/>
              </w:rPr>
              <w:t>collaborer avec d</w:t>
            </w:r>
            <w:r w:rsidR="00D76C1F">
              <w:rPr>
                <w:b/>
                <w:i/>
              </w:rPr>
              <w:t>’</w:t>
            </w:r>
            <w:r w:rsidRPr="00B378EB">
              <w:rPr>
                <w:b/>
                <w:i/>
              </w:rPr>
              <w:t>autres États du pavillon et organismes internationaux pour mener des inspections conjointes, partager des informations et harmoniser les efforts visant à faire respecter de manière effective les règles et les normes internationales;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19</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3</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r w:rsidRPr="00B378EB">
              <w:t>c)</w:t>
            </w:r>
            <w:r w:rsidRPr="00B378EB">
              <w:tab/>
              <w:t>procéder aux inspections supplémentaires de l</w:t>
            </w:r>
            <w:r w:rsidR="00D76C1F">
              <w:t>’</w:t>
            </w:r>
            <w:r w:rsidRPr="00B378EB">
              <w:t>État du pavillon pour vérifier que l</w:t>
            </w:r>
            <w:r w:rsidR="00D76C1F">
              <w:t>’</w:t>
            </w:r>
            <w:r w:rsidRPr="00B378EB">
              <w:t xml:space="preserve">état réel du navire </w:t>
            </w:r>
            <w:r w:rsidRPr="00B378EB">
              <w:rPr>
                <w:b/>
                <w:i/>
              </w:rPr>
              <w:t>est conforme</w:t>
            </w:r>
            <w:r w:rsidRPr="00B378EB">
              <w:t xml:space="preserve"> aux certificats qui lui ont été délivrés.</w:t>
            </w:r>
          </w:p>
        </w:tc>
        <w:tc>
          <w:tcPr>
            <w:tcW w:w="4876" w:type="dxa"/>
          </w:tcPr>
          <w:p w:rsidR="00B378EB" w:rsidRPr="00B378EB" w:rsidRDefault="00B378EB" w:rsidP="00E653EB">
            <w:pPr>
              <w:pStyle w:val="Normal6a"/>
            </w:pPr>
            <w:r w:rsidRPr="00B378EB">
              <w:t>c)</w:t>
            </w:r>
            <w:r w:rsidRPr="00B378EB">
              <w:tab/>
              <w:t>procéder aux inspections supplémentaires de l</w:t>
            </w:r>
            <w:r w:rsidR="00D76C1F">
              <w:t>’</w:t>
            </w:r>
            <w:r w:rsidRPr="00B378EB">
              <w:t>État du pavillon pour vérifier que l</w:t>
            </w:r>
            <w:r w:rsidR="00D76C1F">
              <w:t>’</w:t>
            </w:r>
            <w:r w:rsidRPr="00B378EB">
              <w:t xml:space="preserve">état réel du navire </w:t>
            </w:r>
            <w:r w:rsidRPr="00B378EB">
              <w:rPr>
                <w:b/>
                <w:i/>
              </w:rPr>
              <w:t>et les conditions de travail sont conformes</w:t>
            </w:r>
            <w:r w:rsidRPr="00B378EB">
              <w:t xml:space="preserve"> aux certificats qui lui ont été délivrés. </w:t>
            </w:r>
            <w:r w:rsidRPr="00B378EB">
              <w:rPr>
                <w:b/>
                <w:i/>
              </w:rPr>
              <w:t>Ces inspections devraient également porter sur la formation et le bien-être de l</w:t>
            </w:r>
            <w:r w:rsidR="00D76C1F">
              <w:rPr>
                <w:b/>
                <w:i/>
              </w:rPr>
              <w:t>’</w:t>
            </w:r>
            <w:r w:rsidRPr="00B378EB">
              <w:rPr>
                <w:b/>
                <w:i/>
              </w:rPr>
              <w:t>équipage, en veillant à ce que ses membres reçoivent une formation adéquate aux procédures en matière de sécurité et d</w:t>
            </w:r>
            <w:r w:rsidR="00D76C1F">
              <w:rPr>
                <w:b/>
                <w:i/>
              </w:rPr>
              <w:t>’</w:t>
            </w:r>
            <w:r w:rsidRPr="00B378EB">
              <w:rPr>
                <w:b/>
                <w:i/>
              </w:rPr>
              <w:t>environnement, et à ce que leurs droits et leur bien-être soient protégés conformément à la convention du travail maritime de 2006 (CTM 2006);</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20</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3</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c bis)</w:t>
            </w:r>
            <w:r w:rsidRPr="00B378EB">
              <w:tab/>
            </w:r>
            <w:r w:rsidRPr="00B378EB">
              <w:rPr>
                <w:b/>
                <w:i/>
              </w:rPr>
              <w:t>utiliser des technologies de surveillance avancées, telles que le repérage par satellite et les capteurs à distance, pour suivre les activités d</w:t>
            </w:r>
            <w:r w:rsidR="00D76C1F">
              <w:rPr>
                <w:b/>
                <w:i/>
              </w:rPr>
              <w:t>’</w:t>
            </w:r>
            <w:r w:rsidRPr="00B378EB">
              <w:rPr>
                <w:b/>
                <w:i/>
              </w:rPr>
              <w:t>un navire et le respect de la réglementation en temps réel;</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21</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3</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4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c ter)</w:t>
            </w:r>
            <w:r w:rsidRPr="00B378EB">
              <w:tab/>
            </w:r>
            <w:r w:rsidRPr="00B378EB">
              <w:rPr>
                <w:b/>
                <w:i/>
              </w:rPr>
              <w:t>exiger des navires qu</w:t>
            </w:r>
            <w:r w:rsidR="00D76C1F">
              <w:rPr>
                <w:b/>
                <w:i/>
              </w:rPr>
              <w:t>’</w:t>
            </w:r>
            <w:r w:rsidRPr="00B378EB">
              <w:rPr>
                <w:b/>
                <w:i/>
              </w:rPr>
              <w:t>ils présentent régulièrement des rapports sur la sécurité et le respect de l</w:t>
            </w:r>
            <w:r w:rsidR="00D76C1F">
              <w:rPr>
                <w:b/>
                <w:i/>
              </w:rPr>
              <w:t>’</w:t>
            </w:r>
            <w:r w:rsidRPr="00B378EB">
              <w:rPr>
                <w:b/>
                <w:i/>
              </w:rPr>
              <w:t>environnement, et permettre aux autorités compétentes d</w:t>
            </w:r>
            <w:r w:rsidR="00D76C1F">
              <w:rPr>
                <w:b/>
                <w:i/>
              </w:rPr>
              <w:t>’</w:t>
            </w:r>
            <w:r w:rsidRPr="00B378EB">
              <w:rPr>
                <w:b/>
                <w:i/>
              </w:rPr>
              <w:t>accéder à ces rapports pour examen, renforçant ainsi la transparence et la notification.</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22</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bis)</w:t>
            </w:r>
            <w:r w:rsidRPr="00B378EB">
              <w:tab/>
            </w:r>
            <w:r w:rsidRPr="00B378EB">
              <w:rPr>
                <w:b/>
                <w:i/>
              </w:rPr>
              <w:t>informations relatives aux performances environnementales du navire, telles que les données relatives aux émissions (par exemple, les émissions de gaz à effet de serre ou d</w:t>
            </w:r>
            <w:r w:rsidR="00D76C1F">
              <w:rPr>
                <w:b/>
                <w:i/>
              </w:rPr>
              <w:t>’</w:t>
            </w:r>
            <w:r w:rsidRPr="00B378EB">
              <w:rPr>
                <w:b/>
                <w:i/>
              </w:rPr>
              <w:t>oxyde de soufre) et les données sur la gestion des eaux de ballast et d</w:t>
            </w:r>
            <w:r w:rsidR="00D76C1F">
              <w:rPr>
                <w:b/>
                <w:i/>
              </w:rPr>
              <w:t>’</w:t>
            </w:r>
            <w:r w:rsidRPr="00B378EB">
              <w:rPr>
                <w:b/>
                <w:i/>
              </w:rPr>
              <w:t>autres substances potentiellement polluantes;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23</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ter)</w:t>
            </w:r>
            <w:r w:rsidRPr="00B378EB">
              <w:tab/>
            </w:r>
            <w:r w:rsidRPr="00B378EB">
              <w:rPr>
                <w:b/>
                <w:i/>
              </w:rPr>
              <w:t>informations détaillées sur l</w:t>
            </w:r>
            <w:r w:rsidR="00D76C1F">
              <w:rPr>
                <w:b/>
                <w:i/>
              </w:rPr>
              <w:t>’</w:t>
            </w:r>
            <w:r w:rsidRPr="00B378EB">
              <w:rPr>
                <w:b/>
                <w:i/>
              </w:rPr>
              <w:t>équipage du navire, notamment ses qualifications, certifications et heures de repos, afin de garantir le respect des règles en matière de travail et de 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24</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quater)</w:t>
            </w:r>
            <w:r w:rsidRPr="00B378EB">
              <w:tab/>
            </w:r>
            <w:r w:rsidRPr="00B378EB">
              <w:rPr>
                <w:b/>
                <w:i/>
              </w:rPr>
              <w:t>signalement de tout accident, incident ou quasi-accident, ainsi que les mesures prises pour y remédier, afin de contribuer à une culture proactive de la 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25</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quinquies)</w:t>
            </w:r>
            <w:r w:rsidRPr="00B378EB">
              <w:tab/>
            </w:r>
            <w:r w:rsidRPr="00B378EB">
              <w:rPr>
                <w:b/>
                <w:i/>
              </w:rPr>
              <w:t>informations sur le type, la quantité et la manutention de la cargaison, en particulier pour les navires transportant des matières ou marchandises dangereuses, afin d</w:t>
            </w:r>
            <w:r w:rsidR="00D76C1F">
              <w:rPr>
                <w:b/>
                <w:i/>
              </w:rPr>
              <w:t>’</w:t>
            </w:r>
            <w:r w:rsidRPr="00B378EB">
              <w:rPr>
                <w:b/>
                <w:i/>
              </w:rPr>
              <w:t>évaluer le respect des règles en matière de transport et de 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26</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sexies)</w:t>
            </w:r>
            <w:r w:rsidRPr="00B378EB">
              <w:tab/>
            </w:r>
            <w:r w:rsidRPr="00B378EB">
              <w:rPr>
                <w:b/>
                <w:i/>
              </w:rPr>
              <w:t>données relatives au système de gestion de la sécurité des navires, notamment les comptes rendus des réunions de sécurité, les évaluations des dangers et les mesures correctives prises;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27</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septies)</w:t>
            </w:r>
            <w:r w:rsidRPr="00B378EB">
              <w:tab/>
            </w:r>
            <w:r w:rsidRPr="00B378EB">
              <w:rPr>
                <w:b/>
                <w:i/>
              </w:rPr>
              <w:t>données sur les mesures de sécurité et le respect des conventions et codes internationaux en matière de sûreté maritime, particulièrement pertinents dans le contexte actuel soucieux de la 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28</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octies)</w:t>
            </w:r>
            <w:r w:rsidRPr="00B378EB">
              <w:tab/>
            </w:r>
            <w:r w:rsidRPr="00B378EB">
              <w:rPr>
                <w:b/>
                <w:i/>
              </w:rPr>
              <w:t>informations sur les améliorations technologiques, la maintenance des équipements et les modifications liées à la sécurité apportées au navire;</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29</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37139F">
            <w:pPr>
              <w:pStyle w:val="Normal6a"/>
            </w:pPr>
            <w:r w:rsidRPr="00B378EB">
              <w:rPr>
                <w:b/>
                <w:i/>
              </w:rPr>
              <w:t>g nonies)</w:t>
            </w:r>
            <w:r w:rsidRPr="00B378EB">
              <w:tab/>
            </w:r>
            <w:r w:rsidRPr="00B378EB">
              <w:rPr>
                <w:b/>
                <w:i/>
              </w:rPr>
              <w:t>documents relatifs au bien</w:t>
            </w:r>
            <w:r w:rsidRPr="00B378EB">
              <w:rPr>
                <w:b/>
                <w:i/>
              </w:rPr>
              <w:noBreakHyphen/>
              <w:t>être et aux conditions de vie des gens de mer, y compris les plaintes ou les préoccupations de l</w:t>
            </w:r>
            <w:r w:rsidR="00D76C1F">
              <w:rPr>
                <w:b/>
                <w:i/>
              </w:rPr>
              <w:t>’</w:t>
            </w:r>
            <w:r w:rsidRPr="00B378EB">
              <w:rPr>
                <w:b/>
                <w:i/>
              </w:rPr>
              <w:t>équipage;</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30</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decies)</w:t>
            </w:r>
            <w:r w:rsidRPr="00B378EB">
              <w:tab/>
            </w:r>
            <w:r w:rsidRPr="00B378EB">
              <w:rPr>
                <w:b/>
                <w:i/>
              </w:rPr>
              <w:t>capacité des États membres à vérifier l</w:t>
            </w:r>
            <w:r w:rsidR="00D76C1F">
              <w:rPr>
                <w:b/>
                <w:i/>
              </w:rPr>
              <w:t>’</w:t>
            </w:r>
            <w:r w:rsidRPr="00B378EB">
              <w:rPr>
                <w:b/>
                <w:i/>
              </w:rPr>
              <w:t>authenticité et la validité des certificats et des documents présentés par le navire, dans le but de lutter contre la fraude et de veiller à la conformité;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31</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5</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6</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g undecies)</w:t>
            </w:r>
            <w:r w:rsidRPr="00B378EB">
              <w:tab/>
            </w:r>
            <w:r w:rsidRPr="00B378EB">
              <w:rPr>
                <w:b/>
                <w:i/>
              </w:rPr>
              <w:t>établissement de rapports sur les pratiques en matière de durabilité, telles que la consommation de carburant, les mesures d</w:t>
            </w:r>
            <w:r w:rsidR="00D76C1F">
              <w:rPr>
                <w:b/>
                <w:i/>
              </w:rPr>
              <w:t>’</w:t>
            </w:r>
            <w:r w:rsidRPr="00B378EB">
              <w:rPr>
                <w:b/>
                <w:i/>
              </w:rPr>
              <w:t>efficacité énergétique et les efforts de réduction des incidences sur l</w:t>
            </w:r>
            <w:r w:rsidR="00D76C1F">
              <w:rPr>
                <w:b/>
                <w:i/>
              </w:rPr>
              <w:t>’</w:t>
            </w:r>
            <w:r w:rsidRPr="00B378EB">
              <w:rPr>
                <w:b/>
                <w:i/>
              </w:rPr>
              <w:t>environnement, en s</w:t>
            </w:r>
            <w:r w:rsidR="00D76C1F">
              <w:rPr>
                <w:b/>
                <w:i/>
              </w:rPr>
              <w:t>’</w:t>
            </w:r>
            <w:r w:rsidRPr="00B378EB">
              <w:rPr>
                <w:b/>
                <w:i/>
              </w:rPr>
              <w:t>alignant sur les objectifs mondiaux en matière de durabilité.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32</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j bis)</w:t>
            </w:r>
            <w:r w:rsidRPr="00B378EB">
              <w:tab/>
            </w:r>
            <w:r w:rsidRPr="00B378EB">
              <w:rPr>
                <w:b/>
                <w:i/>
              </w:rPr>
              <w:t>élaborer des recommandations et des lignes directrices pour les inspections et procédures de l</w:t>
            </w:r>
            <w:r w:rsidR="00D76C1F">
              <w:rPr>
                <w:b/>
                <w:i/>
              </w:rPr>
              <w:t>’</w:t>
            </w:r>
            <w:r w:rsidRPr="00B378EB">
              <w:rPr>
                <w:b/>
                <w:i/>
              </w:rPr>
              <w:t>État du pavillon, qui accordent la priorité à la protection des droits des travailleurs et à la sécurité sur les navires, notamment avec la participation des représentants des travailleurs aux inspections de 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33</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j ter)</w:t>
            </w:r>
            <w:r w:rsidRPr="00B378EB">
              <w:tab/>
            </w:r>
            <w:r w:rsidRPr="00B378EB">
              <w:rPr>
                <w:b/>
                <w:i/>
              </w:rPr>
              <w:t>formuler des recommandations, en ce qui concerne les inspections et les procédures de l</w:t>
            </w:r>
            <w:r w:rsidR="00D76C1F">
              <w:rPr>
                <w:b/>
                <w:i/>
              </w:rPr>
              <w:t>’</w:t>
            </w:r>
            <w:r w:rsidRPr="00B378EB">
              <w:rPr>
                <w:b/>
                <w:i/>
              </w:rPr>
              <w:t>État du pavillon, qui mettent l</w:t>
            </w:r>
            <w:r w:rsidR="00D76C1F">
              <w:rPr>
                <w:b/>
                <w:i/>
              </w:rPr>
              <w:t>’</w:t>
            </w:r>
            <w:r w:rsidRPr="00B378EB">
              <w:rPr>
                <w:b/>
                <w:i/>
              </w:rPr>
              <w:t>accent sur le respect de l</w:t>
            </w:r>
            <w:r w:rsidR="00D76C1F">
              <w:rPr>
                <w:b/>
                <w:i/>
              </w:rPr>
              <w:t>’</w:t>
            </w:r>
            <w:r w:rsidRPr="00B378EB">
              <w:rPr>
                <w:b/>
                <w:i/>
              </w:rPr>
              <w:t>environnement, de sorte à veiller à ce que les navires respectent les réglementations et lignes directrices internationales dans ce domaine;</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34</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j quater)</w:t>
            </w:r>
            <w:r w:rsidRPr="00B378EB">
              <w:tab/>
            </w:r>
            <w:r w:rsidRPr="00B378EB">
              <w:rPr>
                <w:b/>
                <w:i/>
              </w:rPr>
              <w:t>contribuer à l</w:t>
            </w:r>
            <w:r w:rsidR="00D76C1F">
              <w:rPr>
                <w:b/>
                <w:i/>
              </w:rPr>
              <w:t>’</w:t>
            </w:r>
            <w:r w:rsidRPr="00B378EB">
              <w:rPr>
                <w:b/>
                <w:i/>
              </w:rPr>
              <w:t>élaboration de mesures visant à promouvoir la responsabilité sociale et le respect des normes du travail sur les navires, notamment le suivi et l</w:t>
            </w:r>
            <w:r w:rsidR="00D76C1F">
              <w:rPr>
                <w:b/>
                <w:i/>
              </w:rPr>
              <w:t>’</w:t>
            </w:r>
            <w:r w:rsidRPr="00B378EB">
              <w:rPr>
                <w:b/>
                <w:i/>
              </w:rPr>
              <w:t>établissement de rapports sur le bien-être des équipages, les conditions de travail et l</w:t>
            </w:r>
            <w:r w:rsidR="00D76C1F">
              <w:rPr>
                <w:b/>
                <w:i/>
              </w:rPr>
              <w:t>’</w:t>
            </w:r>
            <w:r w:rsidRPr="00B378EB">
              <w:rPr>
                <w:b/>
                <w:i/>
              </w:rPr>
              <w:t>adhésion à la convention du travail maritime de 2006 (CTM, 2006);</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35</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j quinquies)</w:t>
            </w:r>
            <w:r w:rsidRPr="00B378EB">
              <w:tab/>
            </w:r>
            <w:r w:rsidRPr="00B378EB">
              <w:rPr>
                <w:b/>
                <w:i/>
              </w:rPr>
              <w:t>encourager les États du pavillon à dialoguer avec les communautés locales dans les ports d</w:t>
            </w:r>
            <w:r w:rsidR="00D76C1F">
              <w:rPr>
                <w:b/>
                <w:i/>
              </w:rPr>
              <w:t>’</w:t>
            </w:r>
            <w:r w:rsidRPr="00B378EB">
              <w:rPr>
                <w:b/>
                <w:i/>
              </w:rPr>
              <w:t>escale afin de répondre aux préoccupations sociales ou environnementales liées à l</w:t>
            </w:r>
            <w:r w:rsidR="00D76C1F">
              <w:rPr>
                <w:b/>
                <w:i/>
              </w:rPr>
              <w:t>’</w:t>
            </w:r>
            <w:r w:rsidRPr="00B378EB">
              <w:rPr>
                <w:b/>
                <w:i/>
              </w:rPr>
              <w:t>exploitation des navires, en favorisant des relations positives et des pratiques maritimes responsables;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36</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j sexies)</w:t>
            </w:r>
            <w:r w:rsidRPr="00B378EB">
              <w:tab/>
            </w:r>
            <w:r w:rsidRPr="00B378EB">
              <w:rPr>
                <w:b/>
                <w:i/>
              </w:rPr>
              <w:t>prodiguer des conseils sur l</w:t>
            </w:r>
            <w:r w:rsidR="00D76C1F">
              <w:rPr>
                <w:b/>
                <w:i/>
              </w:rPr>
              <w:t>’</w:t>
            </w:r>
            <w:r w:rsidRPr="00B378EB">
              <w:rPr>
                <w:b/>
                <w:i/>
              </w:rPr>
              <w:t>intégration de nouvelles technologies, telles que les outils numériques de signalement et les dispositifs de l</w:t>
            </w:r>
            <w:r w:rsidR="00D76C1F">
              <w:rPr>
                <w:b/>
                <w:i/>
              </w:rPr>
              <w:t>’</w:t>
            </w:r>
            <w:r w:rsidRPr="00B378EB">
              <w:rPr>
                <w:b/>
                <w:i/>
              </w:rPr>
              <w:t>IdO, afin de renforcer l</w:t>
            </w:r>
            <w:r w:rsidR="00D76C1F">
              <w:rPr>
                <w:b/>
                <w:i/>
              </w:rPr>
              <w:t>’</w:t>
            </w:r>
            <w:r w:rsidRPr="00B378EB">
              <w:rPr>
                <w:b/>
                <w:i/>
              </w:rPr>
              <w:t>efficacité des inspections et de la surveillance par l</w:t>
            </w:r>
            <w:r w:rsidR="00D76C1F">
              <w:rPr>
                <w:b/>
                <w:i/>
              </w:rPr>
              <w:t>’</w:t>
            </w:r>
            <w:r w:rsidRPr="00B378EB">
              <w:rPr>
                <w:b/>
                <w:i/>
              </w:rPr>
              <w:t>État du pavillon, tout en tenant compte des aspects liés à la confidentialité des données et à la cybersécurité;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37</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bis</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j septies)</w:t>
            </w:r>
            <w:r w:rsidRPr="00B378EB">
              <w:tab/>
            </w:r>
            <w:r w:rsidRPr="00B378EB">
              <w:rPr>
                <w:b/>
                <w:i/>
              </w:rPr>
              <w:t>mettre en place des mécanismes de règlement des conflits et des différends liés aux inspections et procédures de l</w:t>
            </w:r>
            <w:r w:rsidR="00D76C1F">
              <w:rPr>
                <w:b/>
                <w:i/>
              </w:rPr>
              <w:t>’</w:t>
            </w:r>
            <w:r w:rsidRPr="00B378EB">
              <w:rPr>
                <w:b/>
                <w:i/>
              </w:rPr>
              <w:t>État du pavillon, qui garantissent des procédures équitables et transparentes.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38</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ter</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iv bis)</w:t>
            </w:r>
            <w:r w:rsidRPr="00B378EB">
              <w:tab/>
            </w:r>
            <w:r w:rsidRPr="00B378EB">
              <w:rPr>
                <w:b/>
                <w:i/>
              </w:rPr>
              <w:t>investissements dans des technologies vertes et durables sur le plan environnemental, telles que l</w:t>
            </w:r>
            <w:r w:rsidR="00D76C1F">
              <w:rPr>
                <w:b/>
                <w:i/>
              </w:rPr>
              <w:t>’</w:t>
            </w:r>
            <w:r w:rsidRPr="00B378EB">
              <w:rPr>
                <w:b/>
                <w:i/>
              </w:rPr>
              <w:t>utilisation de carburants plus propres ou d</w:t>
            </w:r>
            <w:r w:rsidR="00D76C1F">
              <w:rPr>
                <w:b/>
                <w:i/>
              </w:rPr>
              <w:t>’</w:t>
            </w:r>
            <w:r w:rsidRPr="00B378EB">
              <w:rPr>
                <w:b/>
                <w:i/>
              </w:rPr>
              <w:t>équipements de réduction des émissions, afin de démontrer les efforts déployés pour réduire l</w:t>
            </w:r>
            <w:r w:rsidR="00D76C1F">
              <w:rPr>
                <w:b/>
                <w:i/>
              </w:rPr>
              <w:t>’</w:t>
            </w:r>
            <w:r w:rsidRPr="00B378EB">
              <w:rPr>
                <w:b/>
                <w:i/>
              </w:rPr>
              <w:t>empreinte environnementale de la flotte sous pavillon;</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39</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ter</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iv ter)</w:t>
            </w:r>
            <w:r w:rsidRPr="00B378EB">
              <w:tab/>
            </w:r>
            <w:r w:rsidRPr="00B378EB">
              <w:rPr>
                <w:b/>
                <w:i/>
              </w:rPr>
              <w:t>initiatives et mesures prises pour promouvoir une culture de la sécurité à bord des navires, notamment les programmes de formation, les exercices de sécurité et les campagnes de sensibilisation des membres de l</w:t>
            </w:r>
            <w:r w:rsidR="00D76C1F">
              <w:rPr>
                <w:b/>
                <w:i/>
              </w:rPr>
              <w:t>’</w:t>
            </w:r>
            <w:r w:rsidRPr="00B378EB">
              <w:rPr>
                <w:b/>
                <w:i/>
              </w:rPr>
              <w:t>équipage aux pratiques de sécurité;</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40</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ter</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iv quater)</w:t>
            </w:r>
            <w:r w:rsidRPr="00B378EB">
              <w:tab/>
            </w:r>
            <w:r w:rsidRPr="00B378EB">
              <w:rPr>
                <w:b/>
                <w:i/>
              </w:rPr>
              <w:t>incidents, accidents ou violations liés aux exigences en matière de sécurité et de prévention de la pollution, ainsi que les mesures prises pour y remédier, afin de promouvoir la transparence et l</w:t>
            </w:r>
            <w:r w:rsidR="00D76C1F">
              <w:rPr>
                <w:b/>
                <w:i/>
              </w:rPr>
              <w:t>’</w:t>
            </w:r>
            <w:r w:rsidRPr="00B378EB">
              <w:rPr>
                <w:b/>
                <w:i/>
              </w:rPr>
              <w:t>obligation de rendre des comptes;</w:t>
            </w:r>
          </w:p>
        </w:tc>
      </w:tr>
    </w:tbl>
    <w:p w:rsidR="00B378EB" w:rsidRPr="00B378EB" w:rsidRDefault="00B378EB" w:rsidP="009F4ED5">
      <w:r w:rsidRPr="00B378EB">
        <w:rPr>
          <w:rStyle w:val="HideTWBExt"/>
        </w:rPr>
        <w:t>&lt;/Amend&gt;</w:t>
      </w:r>
    </w:p>
    <w:p w:rsidR="00B378EB" w:rsidRPr="00B378EB" w:rsidRDefault="00B378EB" w:rsidP="009F4ED5">
      <w:pPr>
        <w:pStyle w:val="AmNumberTabs"/>
      </w:pPr>
      <w:r w:rsidRPr="00B378EB">
        <w:rPr>
          <w:rStyle w:val="HideTWBExt"/>
        </w:rPr>
        <w:t>&lt;Amend&gt;</w:t>
      </w:r>
      <w:r w:rsidRPr="00B378EB">
        <w:t>Amendement</w:t>
      </w:r>
      <w:r w:rsidRPr="00B378EB">
        <w:tab/>
      </w:r>
      <w:r w:rsidRPr="00B378EB">
        <w:tab/>
      </w:r>
      <w:r w:rsidRPr="00B378EB">
        <w:rPr>
          <w:rStyle w:val="HideTWBExt"/>
        </w:rPr>
        <w:t>&lt;NumAm&gt;</w:t>
      </w:r>
      <w:r w:rsidRPr="00B378EB">
        <w:t>41</w:t>
      </w:r>
      <w:r w:rsidRPr="00B378EB">
        <w:rPr>
          <w:rStyle w:val="HideTWBExt"/>
        </w:rPr>
        <w:t>&lt;/NumAm&gt;</w:t>
      </w:r>
    </w:p>
    <w:p w:rsidR="00B378EB" w:rsidRPr="00B378EB" w:rsidRDefault="00B378EB" w:rsidP="009F4ED5">
      <w:pPr>
        <w:pStyle w:val="NormalBold12b"/>
      </w:pPr>
      <w:r w:rsidRPr="00B378EB">
        <w:rPr>
          <w:rStyle w:val="HideTWBExt"/>
        </w:rPr>
        <w:t>&lt;DocAmend&gt;</w:t>
      </w:r>
      <w:r w:rsidRPr="00B378EB">
        <w:t>Proposition de directive</w:t>
      </w:r>
      <w:r w:rsidRPr="00B378EB">
        <w:rPr>
          <w:rStyle w:val="HideTWBExt"/>
        </w:rPr>
        <w:t>&lt;/DocAmend&gt;</w:t>
      </w:r>
    </w:p>
    <w:p w:rsidR="00B378EB" w:rsidRPr="00B378EB" w:rsidRDefault="00B378EB" w:rsidP="009F4ED5">
      <w:pPr>
        <w:pStyle w:val="NormalBold"/>
      </w:pPr>
      <w:r w:rsidRPr="00B378EB">
        <w:rPr>
          <w:rStyle w:val="HideTWBExt"/>
        </w:rPr>
        <w:t>&lt;Article&gt;</w:t>
      </w:r>
      <w:r w:rsidRPr="00B378EB">
        <w:t>Article 1 – alinéa 1 – point 10</w:t>
      </w:r>
      <w:r w:rsidRPr="00B378EB">
        <w:rPr>
          <w:rStyle w:val="HideTWBExt"/>
        </w:rPr>
        <w:t>&lt;/Article&gt;</w:t>
      </w:r>
    </w:p>
    <w:p w:rsidR="00B378EB" w:rsidRPr="00B378EB" w:rsidRDefault="00B378EB" w:rsidP="009F4ED5">
      <w:r w:rsidRPr="00B378EB">
        <w:rPr>
          <w:rStyle w:val="HideTWBExt"/>
        </w:rPr>
        <w:t>&lt;DocAmend2&gt;</w:t>
      </w:r>
      <w:r w:rsidRPr="00B378EB">
        <w:t>Directive 2009/21/CE</w:t>
      </w:r>
      <w:r w:rsidRPr="00B378EB">
        <w:rPr>
          <w:rStyle w:val="HideTWBExt"/>
        </w:rPr>
        <w:t>&lt;/DocAmend2&gt;</w:t>
      </w:r>
    </w:p>
    <w:p w:rsidR="00B378EB" w:rsidRPr="00B378EB" w:rsidRDefault="00B378EB" w:rsidP="009F4ED5">
      <w:r w:rsidRPr="00B378EB">
        <w:rPr>
          <w:rStyle w:val="HideTWBExt"/>
        </w:rPr>
        <w:t>&lt;Article2&gt;</w:t>
      </w:r>
      <w:r w:rsidRPr="00B378EB">
        <w:t>Article 9 ter</w:t>
      </w:r>
      <w:r w:rsidRPr="00B378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78EB" w:rsidRPr="00B378EB" w:rsidTr="00E653EB">
        <w:trPr>
          <w:trHeight w:hRule="exact" w:val="240"/>
          <w:jc w:val="center"/>
        </w:trPr>
        <w:tc>
          <w:tcPr>
            <w:tcW w:w="9752" w:type="dxa"/>
            <w:gridSpan w:val="2"/>
          </w:tcPr>
          <w:p w:rsidR="00B378EB" w:rsidRPr="00B378EB" w:rsidRDefault="00B378EB" w:rsidP="00E653EB"/>
        </w:tc>
      </w:tr>
      <w:tr w:rsidR="00B378EB" w:rsidRPr="00B378EB" w:rsidTr="00E653EB">
        <w:trPr>
          <w:trHeight w:val="240"/>
          <w:jc w:val="center"/>
        </w:trPr>
        <w:tc>
          <w:tcPr>
            <w:tcW w:w="4876" w:type="dxa"/>
          </w:tcPr>
          <w:p w:rsidR="00B378EB" w:rsidRPr="00B378EB" w:rsidRDefault="00B378EB" w:rsidP="00E653EB">
            <w:pPr>
              <w:pStyle w:val="AmColumnHeading"/>
            </w:pPr>
            <w:r w:rsidRPr="00B378EB">
              <w:t>Texte proposé par la Commission</w:t>
            </w:r>
          </w:p>
        </w:tc>
        <w:tc>
          <w:tcPr>
            <w:tcW w:w="4876" w:type="dxa"/>
          </w:tcPr>
          <w:p w:rsidR="00B378EB" w:rsidRPr="00B378EB" w:rsidRDefault="00B378EB" w:rsidP="00E653EB">
            <w:pPr>
              <w:pStyle w:val="AmColumnHeading"/>
            </w:pPr>
            <w:r w:rsidRPr="00B378EB">
              <w:t>Amendement</w:t>
            </w:r>
          </w:p>
        </w:tc>
      </w:tr>
      <w:tr w:rsidR="00B378EB" w:rsidRPr="00B378EB" w:rsidTr="00E653EB">
        <w:trPr>
          <w:jc w:val="center"/>
        </w:trPr>
        <w:tc>
          <w:tcPr>
            <w:tcW w:w="4876" w:type="dxa"/>
          </w:tcPr>
          <w:p w:rsidR="00B378EB" w:rsidRPr="00B378EB" w:rsidRDefault="00B378EB" w:rsidP="00E653EB">
            <w:pPr>
              <w:pStyle w:val="Normal6a"/>
            </w:pPr>
          </w:p>
        </w:tc>
        <w:tc>
          <w:tcPr>
            <w:tcW w:w="4876" w:type="dxa"/>
          </w:tcPr>
          <w:p w:rsidR="00B378EB" w:rsidRPr="00B378EB" w:rsidRDefault="00B378EB" w:rsidP="00E653EB">
            <w:pPr>
              <w:pStyle w:val="Normal6a"/>
            </w:pPr>
            <w:r w:rsidRPr="00B378EB">
              <w:rPr>
                <w:b/>
                <w:i/>
              </w:rPr>
              <w:t>iv quinquies)</w:t>
            </w:r>
            <w:r w:rsidRPr="00B378EB">
              <w:tab/>
            </w:r>
            <w:r w:rsidRPr="00B378EB">
              <w:rPr>
                <w:b/>
                <w:i/>
              </w:rPr>
              <w:t>collaboration avec d</w:t>
            </w:r>
            <w:r w:rsidR="00D76C1F">
              <w:rPr>
                <w:b/>
                <w:i/>
              </w:rPr>
              <w:t>’</w:t>
            </w:r>
            <w:r w:rsidRPr="00B378EB">
              <w:rPr>
                <w:b/>
                <w:i/>
              </w:rPr>
              <w:t>autres États membres et organismes internationaux pour renforcer la sécurité et la prévention de la pollution, y compris les inspections conjointes, le partage d</w:t>
            </w:r>
            <w:r w:rsidR="00D76C1F">
              <w:rPr>
                <w:b/>
                <w:i/>
              </w:rPr>
              <w:t>’</w:t>
            </w:r>
            <w:r w:rsidRPr="00B378EB">
              <w:rPr>
                <w:b/>
                <w:i/>
              </w:rPr>
              <w:t>informations et la participation à des initiatives internationales visant à améliorer la sécurité maritime et la protection de l</w:t>
            </w:r>
            <w:r w:rsidR="00D76C1F">
              <w:rPr>
                <w:b/>
                <w:i/>
              </w:rPr>
              <w:t>’</w:t>
            </w:r>
            <w:r w:rsidRPr="00B378EB">
              <w:rPr>
                <w:b/>
                <w:i/>
              </w:rPr>
              <w:t>environnement;</w:t>
            </w:r>
          </w:p>
        </w:tc>
      </w:tr>
    </w:tbl>
    <w:p w:rsidR="00B378EB" w:rsidRPr="00B378EB" w:rsidRDefault="00B378EB" w:rsidP="009F4ED5">
      <w:r w:rsidRPr="00B378EB">
        <w:rPr>
          <w:rStyle w:val="HideTWBExt"/>
        </w:rPr>
        <w:t>&lt;/Amend&gt;&lt;/RepeatBlock-Amend&gt;</w:t>
      </w:r>
    </w:p>
    <w:p w:rsidR="00B378EB" w:rsidRPr="00B378EB" w:rsidRDefault="00B378EB" w:rsidP="00F96F7F">
      <w:r w:rsidRPr="00B378EB">
        <w:br w:type="page"/>
      </w:r>
    </w:p>
    <w:p w:rsidR="00B378EB" w:rsidRPr="00B378EB" w:rsidRDefault="00B378EB" w:rsidP="009F4ED5">
      <w:pPr>
        <w:widowControl/>
      </w:pPr>
    </w:p>
    <w:p w:rsidR="00B378EB" w:rsidRPr="00B378EB" w:rsidRDefault="00B378EB" w:rsidP="009F4ED5">
      <w:pPr>
        <w:pStyle w:val="PageHeadingNotTOC"/>
        <w:rPr>
          <w:noProof/>
        </w:rPr>
      </w:pPr>
      <w:bookmarkStart w:id="10" w:name="FootprintPageAD"/>
      <w:r w:rsidRPr="00B378EB">
        <w:t>ANNEXE: ENTITÉS OU PERSONNES</w:t>
      </w:r>
      <w:r w:rsidRPr="00B378EB">
        <w:br/>
        <w:t>DONT LA RAPPORTEURE POUR AVIS A REÇU DES CONTRIBUTIONS</w:t>
      </w:r>
    </w:p>
    <w:p w:rsidR="00B378EB" w:rsidRPr="00B378EB" w:rsidRDefault="00B378EB" w:rsidP="009F4ED5">
      <w:pPr>
        <w:pStyle w:val="Normal24a"/>
      </w:pPr>
      <w:r w:rsidRPr="00B378EB">
        <w:rPr>
          <w:rStyle w:val="HideTWBExt"/>
        </w:rPr>
        <w:t>&lt;FootprintIntro&gt;</w:t>
      </w:r>
      <w:r w:rsidRPr="00B378EB">
        <w:t>La rapporteure pour avis déclare, sous sa responsabilité exclusive, n</w:t>
      </w:r>
      <w:r w:rsidR="00D76C1F">
        <w:t>’</w:t>
      </w:r>
      <w:r w:rsidRPr="00B378EB">
        <w:t>avoir reçu aucune contribution d</w:t>
      </w:r>
      <w:r w:rsidR="00D76C1F">
        <w:t>’</w:t>
      </w:r>
      <w:r w:rsidRPr="00B378EB">
        <w:t>une entité ou personne devant être indiquée dans la présente annexe en vertu de l</w:t>
      </w:r>
      <w:r w:rsidR="00D76C1F">
        <w:t>’</w:t>
      </w:r>
      <w:r w:rsidRPr="00B378EB">
        <w:t>article 8 de l</w:t>
      </w:r>
      <w:r w:rsidR="00D76C1F">
        <w:t>’</w:t>
      </w:r>
      <w:r w:rsidRPr="00B378EB">
        <w:t>annexe I du règlement intérieur.</w:t>
      </w:r>
      <w:r w:rsidRPr="00B378EB">
        <w:rPr>
          <w:rStyle w:val="HideTWBExt"/>
        </w:rPr>
        <w:t>&lt;/FootprintIntro&gt;</w:t>
      </w:r>
    </w:p>
    <w:p w:rsidR="00B378EB" w:rsidRPr="00B378EB" w:rsidRDefault="00B378EB" w:rsidP="009F4ED5"/>
    <w:bookmarkEnd w:id="10"/>
    <w:p w:rsidR="00B378EB" w:rsidRPr="00B378EB" w:rsidRDefault="00B378EB" w:rsidP="009F4ED5">
      <w:r w:rsidRPr="00B378EB">
        <w:br w:type="page"/>
      </w:r>
    </w:p>
    <w:p w:rsidR="00B378EB" w:rsidRPr="00B378EB" w:rsidRDefault="00B378EB" w:rsidP="00F96F7F">
      <w:pPr>
        <w:pStyle w:val="PageHeadingNotTOC"/>
      </w:pPr>
      <w:r w:rsidRPr="00B378EB">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378EB"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Modification de la directive 2009/21/CE concernant le respect des obligations des États du pavillon</w:t>
            </w:r>
          </w:p>
        </w:tc>
      </w:tr>
      <w:tr w:rsidR="00B378EB"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COM(2023)0272 – C9-0188/2023 – 2023/0172(COD)</w:t>
            </w:r>
          </w:p>
        </w:tc>
      </w:tr>
      <w:tr w:rsidR="00B378EB"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Commission compétente au fond</w:t>
            </w:r>
          </w:p>
          <w:p w:rsidR="00B378EB" w:rsidRPr="00B378EB" w:rsidRDefault="00D76C1F">
            <w:pPr>
              <w:autoSpaceDE w:val="0"/>
              <w:autoSpaceDN w:val="0"/>
              <w:adjustRightInd w:val="0"/>
              <w:rPr>
                <w:color w:val="000000"/>
                <w:sz w:val="20"/>
              </w:rPr>
            </w:pPr>
            <w:r>
              <w:rPr>
                <w:color w:val="000000"/>
                <w:sz w:val="20"/>
              </w:rPr>
              <w:t xml:space="preserve">   </w:t>
            </w:r>
            <w:r w:rsidR="00B378EB" w:rsidRPr="00B378EB">
              <w:rPr>
                <w:color w:val="000000"/>
                <w:sz w:val="20"/>
              </w:rPr>
              <w:t> Date de l</w:t>
            </w:r>
            <w:r>
              <w:rPr>
                <w:color w:val="000000"/>
                <w:sz w:val="20"/>
              </w:rPr>
              <w:t>’</w:t>
            </w:r>
            <w:r w:rsidR="00B378EB" w:rsidRPr="00B378EB">
              <w:rPr>
                <w:color w:val="000000"/>
                <w:sz w:val="20"/>
              </w:rPr>
              <w:t>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TRAN</w:t>
            </w:r>
          </w:p>
          <w:p w:rsidR="00B378EB" w:rsidRPr="00B378EB" w:rsidRDefault="00B378EB">
            <w:pPr>
              <w:autoSpaceDE w:val="0"/>
              <w:autoSpaceDN w:val="0"/>
              <w:adjustRightInd w:val="0"/>
              <w:rPr>
                <w:color w:val="000000"/>
                <w:sz w:val="20"/>
              </w:rPr>
            </w:pPr>
            <w:r w:rsidRPr="00B378EB">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r>
      <w:tr w:rsidR="00B378EB"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Avis émis par</w:t>
            </w:r>
          </w:p>
          <w:p w:rsidR="00B378EB" w:rsidRPr="00B378EB" w:rsidRDefault="00D76C1F">
            <w:pPr>
              <w:autoSpaceDE w:val="0"/>
              <w:autoSpaceDN w:val="0"/>
              <w:adjustRightInd w:val="0"/>
              <w:rPr>
                <w:color w:val="000000"/>
                <w:sz w:val="20"/>
              </w:rPr>
            </w:pPr>
            <w:r>
              <w:rPr>
                <w:color w:val="000000"/>
                <w:sz w:val="20"/>
              </w:rPr>
              <w:t xml:space="preserve">   </w:t>
            </w:r>
            <w:r w:rsidR="00B378EB" w:rsidRPr="00B378EB">
              <w:rPr>
                <w:color w:val="000000"/>
                <w:sz w:val="20"/>
              </w:rPr>
              <w:t> Date de l</w:t>
            </w:r>
            <w:r>
              <w:rPr>
                <w:color w:val="000000"/>
                <w:sz w:val="20"/>
              </w:rPr>
              <w:t>’</w:t>
            </w:r>
            <w:r w:rsidR="00B378EB" w:rsidRPr="00B378EB">
              <w:rPr>
                <w:color w:val="000000"/>
                <w:sz w:val="20"/>
              </w:rPr>
              <w:t>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PECH</w:t>
            </w:r>
          </w:p>
          <w:p w:rsidR="00B378EB" w:rsidRPr="00B378EB" w:rsidRDefault="00B378EB">
            <w:pPr>
              <w:autoSpaceDE w:val="0"/>
              <w:autoSpaceDN w:val="0"/>
              <w:adjustRightInd w:val="0"/>
              <w:rPr>
                <w:color w:val="000000"/>
                <w:sz w:val="20"/>
              </w:rPr>
            </w:pPr>
            <w:r w:rsidRPr="00B378EB">
              <w:rPr>
                <w:color w:val="000000"/>
                <w:sz w:val="20"/>
              </w:rPr>
              <w:t>10.7.2023</w:t>
            </w:r>
          </w:p>
        </w:tc>
      </w:tr>
      <w:tr w:rsidR="00B378EB"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Rapporteur(e) pour avis</w:t>
            </w:r>
          </w:p>
          <w:p w:rsidR="00B378EB" w:rsidRPr="00B378EB" w:rsidRDefault="00D76C1F">
            <w:pPr>
              <w:autoSpaceDE w:val="0"/>
              <w:autoSpaceDN w:val="0"/>
              <w:adjustRightInd w:val="0"/>
              <w:rPr>
                <w:color w:val="000000"/>
                <w:sz w:val="20"/>
              </w:rPr>
            </w:pPr>
            <w:r>
              <w:rPr>
                <w:color w:val="000000"/>
                <w:sz w:val="20"/>
              </w:rPr>
              <w:t xml:space="preserve">   </w:t>
            </w:r>
            <w:r w:rsidR="00B378EB" w:rsidRPr="00B378EB">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Ana Miranda</w:t>
            </w:r>
          </w:p>
          <w:p w:rsidR="00B378EB" w:rsidRPr="00B378EB" w:rsidRDefault="00B378EB">
            <w:pPr>
              <w:autoSpaceDE w:val="0"/>
              <w:autoSpaceDN w:val="0"/>
              <w:adjustRightInd w:val="0"/>
              <w:rPr>
                <w:color w:val="000000"/>
                <w:sz w:val="20"/>
              </w:rPr>
            </w:pPr>
            <w:r w:rsidRPr="00B378EB">
              <w:rPr>
                <w:color w:val="000000"/>
                <w:sz w:val="20"/>
              </w:rPr>
              <w:t>5.9.2023</w:t>
            </w:r>
          </w:p>
        </w:tc>
      </w:tr>
      <w:tr w:rsidR="00B378EB"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r>
      <w:tr w:rsidR="00B378EB"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Date de l</w:t>
            </w:r>
            <w:r w:rsidR="00D76C1F">
              <w:rPr>
                <w:b/>
                <w:color w:val="000000"/>
                <w:sz w:val="20"/>
              </w:rPr>
              <w:t>’</w:t>
            </w:r>
            <w:r w:rsidRPr="00B378EB">
              <w:rPr>
                <w:b/>
                <w:color w:val="000000"/>
                <w:sz w:val="20"/>
              </w:rPr>
              <w:t>adoption</w:t>
            </w:r>
          </w:p>
        </w:tc>
        <w:tc>
          <w:tcPr>
            <w:tcW w:w="1530" w:type="dxa"/>
            <w:tcBorders>
              <w:top w:val="nil"/>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rFonts w:ascii="sans-serif" w:hAnsi="sans-serif" w:cs="sans-serif"/>
                <w:color w:val="000000"/>
              </w:rPr>
            </w:pPr>
          </w:p>
        </w:tc>
      </w:tr>
      <w:tr w:rsidR="00B378EB"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w:t>
            </w:r>
          </w:p>
          <w:p w:rsidR="00B378EB" w:rsidRPr="00B378EB" w:rsidRDefault="00B378EB">
            <w:pPr>
              <w:autoSpaceDE w:val="0"/>
              <w:autoSpaceDN w:val="0"/>
              <w:adjustRightInd w:val="0"/>
              <w:rPr>
                <w:color w:val="000000"/>
                <w:sz w:val="20"/>
              </w:rPr>
            </w:pPr>
            <w:r w:rsidRPr="00B378EB">
              <w:rPr>
                <w:color w:val="000000"/>
                <w:sz w:val="20"/>
              </w:rPr>
              <w:t>–:</w:t>
            </w:r>
          </w:p>
          <w:p w:rsidR="00B378EB" w:rsidRPr="00B378EB" w:rsidRDefault="00B378EB">
            <w:pPr>
              <w:autoSpaceDE w:val="0"/>
              <w:autoSpaceDN w:val="0"/>
              <w:adjustRightInd w:val="0"/>
              <w:rPr>
                <w:color w:val="000000"/>
                <w:sz w:val="20"/>
              </w:rPr>
            </w:pPr>
            <w:r w:rsidRPr="00B378E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20</w:t>
            </w:r>
          </w:p>
          <w:p w:rsidR="00B378EB" w:rsidRPr="00B378EB" w:rsidRDefault="00B378EB">
            <w:pPr>
              <w:autoSpaceDE w:val="0"/>
              <w:autoSpaceDN w:val="0"/>
              <w:adjustRightInd w:val="0"/>
              <w:rPr>
                <w:color w:val="000000"/>
                <w:sz w:val="20"/>
              </w:rPr>
            </w:pPr>
            <w:r w:rsidRPr="00B378EB">
              <w:rPr>
                <w:color w:val="000000"/>
                <w:sz w:val="20"/>
              </w:rPr>
              <w:t>3</w:t>
            </w:r>
          </w:p>
          <w:p w:rsidR="00B378EB" w:rsidRPr="00B378EB" w:rsidRDefault="00B378EB">
            <w:pPr>
              <w:autoSpaceDE w:val="0"/>
              <w:autoSpaceDN w:val="0"/>
              <w:adjustRightInd w:val="0"/>
              <w:rPr>
                <w:color w:val="000000"/>
                <w:sz w:val="20"/>
              </w:rPr>
            </w:pPr>
            <w:r w:rsidRPr="00B378EB">
              <w:rPr>
                <w:color w:val="000000"/>
                <w:sz w:val="20"/>
              </w:rPr>
              <w:t>1</w:t>
            </w:r>
          </w:p>
        </w:tc>
      </w:tr>
      <w:tr w:rsidR="00B378EB"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Clara Aguilera, João Albuquerque, Pietro Bartolo, Izaskun Bilbao Barandica, Isabel Carvalhais, Maria da Graça Carvalho, Asger Christensen, Rosa D</w:t>
            </w:r>
            <w:r w:rsidR="00D76C1F">
              <w:rPr>
                <w:color w:val="000000"/>
                <w:sz w:val="20"/>
              </w:rPr>
              <w:t>’</w:t>
            </w:r>
            <w:r w:rsidRPr="00B378EB">
              <w:rPr>
                <w:color w:val="000000"/>
                <w:sz w:val="20"/>
              </w:rPr>
              <w:t>Amato, Francisco Guerreiro, Anja Haga, Niclas Herbst, Ladislav Ilčić, France Jamet, Predrag Fred Matić, Francisco José Millán Mon, Ana Miranda, João Pimenta Lopes, Caroline Roose, Bert-Jan Ruissen, Marc Tarabella, Theodoros Zagorakis</w:t>
            </w:r>
          </w:p>
        </w:tc>
      </w:tr>
      <w:tr w:rsidR="00B378EB"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Gabriel Mato</w:t>
            </w:r>
          </w:p>
        </w:tc>
      </w:tr>
      <w:tr w:rsidR="00B378EB"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b/>
                <w:bCs/>
                <w:color w:val="000000"/>
                <w:sz w:val="20"/>
              </w:rPr>
            </w:pPr>
            <w:r w:rsidRPr="00B378EB">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378EB" w:rsidRPr="00B378EB" w:rsidRDefault="00B378EB">
            <w:pPr>
              <w:autoSpaceDE w:val="0"/>
              <w:autoSpaceDN w:val="0"/>
              <w:adjustRightInd w:val="0"/>
              <w:rPr>
                <w:color w:val="000000"/>
                <w:sz w:val="20"/>
              </w:rPr>
            </w:pPr>
            <w:r w:rsidRPr="00B378EB">
              <w:rPr>
                <w:color w:val="000000"/>
                <w:sz w:val="20"/>
              </w:rPr>
              <w:t>Erik Poulsen, Anne Sander</w:t>
            </w:r>
          </w:p>
        </w:tc>
      </w:tr>
    </w:tbl>
    <w:p w:rsidR="00B378EB" w:rsidRPr="00B378EB" w:rsidRDefault="00B378EB"/>
    <w:p w:rsidR="00B378EB" w:rsidRPr="00B378EB" w:rsidRDefault="00B378EB" w:rsidP="009F4ED5">
      <w:pPr>
        <w:sectPr w:rsidR="00B378EB" w:rsidRPr="00B378EB" w:rsidSect="00B378EB">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378EB" w:rsidRPr="00B378EB" w:rsidRDefault="00B378EB" w:rsidP="009F4ED5"/>
    <w:p w:rsidR="00B378EB" w:rsidRPr="00B378EB" w:rsidRDefault="00B378EB" w:rsidP="00C36610">
      <w:pPr>
        <w:pStyle w:val="PageHeadingNotTOC"/>
      </w:pPr>
      <w:r w:rsidRPr="00B378EB">
        <w:t>VOTE FINAL PAR APPEL NOMINAL</w:t>
      </w:r>
      <w:r w:rsidRPr="00B378EB">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378EB" w:rsidRPr="00B378EB" w:rsidTr="00E653EB">
        <w:trPr>
          <w:cantSplit/>
        </w:trPr>
        <w:tc>
          <w:tcPr>
            <w:tcW w:w="1701" w:type="dxa"/>
            <w:shd w:val="pct10" w:color="000000" w:fill="FFFFFF"/>
            <w:vAlign w:val="center"/>
          </w:tcPr>
          <w:p w:rsidR="00B378EB" w:rsidRPr="00B378EB" w:rsidRDefault="00B378EB" w:rsidP="00E653EB">
            <w:pPr>
              <w:pStyle w:val="RollCallVotes"/>
            </w:pPr>
            <w:r w:rsidRPr="00B378EB">
              <w:t>20</w:t>
            </w:r>
          </w:p>
        </w:tc>
        <w:tc>
          <w:tcPr>
            <w:tcW w:w="7371" w:type="dxa"/>
            <w:shd w:val="pct10" w:color="000000" w:fill="FFFFFF"/>
          </w:tcPr>
          <w:p w:rsidR="00B378EB" w:rsidRPr="00B378EB" w:rsidRDefault="00B378EB" w:rsidP="00E653EB">
            <w:pPr>
              <w:pStyle w:val="RollCallSymbols14pt"/>
            </w:pPr>
            <w:r w:rsidRPr="00B378EB">
              <w:t>+</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PPE</w:t>
            </w:r>
          </w:p>
        </w:tc>
        <w:tc>
          <w:tcPr>
            <w:tcW w:w="7371" w:type="dxa"/>
            <w:shd w:val="clear" w:color="auto" w:fill="FFFFFF"/>
          </w:tcPr>
          <w:p w:rsidR="00B378EB" w:rsidRPr="00B378EB" w:rsidRDefault="00B378EB" w:rsidP="00E653EB">
            <w:pPr>
              <w:pStyle w:val="RollCallTable"/>
            </w:pPr>
            <w:r w:rsidRPr="00B378EB">
              <w:t>Maria da Graça Carvalho, Anja Haga, Niclas Herbst, Gabriel Mato, Francisco José Millán Mon, Anne Sander, Theodoros Zagorakis</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Renew</w:t>
            </w:r>
          </w:p>
        </w:tc>
        <w:tc>
          <w:tcPr>
            <w:tcW w:w="7371" w:type="dxa"/>
            <w:shd w:val="clear" w:color="auto" w:fill="FFFFFF"/>
          </w:tcPr>
          <w:p w:rsidR="00B378EB" w:rsidRPr="00B378EB" w:rsidRDefault="00B378EB" w:rsidP="00E653EB">
            <w:pPr>
              <w:pStyle w:val="RollCallTable"/>
            </w:pPr>
            <w:r w:rsidRPr="00B378EB">
              <w:t>Izaskun Bilbao Barandica, Asger Christensen, Erik Poulsen</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S&amp;D</w:t>
            </w:r>
          </w:p>
        </w:tc>
        <w:tc>
          <w:tcPr>
            <w:tcW w:w="7371" w:type="dxa"/>
            <w:shd w:val="clear" w:color="auto" w:fill="FFFFFF"/>
          </w:tcPr>
          <w:p w:rsidR="00B378EB" w:rsidRPr="00B378EB" w:rsidRDefault="00B378EB" w:rsidP="00E653EB">
            <w:pPr>
              <w:pStyle w:val="RollCallTable"/>
            </w:pPr>
            <w:r w:rsidRPr="00B378EB">
              <w:t>Clara Aguilera, João Albuquerque, Pietro Bartolo, Isabel Carvalhais, Predrag Fred Matić</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The Left</w:t>
            </w:r>
          </w:p>
        </w:tc>
        <w:tc>
          <w:tcPr>
            <w:tcW w:w="7371" w:type="dxa"/>
            <w:shd w:val="clear" w:color="auto" w:fill="FFFFFF"/>
          </w:tcPr>
          <w:p w:rsidR="00B378EB" w:rsidRPr="00B378EB" w:rsidRDefault="00B378EB" w:rsidP="00E653EB">
            <w:pPr>
              <w:pStyle w:val="RollCallTable"/>
            </w:pPr>
            <w:r w:rsidRPr="00B378EB">
              <w:t>João Pimenta Lopes</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Verts/ALE</w:t>
            </w:r>
          </w:p>
        </w:tc>
        <w:tc>
          <w:tcPr>
            <w:tcW w:w="7371" w:type="dxa"/>
            <w:shd w:val="clear" w:color="auto" w:fill="FFFFFF"/>
          </w:tcPr>
          <w:p w:rsidR="00B378EB" w:rsidRPr="00B378EB" w:rsidRDefault="00B378EB" w:rsidP="00E653EB">
            <w:pPr>
              <w:pStyle w:val="RollCallTable"/>
            </w:pPr>
            <w:r w:rsidRPr="00B378EB">
              <w:t>Rosa D</w:t>
            </w:r>
            <w:r w:rsidR="00D76C1F">
              <w:t>’</w:t>
            </w:r>
            <w:r w:rsidRPr="00B378EB">
              <w:t>Amato, Francisco Guerreiro, Ana Miranda, Caroline Roose</w:t>
            </w:r>
          </w:p>
        </w:tc>
      </w:tr>
    </w:tbl>
    <w:p w:rsidR="00B378EB" w:rsidRPr="00B378EB" w:rsidRDefault="00B378EB" w:rsidP="009F4ED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378EB" w:rsidRPr="00B378EB" w:rsidTr="00E653EB">
        <w:trPr>
          <w:cantSplit/>
        </w:trPr>
        <w:tc>
          <w:tcPr>
            <w:tcW w:w="1701" w:type="dxa"/>
            <w:shd w:val="pct10" w:color="000000" w:fill="FFFFFF"/>
            <w:vAlign w:val="center"/>
          </w:tcPr>
          <w:p w:rsidR="00B378EB" w:rsidRPr="00B378EB" w:rsidRDefault="00B378EB" w:rsidP="00E653EB">
            <w:pPr>
              <w:pStyle w:val="RollCallVotes"/>
            </w:pPr>
            <w:r w:rsidRPr="00B378EB">
              <w:t>3</w:t>
            </w:r>
          </w:p>
        </w:tc>
        <w:tc>
          <w:tcPr>
            <w:tcW w:w="7371" w:type="dxa"/>
            <w:shd w:val="pct10" w:color="000000" w:fill="FFFFFF"/>
          </w:tcPr>
          <w:p w:rsidR="00B378EB" w:rsidRPr="00B378EB" w:rsidRDefault="00B378EB" w:rsidP="00E653EB">
            <w:pPr>
              <w:pStyle w:val="RollCallSymbols14pt"/>
            </w:pPr>
            <w:r w:rsidRPr="00B378EB">
              <w:t>-</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ECR</w:t>
            </w:r>
          </w:p>
        </w:tc>
        <w:tc>
          <w:tcPr>
            <w:tcW w:w="7371" w:type="dxa"/>
            <w:shd w:val="clear" w:color="auto" w:fill="FFFFFF"/>
          </w:tcPr>
          <w:p w:rsidR="00B378EB" w:rsidRPr="00B378EB" w:rsidRDefault="00B378EB" w:rsidP="00E653EB">
            <w:pPr>
              <w:pStyle w:val="RollCallTable"/>
            </w:pPr>
            <w:r w:rsidRPr="00B378EB">
              <w:t>Ladislav Ilčić, Bert-Jan Ruissen</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ID</w:t>
            </w:r>
          </w:p>
        </w:tc>
        <w:tc>
          <w:tcPr>
            <w:tcW w:w="7371" w:type="dxa"/>
            <w:shd w:val="clear" w:color="auto" w:fill="FFFFFF"/>
          </w:tcPr>
          <w:p w:rsidR="00B378EB" w:rsidRPr="00B378EB" w:rsidRDefault="00B378EB" w:rsidP="00E653EB">
            <w:pPr>
              <w:pStyle w:val="RollCallTable"/>
            </w:pPr>
            <w:r w:rsidRPr="00B378EB">
              <w:t>France Jamet</w:t>
            </w:r>
          </w:p>
        </w:tc>
      </w:tr>
    </w:tbl>
    <w:p w:rsidR="00B378EB" w:rsidRPr="00B378EB" w:rsidRDefault="00B378EB" w:rsidP="009F4ED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378EB" w:rsidRPr="00B378EB" w:rsidTr="00E653EB">
        <w:trPr>
          <w:cantSplit/>
        </w:trPr>
        <w:tc>
          <w:tcPr>
            <w:tcW w:w="1701" w:type="dxa"/>
            <w:shd w:val="pct10" w:color="000000" w:fill="FFFFFF"/>
            <w:vAlign w:val="center"/>
          </w:tcPr>
          <w:p w:rsidR="00B378EB" w:rsidRPr="00B378EB" w:rsidRDefault="00B378EB" w:rsidP="00E653EB">
            <w:pPr>
              <w:pStyle w:val="RollCallVotes"/>
            </w:pPr>
            <w:r w:rsidRPr="00B378EB">
              <w:t>1</w:t>
            </w:r>
          </w:p>
        </w:tc>
        <w:tc>
          <w:tcPr>
            <w:tcW w:w="7371" w:type="dxa"/>
            <w:shd w:val="pct10" w:color="000000" w:fill="FFFFFF"/>
          </w:tcPr>
          <w:p w:rsidR="00B378EB" w:rsidRPr="00B378EB" w:rsidRDefault="00B378EB" w:rsidP="00E653EB">
            <w:pPr>
              <w:pStyle w:val="RollCallSymbols14pt"/>
            </w:pPr>
            <w:r w:rsidRPr="00B378EB">
              <w:t>0</w:t>
            </w:r>
          </w:p>
        </w:tc>
      </w:tr>
      <w:tr w:rsidR="00B378EB" w:rsidRPr="00B378EB" w:rsidTr="00E653EB">
        <w:trPr>
          <w:cantSplit/>
        </w:trPr>
        <w:tc>
          <w:tcPr>
            <w:tcW w:w="1701" w:type="dxa"/>
            <w:shd w:val="clear" w:color="auto" w:fill="FFFFFF"/>
          </w:tcPr>
          <w:p w:rsidR="00B378EB" w:rsidRPr="00B378EB" w:rsidRDefault="00B378EB" w:rsidP="00E653EB">
            <w:pPr>
              <w:pStyle w:val="RollCallTable"/>
            </w:pPr>
            <w:r w:rsidRPr="00B378EB">
              <w:t>NI</w:t>
            </w:r>
          </w:p>
        </w:tc>
        <w:tc>
          <w:tcPr>
            <w:tcW w:w="7371" w:type="dxa"/>
            <w:shd w:val="clear" w:color="auto" w:fill="FFFFFF"/>
          </w:tcPr>
          <w:p w:rsidR="00B378EB" w:rsidRPr="00B378EB" w:rsidRDefault="00B378EB" w:rsidP="00E653EB">
            <w:pPr>
              <w:pStyle w:val="RollCallTable"/>
            </w:pPr>
            <w:r w:rsidRPr="00B378EB">
              <w:t>Marc Tarabella</w:t>
            </w:r>
          </w:p>
        </w:tc>
      </w:tr>
    </w:tbl>
    <w:p w:rsidR="00B378EB" w:rsidRPr="00B378EB" w:rsidRDefault="00B378EB" w:rsidP="00147FBF">
      <w:pPr>
        <w:pStyle w:val="Normal12a"/>
      </w:pPr>
    </w:p>
    <w:p w:rsidR="00B378EB" w:rsidRPr="00B378EB" w:rsidRDefault="00B378EB" w:rsidP="00B735E3">
      <w:r w:rsidRPr="00B378EB">
        <w:t>Légende des signes utilisés:</w:t>
      </w:r>
    </w:p>
    <w:p w:rsidR="00B378EB" w:rsidRPr="00B378EB" w:rsidRDefault="00B378EB" w:rsidP="003858C5">
      <w:pPr>
        <w:pStyle w:val="RollCallTabs"/>
      </w:pPr>
      <w:r w:rsidRPr="00B378EB">
        <w:t>+</w:t>
      </w:r>
      <w:r w:rsidRPr="00B378EB">
        <w:tab/>
        <w:t>:</w:t>
      </w:r>
      <w:r w:rsidRPr="00B378EB">
        <w:tab/>
        <w:t>pour</w:t>
      </w:r>
    </w:p>
    <w:p w:rsidR="00B378EB" w:rsidRPr="00B378EB" w:rsidRDefault="00B378EB" w:rsidP="003858C5">
      <w:pPr>
        <w:pStyle w:val="RollCallTabs"/>
      </w:pPr>
      <w:r w:rsidRPr="00B378EB">
        <w:t>-</w:t>
      </w:r>
      <w:r w:rsidRPr="00B378EB">
        <w:tab/>
        <w:t>:</w:t>
      </w:r>
      <w:r w:rsidRPr="00B378EB">
        <w:tab/>
        <w:t>contre</w:t>
      </w:r>
    </w:p>
    <w:p w:rsidR="00B378EB" w:rsidRPr="00B378EB" w:rsidRDefault="00B378EB" w:rsidP="003858C5">
      <w:pPr>
        <w:pStyle w:val="RollCallTabs"/>
      </w:pPr>
      <w:r w:rsidRPr="00B378EB">
        <w:t>0</w:t>
      </w:r>
      <w:r w:rsidRPr="00B378EB">
        <w:tab/>
        <w:t>:</w:t>
      </w:r>
      <w:r w:rsidRPr="00B378EB">
        <w:tab/>
        <w:t>abstention</w:t>
      </w:r>
    </w:p>
    <w:p w:rsidR="00B378EB" w:rsidRPr="00B378EB" w:rsidRDefault="00B378EB" w:rsidP="00207509"/>
    <w:p w:rsidR="00B378EB" w:rsidRPr="00B378EB" w:rsidRDefault="00B378EB" w:rsidP="009F4ED5"/>
    <w:p w:rsidR="00B378EB" w:rsidRPr="00B378EB" w:rsidRDefault="00B378EB">
      <w:pPr>
        <w:widowControl/>
      </w:pPr>
    </w:p>
    <w:p w:rsidR="00B378EB" w:rsidRPr="00B378EB" w:rsidRDefault="00B378EB">
      <w:pPr>
        <w:widowControl/>
        <w:sectPr w:rsidR="00B378EB" w:rsidRPr="00B378EB" w:rsidSect="00B378E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B38AB" w:rsidRPr="00B378EB" w:rsidRDefault="00FB38AB">
      <w:pPr>
        <w:widowControl/>
      </w:pPr>
    </w:p>
    <w:p w:rsidR="006C6DC5" w:rsidRPr="00B378EB" w:rsidRDefault="00D76C1F" w:rsidP="006C6DC5">
      <w:pPr>
        <w:pStyle w:val="PageHeading"/>
      </w:pPr>
      <w:bookmarkStart w:id="11" w:name="ProcPageRR"/>
      <w:bookmarkStart w:id="12" w:name="_Toc155717098"/>
      <w:r w:rsidRPr="00B378EB">
        <w:t>PROCÉDURE DE LA COMMISSION COMPÉTENTE AU FOND</w:t>
      </w:r>
      <w:bookmarkEnd w:id="12"/>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9089F"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Modification de la directive 2009/21/CE concernant le respect des obligations des États du pavillon</w:t>
            </w:r>
          </w:p>
        </w:tc>
      </w:tr>
      <w:tr w:rsidR="0039089F"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COM(2023)0272 – C9-0188/2023 – 2023/0172(COD)</w:t>
            </w:r>
          </w:p>
        </w:tc>
      </w:tr>
      <w:tr w:rsidR="0039089F"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1.6.2023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r>
      <w:tr w:rsidR="0039089F"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Commission compétente au fond</w:t>
            </w:r>
          </w:p>
          <w:p w:rsidR="006C6DC5" w:rsidRPr="00B378EB" w:rsidRDefault="00D76C1F">
            <w:pPr>
              <w:autoSpaceDE w:val="0"/>
              <w:autoSpaceDN w:val="0"/>
              <w:adjustRightInd w:val="0"/>
              <w:rPr>
                <w:color w:val="000000"/>
                <w:sz w:val="20"/>
              </w:rPr>
            </w:pPr>
            <w:r>
              <w:rPr>
                <w:color w:val="000000"/>
                <w:sz w:val="20"/>
              </w:rPr>
              <w:t xml:space="preserve">   </w:t>
            </w:r>
            <w:r w:rsidRPr="00B378EB">
              <w:rPr>
                <w:color w:val="000000"/>
                <w:sz w:val="20"/>
              </w:rPr>
              <w:t> Date de l</w:t>
            </w:r>
            <w:r>
              <w:rPr>
                <w:color w:val="000000"/>
                <w:sz w:val="20"/>
              </w:rPr>
              <w:t>’</w:t>
            </w:r>
            <w:r w:rsidRPr="00B378EB">
              <w:rPr>
                <w:color w:val="000000"/>
                <w:sz w:val="20"/>
              </w:rPr>
              <w:t>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TRAN</w:t>
            </w:r>
          </w:p>
          <w:p w:rsidR="006C6DC5" w:rsidRPr="00B378EB" w:rsidRDefault="00D76C1F">
            <w:pPr>
              <w:autoSpaceDE w:val="0"/>
              <w:autoSpaceDN w:val="0"/>
              <w:adjustRightInd w:val="0"/>
              <w:rPr>
                <w:color w:val="000000"/>
                <w:sz w:val="20"/>
              </w:rPr>
            </w:pPr>
            <w:r w:rsidRPr="00B378EB">
              <w:rPr>
                <w:color w:val="000000"/>
                <w:sz w:val="20"/>
              </w:rPr>
              <w:t>10.7.2023</w:t>
            </w:r>
          </w:p>
        </w:tc>
        <w:tc>
          <w:tcPr>
            <w:tcW w:w="1474" w:type="dxa"/>
            <w:tcBorders>
              <w:top w:val="nil"/>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r>
      <w:tr w:rsidR="0039089F"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Commissions saisies pour avis</w:t>
            </w:r>
          </w:p>
          <w:p w:rsidR="006C6DC5" w:rsidRPr="00B378EB" w:rsidRDefault="00D76C1F">
            <w:pPr>
              <w:autoSpaceDE w:val="0"/>
              <w:autoSpaceDN w:val="0"/>
              <w:adjustRightInd w:val="0"/>
              <w:rPr>
                <w:color w:val="000000"/>
                <w:sz w:val="20"/>
              </w:rPr>
            </w:pPr>
            <w:r>
              <w:rPr>
                <w:color w:val="000000"/>
                <w:sz w:val="20"/>
              </w:rPr>
              <w:t xml:space="preserve">   </w:t>
            </w:r>
            <w:r w:rsidRPr="00B378EB">
              <w:rPr>
                <w:color w:val="000000"/>
                <w:sz w:val="20"/>
              </w:rPr>
              <w:t> Date de l</w:t>
            </w:r>
            <w:r>
              <w:rPr>
                <w:color w:val="000000"/>
                <w:sz w:val="20"/>
              </w:rPr>
              <w:t>’</w:t>
            </w:r>
            <w:r w:rsidRPr="00B378EB">
              <w:rPr>
                <w:color w:val="000000"/>
                <w:sz w:val="20"/>
              </w:rPr>
              <w:t>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BUDG</w:t>
            </w:r>
          </w:p>
          <w:p w:rsidR="006C6DC5" w:rsidRPr="00B378EB" w:rsidRDefault="00D76C1F">
            <w:pPr>
              <w:autoSpaceDE w:val="0"/>
              <w:autoSpaceDN w:val="0"/>
              <w:adjustRightInd w:val="0"/>
              <w:rPr>
                <w:color w:val="000000"/>
                <w:sz w:val="20"/>
              </w:rPr>
            </w:pPr>
            <w:r w:rsidRPr="00B378EB">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PECH</w:t>
            </w:r>
          </w:p>
          <w:p w:rsidR="006C6DC5" w:rsidRPr="00B378EB" w:rsidRDefault="00D76C1F">
            <w:pPr>
              <w:autoSpaceDE w:val="0"/>
              <w:autoSpaceDN w:val="0"/>
              <w:adjustRightInd w:val="0"/>
              <w:rPr>
                <w:color w:val="000000"/>
                <w:sz w:val="20"/>
              </w:rPr>
            </w:pPr>
            <w:r w:rsidRPr="00B378EB">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r>
      <w:tr w:rsidR="0039089F"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Avis non émis</w:t>
            </w:r>
          </w:p>
          <w:p w:rsidR="006C6DC5" w:rsidRPr="00B378EB" w:rsidRDefault="00D76C1F">
            <w:pPr>
              <w:autoSpaceDE w:val="0"/>
              <w:autoSpaceDN w:val="0"/>
              <w:adjustRightInd w:val="0"/>
              <w:rPr>
                <w:color w:val="000000"/>
                <w:sz w:val="20"/>
              </w:rPr>
            </w:pPr>
            <w:r>
              <w:rPr>
                <w:color w:val="000000"/>
                <w:sz w:val="20"/>
              </w:rPr>
              <w:t xml:space="preserve">   </w:t>
            </w:r>
            <w:r w:rsidRPr="00B378EB">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BUDG</w:t>
            </w:r>
          </w:p>
          <w:p w:rsidR="006C6DC5" w:rsidRPr="00B378EB" w:rsidRDefault="00D76C1F">
            <w:pPr>
              <w:autoSpaceDE w:val="0"/>
              <w:autoSpaceDN w:val="0"/>
              <w:adjustRightInd w:val="0"/>
              <w:rPr>
                <w:color w:val="000000"/>
                <w:sz w:val="20"/>
              </w:rPr>
            </w:pPr>
            <w:r w:rsidRPr="00B378EB">
              <w:rPr>
                <w:color w:val="000000"/>
                <w:sz w:val="20"/>
              </w:rPr>
              <w:t>28.6.2023</w:t>
            </w:r>
          </w:p>
        </w:tc>
        <w:tc>
          <w:tcPr>
            <w:tcW w:w="1474" w:type="dxa"/>
            <w:tcBorders>
              <w:top w:val="nil"/>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r>
      <w:tr w:rsidR="0039089F"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Rapporteurs</w:t>
            </w:r>
          </w:p>
          <w:p w:rsidR="006C6DC5" w:rsidRPr="00B378EB" w:rsidRDefault="00D76C1F">
            <w:pPr>
              <w:autoSpaceDE w:val="0"/>
              <w:autoSpaceDN w:val="0"/>
              <w:adjustRightInd w:val="0"/>
              <w:rPr>
                <w:color w:val="000000"/>
                <w:sz w:val="20"/>
              </w:rPr>
            </w:pPr>
            <w:r>
              <w:rPr>
                <w:color w:val="000000"/>
                <w:sz w:val="20"/>
              </w:rPr>
              <w:t xml:space="preserve">   </w:t>
            </w:r>
            <w:r w:rsidRPr="00B378EB">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Vera Tax</w:t>
            </w:r>
          </w:p>
          <w:p w:rsidR="006C6DC5" w:rsidRPr="00B378EB" w:rsidRDefault="00D76C1F">
            <w:pPr>
              <w:autoSpaceDE w:val="0"/>
              <w:autoSpaceDN w:val="0"/>
              <w:adjustRightInd w:val="0"/>
              <w:rPr>
                <w:color w:val="000000"/>
                <w:sz w:val="20"/>
              </w:rPr>
            </w:pPr>
            <w:r w:rsidRPr="00B378EB">
              <w:rPr>
                <w:color w:val="000000"/>
                <w:sz w:val="20"/>
              </w:rPr>
              <w:t>13.7.2023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r>
      <w:tr w:rsidR="0039089F"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r>
      <w:tr w:rsidR="0039089F"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Date de l</w:t>
            </w:r>
            <w:r>
              <w:rPr>
                <w:b/>
                <w:color w:val="000000"/>
                <w:sz w:val="20"/>
              </w:rPr>
              <w:t>’</w:t>
            </w:r>
            <w:r w:rsidRPr="00B378EB">
              <w:rPr>
                <w:b/>
                <w:color w:val="000000"/>
                <w:sz w:val="20"/>
              </w:rPr>
              <w:t>adoption</w:t>
            </w:r>
          </w:p>
        </w:tc>
        <w:tc>
          <w:tcPr>
            <w:tcW w:w="1530" w:type="dxa"/>
            <w:tcBorders>
              <w:top w:val="nil"/>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7.12.2023</w:t>
            </w:r>
          </w:p>
        </w:tc>
        <w:tc>
          <w:tcPr>
            <w:tcW w:w="1474" w:type="dxa"/>
            <w:tcBorders>
              <w:top w:val="nil"/>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C6DC5" w:rsidRPr="00B378EB" w:rsidRDefault="006C6DC5">
            <w:pPr>
              <w:autoSpaceDE w:val="0"/>
              <w:autoSpaceDN w:val="0"/>
              <w:adjustRightInd w:val="0"/>
              <w:rPr>
                <w:rFonts w:ascii="sans-serif" w:hAnsi="sans-serif" w:cs="sans-serif"/>
                <w:color w:val="000000"/>
                <w:szCs w:val="24"/>
              </w:rPr>
            </w:pPr>
          </w:p>
        </w:tc>
      </w:tr>
      <w:tr w:rsidR="0039089F"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w:t>
            </w:r>
          </w:p>
          <w:p w:rsidR="006C6DC5" w:rsidRPr="00B378EB" w:rsidRDefault="00D76C1F">
            <w:pPr>
              <w:autoSpaceDE w:val="0"/>
              <w:autoSpaceDN w:val="0"/>
              <w:adjustRightInd w:val="0"/>
              <w:rPr>
                <w:color w:val="000000"/>
                <w:sz w:val="20"/>
              </w:rPr>
            </w:pPr>
            <w:r w:rsidRPr="00B378EB">
              <w:rPr>
                <w:color w:val="000000"/>
                <w:sz w:val="20"/>
              </w:rPr>
              <w:t>–:</w:t>
            </w:r>
          </w:p>
          <w:p w:rsidR="006C6DC5" w:rsidRPr="00B378EB" w:rsidRDefault="00D76C1F">
            <w:pPr>
              <w:autoSpaceDE w:val="0"/>
              <w:autoSpaceDN w:val="0"/>
              <w:adjustRightInd w:val="0"/>
              <w:rPr>
                <w:color w:val="000000"/>
                <w:sz w:val="20"/>
              </w:rPr>
            </w:pPr>
            <w:r w:rsidRPr="00B378E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34</w:t>
            </w:r>
          </w:p>
          <w:p w:rsidR="006C6DC5" w:rsidRPr="00B378EB" w:rsidRDefault="00D76C1F">
            <w:pPr>
              <w:autoSpaceDE w:val="0"/>
              <w:autoSpaceDN w:val="0"/>
              <w:adjustRightInd w:val="0"/>
              <w:rPr>
                <w:color w:val="000000"/>
                <w:sz w:val="20"/>
              </w:rPr>
            </w:pPr>
            <w:r w:rsidRPr="00B378EB">
              <w:rPr>
                <w:color w:val="000000"/>
                <w:sz w:val="20"/>
              </w:rPr>
              <w:t>0</w:t>
            </w:r>
          </w:p>
          <w:p w:rsidR="006C6DC5" w:rsidRPr="00B378EB" w:rsidRDefault="00D76C1F">
            <w:pPr>
              <w:autoSpaceDE w:val="0"/>
              <w:autoSpaceDN w:val="0"/>
              <w:adjustRightInd w:val="0"/>
              <w:rPr>
                <w:color w:val="000000"/>
                <w:sz w:val="20"/>
              </w:rPr>
            </w:pPr>
            <w:r w:rsidRPr="00B378EB">
              <w:rPr>
                <w:color w:val="000000"/>
                <w:sz w:val="20"/>
              </w:rPr>
              <w:t>5</w:t>
            </w:r>
          </w:p>
        </w:tc>
      </w:tr>
      <w:tr w:rsidR="0039089F" w:rsidRPr="00B378E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José Ramón Bauzá Díaz, Izaskun Bilbao Barandica, Karolin Braunsberger-Reinhold, Marco Campomenosi, Jakop G. Dalunde, Karima Delli, Mario Furore, Isabel García Muñoz, Bogusław Liberadzki, Peter Lundgren, Elżbieta</w:t>
            </w:r>
            <w:r w:rsidRPr="00B378EB">
              <w:rPr>
                <w:color w:val="000000"/>
                <w:sz w:val="20"/>
              </w:rPr>
              <w:t xml:space="preserve"> Katarzyna Łukacijewska, Tilly Metz, Cláudia Monteiro de Aguiar, Caroline Nagtegaal, Tomasz Piotr Poręba, Bergur Løkke Rasmussen, Dominique Riquet, Thomas Rudner, Vera Tax, Barbara Thaler, István Ujhelyi, Achille Variati, Elissavet Vozemberg-Vrionidi, Luci</w:t>
            </w:r>
            <w:r w:rsidRPr="00B378EB">
              <w:rPr>
                <w:color w:val="000000"/>
                <w:sz w:val="20"/>
              </w:rPr>
              <w:t>a Vuolo, Kosma Złotowski</w:t>
            </w:r>
          </w:p>
        </w:tc>
      </w:tr>
      <w:tr w:rsidR="0039089F"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Tom Berendsen, Sara Cerdas, Maria Grapini, Ondřej Kovařík, Ljudmila Novak, Dorien Rookmaker, Kathleen Van Brempt</w:t>
            </w:r>
          </w:p>
        </w:tc>
      </w:tr>
      <w:tr w:rsidR="0039089F"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 xml:space="preserve">Pascal </w:t>
            </w:r>
            <w:r w:rsidRPr="00B378EB">
              <w:rPr>
                <w:color w:val="000000"/>
                <w:sz w:val="20"/>
              </w:rPr>
              <w:t>Arimont, Andreas Glück, Erik Marquardt, Andżelika Anna Możdżanowska, Wolfram Pirchner, Nicolae Ştefănuță, Eugen Tomac</w:t>
            </w:r>
          </w:p>
        </w:tc>
      </w:tr>
      <w:tr w:rsidR="0039089F" w:rsidRPr="00B378E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b/>
                <w:bCs/>
                <w:color w:val="000000"/>
                <w:sz w:val="20"/>
              </w:rPr>
            </w:pPr>
            <w:r w:rsidRPr="00B378EB">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6DC5" w:rsidRPr="00B378EB" w:rsidRDefault="00D76C1F">
            <w:pPr>
              <w:autoSpaceDE w:val="0"/>
              <w:autoSpaceDN w:val="0"/>
              <w:adjustRightInd w:val="0"/>
              <w:rPr>
                <w:color w:val="000000"/>
                <w:sz w:val="20"/>
              </w:rPr>
            </w:pPr>
            <w:r w:rsidRPr="00B378EB">
              <w:rPr>
                <w:color w:val="000000"/>
                <w:sz w:val="20"/>
              </w:rPr>
              <w:t>8.12.2023</w:t>
            </w:r>
          </w:p>
        </w:tc>
      </w:tr>
    </w:tbl>
    <w:p w:rsidR="006C6DC5" w:rsidRPr="00B378EB" w:rsidRDefault="006C6DC5"/>
    <w:bookmarkEnd w:id="11"/>
    <w:p w:rsidR="00FB38AB" w:rsidRPr="00B378EB" w:rsidRDefault="00D76C1F">
      <w:pPr>
        <w:widowControl/>
      </w:pPr>
      <w:r w:rsidRPr="00B378EB">
        <w:br w:type="page"/>
      </w:r>
    </w:p>
    <w:p w:rsidR="00FB38AB" w:rsidRPr="00B378EB" w:rsidRDefault="00D76C1F" w:rsidP="00FB38AB">
      <w:pPr>
        <w:pStyle w:val="PageHeading"/>
      </w:pPr>
      <w:bookmarkStart w:id="13" w:name="_Toc152926247"/>
      <w:bookmarkStart w:id="14" w:name="RollCallPageRR"/>
      <w:bookmarkStart w:id="15" w:name="_Toc155717099"/>
      <w:r w:rsidRPr="00B378EB">
        <w:t>VOTE FINAL PAR APPEL NOMINAL</w:t>
      </w:r>
      <w:r w:rsidRPr="00B378EB">
        <w:br/>
        <w:t>EN COMMISSION COMPÉTENTE AU FOND</w:t>
      </w:r>
      <w:bookmarkEnd w:id="13"/>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89F" w:rsidRPr="00B378EB" w:rsidTr="00FB38AB">
        <w:trPr>
          <w:cantSplit/>
        </w:trPr>
        <w:tc>
          <w:tcPr>
            <w:tcW w:w="1701" w:type="dxa"/>
            <w:shd w:val="pct10" w:color="000000" w:fill="FFFFFF"/>
            <w:vAlign w:val="center"/>
          </w:tcPr>
          <w:p w:rsidR="00FB38AB" w:rsidRPr="00B378EB" w:rsidRDefault="00D76C1F" w:rsidP="00FB38AB">
            <w:pPr>
              <w:pStyle w:val="RollCallVotes"/>
            </w:pPr>
            <w:r w:rsidRPr="00B378EB">
              <w:t>34</w:t>
            </w:r>
          </w:p>
        </w:tc>
        <w:tc>
          <w:tcPr>
            <w:tcW w:w="7371" w:type="dxa"/>
            <w:shd w:val="pct10" w:color="000000" w:fill="FFFFFF"/>
          </w:tcPr>
          <w:p w:rsidR="00FB38AB" w:rsidRPr="00B378EB" w:rsidRDefault="00D76C1F" w:rsidP="00FB38AB">
            <w:pPr>
              <w:pStyle w:val="RollCallSymbols14pt"/>
            </w:pPr>
            <w:r w:rsidRPr="00B378EB">
              <w:t>+</w:t>
            </w:r>
          </w:p>
        </w:tc>
      </w:tr>
      <w:tr w:rsidR="0039089F" w:rsidRPr="00B378EB" w:rsidTr="00FB38AB">
        <w:trPr>
          <w:cantSplit/>
        </w:trPr>
        <w:tc>
          <w:tcPr>
            <w:tcW w:w="1701" w:type="dxa"/>
            <w:shd w:val="clear" w:color="auto" w:fill="FFFFFF"/>
          </w:tcPr>
          <w:p w:rsidR="00FB38AB" w:rsidRPr="00B378EB" w:rsidRDefault="00D76C1F" w:rsidP="00FB38AB">
            <w:pPr>
              <w:pStyle w:val="RollCallTable"/>
            </w:pPr>
            <w:r w:rsidRPr="00B378EB">
              <w:t>ID</w:t>
            </w:r>
          </w:p>
        </w:tc>
        <w:tc>
          <w:tcPr>
            <w:tcW w:w="7371" w:type="dxa"/>
            <w:shd w:val="clear" w:color="auto" w:fill="FFFFFF"/>
          </w:tcPr>
          <w:p w:rsidR="00FB38AB" w:rsidRPr="00B378EB" w:rsidRDefault="00D76C1F" w:rsidP="00FB38AB">
            <w:pPr>
              <w:pStyle w:val="RollCallTable"/>
            </w:pPr>
            <w:r w:rsidRPr="00B378EB">
              <w:t>Marco Campomenosi</w:t>
            </w:r>
          </w:p>
        </w:tc>
      </w:tr>
      <w:tr w:rsidR="0039089F" w:rsidRPr="00B378EB" w:rsidTr="00FB38AB">
        <w:trPr>
          <w:cantSplit/>
        </w:trPr>
        <w:tc>
          <w:tcPr>
            <w:tcW w:w="1701" w:type="dxa"/>
            <w:shd w:val="clear" w:color="auto" w:fill="FFFFFF"/>
          </w:tcPr>
          <w:p w:rsidR="00FB38AB" w:rsidRPr="00B378EB" w:rsidRDefault="00D76C1F" w:rsidP="00FB38AB">
            <w:pPr>
              <w:pStyle w:val="RollCallTable"/>
            </w:pPr>
            <w:r w:rsidRPr="00B378EB">
              <w:t>NI</w:t>
            </w:r>
          </w:p>
        </w:tc>
        <w:tc>
          <w:tcPr>
            <w:tcW w:w="7371" w:type="dxa"/>
            <w:shd w:val="clear" w:color="auto" w:fill="FFFFFF"/>
          </w:tcPr>
          <w:p w:rsidR="00FB38AB" w:rsidRPr="00B378EB" w:rsidRDefault="00D76C1F" w:rsidP="00FB38AB">
            <w:pPr>
              <w:pStyle w:val="RollCallTable"/>
            </w:pPr>
            <w:r w:rsidRPr="00B378EB">
              <w:t>Mario Furore</w:t>
            </w:r>
          </w:p>
        </w:tc>
      </w:tr>
      <w:tr w:rsidR="0039089F" w:rsidRPr="00B378EB" w:rsidTr="00FB38AB">
        <w:trPr>
          <w:cantSplit/>
        </w:trPr>
        <w:tc>
          <w:tcPr>
            <w:tcW w:w="1701" w:type="dxa"/>
            <w:shd w:val="clear" w:color="auto" w:fill="FFFFFF"/>
          </w:tcPr>
          <w:p w:rsidR="00FB38AB" w:rsidRPr="00B378EB" w:rsidRDefault="00D76C1F" w:rsidP="00FB38AB">
            <w:pPr>
              <w:pStyle w:val="RollCallTable"/>
            </w:pPr>
            <w:r w:rsidRPr="00B378EB">
              <w:t>PPE</w:t>
            </w:r>
          </w:p>
        </w:tc>
        <w:tc>
          <w:tcPr>
            <w:tcW w:w="7371" w:type="dxa"/>
            <w:shd w:val="clear" w:color="auto" w:fill="FFFFFF"/>
          </w:tcPr>
          <w:p w:rsidR="00FB38AB" w:rsidRPr="00B378EB" w:rsidRDefault="00D76C1F" w:rsidP="00FB38AB">
            <w:pPr>
              <w:pStyle w:val="RollCallTable"/>
            </w:pPr>
            <w:r w:rsidRPr="00B378EB">
              <w:t>Pascal Arimont, Tom Berendsen, Karolin Braunsberger-Reinhold, Elżbieta Katarzyna Łukacijewska, Cláudia Monteiro de Aguiar, Ljudmila Novak, Wolfram Pirchner, Barbara Thaler, Eugen Tomac, Elissavet Vozemberg-Vrionidi, Lucia Vuolo</w:t>
            </w:r>
          </w:p>
        </w:tc>
      </w:tr>
      <w:tr w:rsidR="0039089F" w:rsidRPr="00B378EB" w:rsidTr="00FB38AB">
        <w:trPr>
          <w:cantSplit/>
        </w:trPr>
        <w:tc>
          <w:tcPr>
            <w:tcW w:w="1701" w:type="dxa"/>
            <w:shd w:val="clear" w:color="auto" w:fill="FFFFFF"/>
          </w:tcPr>
          <w:p w:rsidR="00FB38AB" w:rsidRPr="00B378EB" w:rsidRDefault="00D76C1F" w:rsidP="00FB38AB">
            <w:pPr>
              <w:pStyle w:val="RollCallTable"/>
            </w:pPr>
            <w:r w:rsidRPr="00B378EB">
              <w:t>Renew</w:t>
            </w:r>
          </w:p>
        </w:tc>
        <w:tc>
          <w:tcPr>
            <w:tcW w:w="7371" w:type="dxa"/>
            <w:shd w:val="clear" w:color="auto" w:fill="FFFFFF"/>
          </w:tcPr>
          <w:p w:rsidR="00FB38AB" w:rsidRPr="00B378EB" w:rsidRDefault="00D76C1F" w:rsidP="00FB38AB">
            <w:pPr>
              <w:pStyle w:val="RollCallTable"/>
            </w:pPr>
            <w:r w:rsidRPr="00B378EB">
              <w:t xml:space="preserve">José Ramón Bauzá </w:t>
            </w:r>
            <w:r w:rsidRPr="00B378EB">
              <w:t>Díaz, Izaskun Bilbao Barandica, Andreas Glück, Ondřej Kovařík, Caroline Nagtegaal, Bergur Løkke Rasmussen, Dominique Riquet</w:t>
            </w:r>
          </w:p>
        </w:tc>
      </w:tr>
      <w:tr w:rsidR="0039089F" w:rsidRPr="00B378EB" w:rsidTr="00FB38AB">
        <w:trPr>
          <w:cantSplit/>
        </w:trPr>
        <w:tc>
          <w:tcPr>
            <w:tcW w:w="1701" w:type="dxa"/>
            <w:shd w:val="clear" w:color="auto" w:fill="FFFFFF"/>
          </w:tcPr>
          <w:p w:rsidR="00FB38AB" w:rsidRPr="00B378EB" w:rsidRDefault="00D76C1F" w:rsidP="00FB38AB">
            <w:pPr>
              <w:pStyle w:val="RollCallTable"/>
            </w:pPr>
            <w:r w:rsidRPr="00B378EB">
              <w:t>S&amp;D</w:t>
            </w:r>
          </w:p>
        </w:tc>
        <w:tc>
          <w:tcPr>
            <w:tcW w:w="7371" w:type="dxa"/>
            <w:shd w:val="clear" w:color="auto" w:fill="FFFFFF"/>
          </w:tcPr>
          <w:p w:rsidR="00FB38AB" w:rsidRPr="00B378EB" w:rsidRDefault="00D76C1F" w:rsidP="00FB38AB">
            <w:pPr>
              <w:pStyle w:val="RollCallTable"/>
            </w:pPr>
            <w:r w:rsidRPr="00B378EB">
              <w:t>Sara Cerdas, Isabel García Muñoz, Maria Grapini, Bogusław Liberadzki, Thomas Rudner, Vera Tax, István Ujhelyi, Kathleen Van Bre</w:t>
            </w:r>
            <w:r w:rsidRPr="00B378EB">
              <w:t>mpt, Achille Variati</w:t>
            </w:r>
          </w:p>
        </w:tc>
      </w:tr>
      <w:tr w:rsidR="0039089F" w:rsidRPr="00B378EB" w:rsidTr="00FB38AB">
        <w:trPr>
          <w:cantSplit/>
        </w:trPr>
        <w:tc>
          <w:tcPr>
            <w:tcW w:w="1701" w:type="dxa"/>
            <w:shd w:val="clear" w:color="auto" w:fill="FFFFFF"/>
          </w:tcPr>
          <w:p w:rsidR="00FB38AB" w:rsidRPr="00B378EB" w:rsidRDefault="00D76C1F" w:rsidP="00FB38AB">
            <w:pPr>
              <w:pStyle w:val="RollCallTable"/>
            </w:pPr>
            <w:r w:rsidRPr="00B378EB">
              <w:t>Verts/ALE</w:t>
            </w:r>
          </w:p>
        </w:tc>
        <w:tc>
          <w:tcPr>
            <w:tcW w:w="7371" w:type="dxa"/>
            <w:shd w:val="clear" w:color="auto" w:fill="FFFFFF"/>
          </w:tcPr>
          <w:p w:rsidR="00FB38AB" w:rsidRPr="00B378EB" w:rsidRDefault="00D76C1F" w:rsidP="00FB38AB">
            <w:pPr>
              <w:pStyle w:val="RollCallTable"/>
            </w:pPr>
            <w:r w:rsidRPr="00B378EB">
              <w:t>Jakop G. Dalunde, Karima Delli, Erik Marquardt, Tilly Metz, Nicolae Ştefănuță</w:t>
            </w:r>
          </w:p>
        </w:tc>
      </w:tr>
    </w:tbl>
    <w:p w:rsidR="00FB38AB" w:rsidRPr="00B378EB" w:rsidRDefault="00FB38AB" w:rsidP="00FB38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89F" w:rsidRPr="00B378EB" w:rsidTr="00FB38AB">
        <w:trPr>
          <w:cantSplit/>
        </w:trPr>
        <w:tc>
          <w:tcPr>
            <w:tcW w:w="1701" w:type="dxa"/>
            <w:shd w:val="pct10" w:color="000000" w:fill="FFFFFF"/>
            <w:vAlign w:val="center"/>
          </w:tcPr>
          <w:p w:rsidR="00FB38AB" w:rsidRPr="00B378EB" w:rsidRDefault="00D76C1F" w:rsidP="00FB38AB">
            <w:pPr>
              <w:pStyle w:val="RollCallVotes"/>
            </w:pPr>
            <w:r w:rsidRPr="00B378EB">
              <w:t>0</w:t>
            </w:r>
          </w:p>
        </w:tc>
        <w:tc>
          <w:tcPr>
            <w:tcW w:w="7371" w:type="dxa"/>
            <w:shd w:val="pct10" w:color="000000" w:fill="FFFFFF"/>
          </w:tcPr>
          <w:p w:rsidR="00FB38AB" w:rsidRPr="00B378EB" w:rsidRDefault="00D76C1F" w:rsidP="00FB38AB">
            <w:pPr>
              <w:pStyle w:val="RollCallSymbols14pt"/>
            </w:pPr>
            <w:r w:rsidRPr="00B378EB">
              <w:t>-</w:t>
            </w:r>
          </w:p>
        </w:tc>
      </w:tr>
      <w:tr w:rsidR="0039089F" w:rsidRPr="00B378EB" w:rsidTr="00FB38AB">
        <w:trPr>
          <w:cantSplit/>
        </w:trPr>
        <w:tc>
          <w:tcPr>
            <w:tcW w:w="1701" w:type="dxa"/>
            <w:shd w:val="clear" w:color="auto" w:fill="FFFFFF"/>
          </w:tcPr>
          <w:p w:rsidR="00FB38AB" w:rsidRPr="00B378EB" w:rsidRDefault="00FB38AB" w:rsidP="00FB38AB">
            <w:pPr>
              <w:pStyle w:val="RollCallTable"/>
            </w:pPr>
          </w:p>
        </w:tc>
        <w:tc>
          <w:tcPr>
            <w:tcW w:w="7371" w:type="dxa"/>
            <w:shd w:val="clear" w:color="auto" w:fill="FFFFFF"/>
          </w:tcPr>
          <w:p w:rsidR="00FB38AB" w:rsidRPr="00B378EB" w:rsidRDefault="00FB38AB" w:rsidP="00FB38AB">
            <w:pPr>
              <w:pStyle w:val="RollCallTable"/>
            </w:pPr>
          </w:p>
        </w:tc>
      </w:tr>
    </w:tbl>
    <w:p w:rsidR="00FB38AB" w:rsidRPr="00B378EB" w:rsidRDefault="00FB38AB" w:rsidP="00FB38AB"/>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89F" w:rsidRPr="00B378EB" w:rsidTr="00FB38AB">
        <w:trPr>
          <w:cantSplit/>
        </w:trPr>
        <w:tc>
          <w:tcPr>
            <w:tcW w:w="1701" w:type="dxa"/>
            <w:shd w:val="pct10" w:color="000000" w:fill="FFFFFF"/>
            <w:vAlign w:val="center"/>
          </w:tcPr>
          <w:p w:rsidR="00FB38AB" w:rsidRPr="00B378EB" w:rsidRDefault="00D76C1F" w:rsidP="00FB38AB">
            <w:pPr>
              <w:pStyle w:val="RollCallVotes"/>
            </w:pPr>
            <w:r w:rsidRPr="00B378EB">
              <w:t>5</w:t>
            </w:r>
          </w:p>
        </w:tc>
        <w:tc>
          <w:tcPr>
            <w:tcW w:w="7371" w:type="dxa"/>
            <w:shd w:val="pct10" w:color="000000" w:fill="FFFFFF"/>
          </w:tcPr>
          <w:p w:rsidR="00FB38AB" w:rsidRPr="00B378EB" w:rsidRDefault="00D76C1F" w:rsidP="00FB38AB">
            <w:pPr>
              <w:pStyle w:val="RollCallSymbols14pt"/>
            </w:pPr>
            <w:r w:rsidRPr="00B378EB">
              <w:t>0</w:t>
            </w:r>
          </w:p>
        </w:tc>
      </w:tr>
      <w:tr w:rsidR="0039089F" w:rsidRPr="00B378EB" w:rsidTr="00FB38AB">
        <w:trPr>
          <w:cantSplit/>
        </w:trPr>
        <w:tc>
          <w:tcPr>
            <w:tcW w:w="1701" w:type="dxa"/>
            <w:shd w:val="clear" w:color="auto" w:fill="FFFFFF"/>
          </w:tcPr>
          <w:p w:rsidR="00FB38AB" w:rsidRPr="00B378EB" w:rsidRDefault="00D76C1F" w:rsidP="00FB38AB">
            <w:pPr>
              <w:pStyle w:val="RollCallTable"/>
            </w:pPr>
            <w:r w:rsidRPr="00B378EB">
              <w:t>ECR</w:t>
            </w:r>
          </w:p>
        </w:tc>
        <w:tc>
          <w:tcPr>
            <w:tcW w:w="7371" w:type="dxa"/>
            <w:shd w:val="clear" w:color="auto" w:fill="FFFFFF"/>
          </w:tcPr>
          <w:p w:rsidR="00FB38AB" w:rsidRPr="00B378EB" w:rsidRDefault="00D76C1F" w:rsidP="00FB38AB">
            <w:pPr>
              <w:pStyle w:val="RollCallTable"/>
            </w:pPr>
            <w:r w:rsidRPr="00B378EB">
              <w:t>Peter Lundgren, Andżelika Anna Możdżanowska, Tomasz Piotr Poręba, Dorien Rookmaker, Kosma Złotowski</w:t>
            </w:r>
          </w:p>
        </w:tc>
      </w:tr>
    </w:tbl>
    <w:p w:rsidR="00FB38AB" w:rsidRPr="00B378EB" w:rsidRDefault="00FB38AB" w:rsidP="00FB38AB">
      <w:pPr>
        <w:pStyle w:val="Normal12a"/>
      </w:pPr>
    </w:p>
    <w:p w:rsidR="00FB38AB" w:rsidRPr="00B378EB" w:rsidRDefault="00D76C1F" w:rsidP="00FB38AB">
      <w:r w:rsidRPr="00B378EB">
        <w:t xml:space="preserve">Légende des signes </w:t>
      </w:r>
      <w:r w:rsidRPr="00B378EB">
        <w:t>utilisés:</w:t>
      </w:r>
    </w:p>
    <w:p w:rsidR="00FB38AB" w:rsidRPr="00B378EB" w:rsidRDefault="00D76C1F" w:rsidP="00FB38AB">
      <w:pPr>
        <w:pStyle w:val="RollCallTabs"/>
      </w:pPr>
      <w:r w:rsidRPr="00B378EB">
        <w:t>+</w:t>
      </w:r>
      <w:r w:rsidRPr="00B378EB">
        <w:tab/>
        <w:t>:</w:t>
      </w:r>
      <w:r w:rsidRPr="00B378EB">
        <w:tab/>
        <w:t>pour</w:t>
      </w:r>
    </w:p>
    <w:p w:rsidR="00FB38AB" w:rsidRPr="00B378EB" w:rsidRDefault="00D76C1F" w:rsidP="00FB38AB">
      <w:pPr>
        <w:pStyle w:val="RollCallTabs"/>
      </w:pPr>
      <w:r w:rsidRPr="00B378EB">
        <w:t>-</w:t>
      </w:r>
      <w:r w:rsidRPr="00B378EB">
        <w:tab/>
        <w:t>:</w:t>
      </w:r>
      <w:r w:rsidRPr="00B378EB">
        <w:tab/>
        <w:t>contre</w:t>
      </w:r>
    </w:p>
    <w:p w:rsidR="00FB38AB" w:rsidRPr="00B378EB" w:rsidRDefault="00D76C1F" w:rsidP="00FB38AB">
      <w:pPr>
        <w:pStyle w:val="RollCallTabs"/>
      </w:pPr>
      <w:r w:rsidRPr="00B378EB">
        <w:t>0</w:t>
      </w:r>
      <w:r w:rsidRPr="00B378EB">
        <w:tab/>
        <w:t>:</w:t>
      </w:r>
      <w:r w:rsidRPr="00B378EB">
        <w:tab/>
        <w:t>abstention</w:t>
      </w:r>
    </w:p>
    <w:p w:rsidR="00FB38AB" w:rsidRPr="00B378EB" w:rsidRDefault="00FB38AB" w:rsidP="00FB38AB"/>
    <w:bookmarkEnd w:id="14"/>
    <w:p w:rsidR="00FB38AB" w:rsidRPr="00B378EB" w:rsidRDefault="00FB38AB" w:rsidP="00FB38AB"/>
    <w:p w:rsidR="002669B6" w:rsidRPr="00B378EB" w:rsidRDefault="002669B6" w:rsidP="006C6DC5"/>
    <w:sectPr w:rsidR="002669B6" w:rsidRPr="00B378EB" w:rsidSect="00B378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378EB" w:rsidRDefault="00D76C1F">
      <w:r w:rsidRPr="00B378EB">
        <w:separator/>
      </w:r>
    </w:p>
  </w:endnote>
  <w:endnote w:type="continuationSeparator" w:id="0">
    <w:p w:rsidR="00000000" w:rsidRPr="00B378EB" w:rsidRDefault="00D76C1F">
      <w:r w:rsidRPr="00B378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8EB" w:rsidRPr="00B378EB" w:rsidRDefault="00B378EB" w:rsidP="00B378EB">
    <w:pPr>
      <w:pStyle w:val="EPFooter"/>
    </w:pPr>
    <w:r w:rsidRPr="00B378EB">
      <w:t>PE</w:t>
    </w:r>
    <w:r w:rsidRPr="00B378EB">
      <w:rPr>
        <w:rStyle w:val="HideTWBExt"/>
      </w:rPr>
      <w:t>&lt;NoPE&gt;</w:t>
    </w:r>
    <w:r w:rsidRPr="00B378EB">
      <w:t>753.548</w:t>
    </w:r>
    <w:r w:rsidRPr="00B378EB">
      <w:rPr>
        <w:rStyle w:val="HideTWBExt"/>
      </w:rPr>
      <w:t>&lt;/NoPE&gt;&lt;Version&gt;</w:t>
    </w:r>
    <w:r w:rsidRPr="00B378EB">
      <w:t>v02-00</w:t>
    </w:r>
    <w:r w:rsidRPr="00B378EB">
      <w:rPr>
        <w:rStyle w:val="HideTWBExt"/>
      </w:rPr>
      <w:t>&lt;/Version&gt;</w:t>
    </w:r>
    <w:r w:rsidRPr="00B378EB">
      <w:tab/>
    </w:r>
    <w:r w:rsidRPr="00B378EB">
      <w:fldChar w:fldCharType="begin"/>
    </w:r>
    <w:r w:rsidRPr="00B378EB">
      <w:instrText xml:space="preserve"> PAGE  \* MERGEFORMAT </w:instrText>
    </w:r>
    <w:r w:rsidRPr="00B378EB">
      <w:fldChar w:fldCharType="separate"/>
    </w:r>
    <w:r w:rsidR="00D76C1F">
      <w:rPr>
        <w:noProof/>
      </w:rPr>
      <w:t>2</w:t>
    </w:r>
    <w:r w:rsidRPr="00B378EB">
      <w:fldChar w:fldCharType="end"/>
    </w:r>
    <w:r w:rsidRPr="00B378EB">
      <w:t>/</w:t>
    </w:r>
    <w:fldSimple w:instr=" NUMPAGES  \* MERGEFORMAT ">
      <w:r w:rsidR="00D76C1F">
        <w:rPr>
          <w:noProof/>
        </w:rPr>
        <w:t>50</w:t>
      </w:r>
    </w:fldSimple>
    <w:r w:rsidRPr="00B378EB">
      <w:tab/>
    </w:r>
    <w:r w:rsidRPr="00B378EB">
      <w:rPr>
        <w:rStyle w:val="HideTWBExt"/>
      </w:rPr>
      <w:t>&lt;PathFdR&gt;</w:t>
    </w:r>
    <w:r w:rsidRPr="00B378EB">
      <w:t>RR\1292545FR.docx</w:t>
    </w:r>
    <w:r w:rsidRPr="00B378EB">
      <w:rPr>
        <w:rStyle w:val="HideTWBExt"/>
      </w:rPr>
      <w:t>&lt;/PathFdR&gt;</w:t>
    </w:r>
  </w:p>
  <w:p w:rsidR="00FB38AB" w:rsidRPr="00B378EB" w:rsidRDefault="00B378EB" w:rsidP="00B378EB">
    <w:pPr>
      <w:pStyle w:val="EPFooter2"/>
    </w:pPr>
    <w:r w:rsidRPr="00B378E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8EB" w:rsidRPr="00B378EB" w:rsidRDefault="00B378EB" w:rsidP="00B378EB">
    <w:pPr>
      <w:pStyle w:val="EPFooter"/>
    </w:pPr>
    <w:r w:rsidRPr="00B378EB">
      <w:rPr>
        <w:rStyle w:val="HideTWBExt"/>
      </w:rPr>
      <w:t>&lt;PathFdR&gt;</w:t>
    </w:r>
    <w:r w:rsidRPr="00B378EB">
      <w:t>RR\1292545FR.docx</w:t>
    </w:r>
    <w:r w:rsidRPr="00B378EB">
      <w:rPr>
        <w:rStyle w:val="HideTWBExt"/>
      </w:rPr>
      <w:t>&lt;/PathFdR&gt;</w:t>
    </w:r>
    <w:r w:rsidRPr="00B378EB">
      <w:tab/>
    </w:r>
    <w:r w:rsidRPr="00B378EB">
      <w:fldChar w:fldCharType="begin"/>
    </w:r>
    <w:r w:rsidRPr="00B378EB">
      <w:instrText xml:space="preserve"> PAGE  \* MERGEFORMAT </w:instrText>
    </w:r>
    <w:r w:rsidRPr="00B378EB">
      <w:fldChar w:fldCharType="separate"/>
    </w:r>
    <w:r w:rsidR="00D76C1F">
      <w:rPr>
        <w:noProof/>
      </w:rPr>
      <w:t>47</w:t>
    </w:r>
    <w:r w:rsidRPr="00B378EB">
      <w:fldChar w:fldCharType="end"/>
    </w:r>
    <w:r w:rsidRPr="00B378EB">
      <w:t>/</w:t>
    </w:r>
    <w:fldSimple w:instr=" NUMPAGES  \* MERGEFORMAT ">
      <w:r w:rsidR="00D76C1F">
        <w:rPr>
          <w:noProof/>
        </w:rPr>
        <w:t>50</w:t>
      </w:r>
    </w:fldSimple>
    <w:r w:rsidRPr="00B378EB">
      <w:tab/>
      <w:t>PE</w:t>
    </w:r>
    <w:r w:rsidRPr="00B378EB">
      <w:rPr>
        <w:rStyle w:val="HideTWBExt"/>
      </w:rPr>
      <w:t>&lt;NoPE&gt;</w:t>
    </w:r>
    <w:r w:rsidRPr="00B378EB">
      <w:t>753.548</w:t>
    </w:r>
    <w:r w:rsidRPr="00B378EB">
      <w:rPr>
        <w:rStyle w:val="HideTWBExt"/>
      </w:rPr>
      <w:t>&lt;/NoPE&gt;&lt;Version&gt;</w:t>
    </w:r>
    <w:r w:rsidRPr="00B378EB">
      <w:t>v02-00</w:t>
    </w:r>
    <w:r w:rsidRPr="00B378EB">
      <w:rPr>
        <w:rStyle w:val="HideTWBExt"/>
      </w:rPr>
      <w:t>&lt;/Version&gt;</w:t>
    </w:r>
  </w:p>
  <w:p w:rsidR="00FB38AB" w:rsidRPr="00B378EB" w:rsidRDefault="00B378EB" w:rsidP="00B378EB">
    <w:pPr>
      <w:pStyle w:val="EPFooter2"/>
    </w:pPr>
    <w:r w:rsidRPr="00B378EB">
      <w:tab/>
    </w:r>
    <w:r w:rsidRPr="00B378EB">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8EB" w:rsidRPr="00B378EB" w:rsidRDefault="00B378EB" w:rsidP="00B378EB">
    <w:pPr>
      <w:pStyle w:val="EPFooter"/>
    </w:pPr>
    <w:r w:rsidRPr="00B378EB">
      <w:rPr>
        <w:rStyle w:val="HideTWBExt"/>
      </w:rPr>
      <w:t>&lt;PathFdR&gt;</w:t>
    </w:r>
    <w:r w:rsidRPr="00B378EB">
      <w:t>RR\1292545FR.docx</w:t>
    </w:r>
    <w:r w:rsidRPr="00B378EB">
      <w:rPr>
        <w:rStyle w:val="HideTWBExt"/>
      </w:rPr>
      <w:t>&lt;/PathFdR&gt;</w:t>
    </w:r>
    <w:r w:rsidRPr="00B378EB">
      <w:tab/>
    </w:r>
    <w:r w:rsidRPr="00B378EB">
      <w:tab/>
      <w:t>PE</w:t>
    </w:r>
    <w:r w:rsidRPr="00B378EB">
      <w:rPr>
        <w:rStyle w:val="HideTWBExt"/>
      </w:rPr>
      <w:t>&lt;NoPE&gt;</w:t>
    </w:r>
    <w:r w:rsidRPr="00B378EB">
      <w:t>753.548</w:t>
    </w:r>
    <w:r w:rsidRPr="00B378EB">
      <w:rPr>
        <w:rStyle w:val="HideTWBExt"/>
      </w:rPr>
      <w:t>&lt;/NoPE&gt;&lt;Version&gt;</w:t>
    </w:r>
    <w:r w:rsidRPr="00B378EB">
      <w:t>v02-00</w:t>
    </w:r>
    <w:r w:rsidRPr="00B378EB">
      <w:rPr>
        <w:rStyle w:val="HideTWBExt"/>
      </w:rPr>
      <w:t>&lt;/Version&gt;</w:t>
    </w:r>
  </w:p>
  <w:p w:rsidR="00FB38AB" w:rsidRPr="00B378EB" w:rsidRDefault="00B378EB" w:rsidP="00B378EB">
    <w:pPr>
      <w:pStyle w:val="EPFooter2"/>
    </w:pPr>
    <w:r w:rsidRPr="00B378EB">
      <w:t>FR</w:t>
    </w:r>
    <w:r w:rsidRPr="00B378EB">
      <w:tab/>
    </w:r>
    <w:r w:rsidRPr="00B378EB">
      <w:rPr>
        <w:b w:val="0"/>
        <w:i/>
        <w:color w:val="C0C0C0"/>
        <w:sz w:val="22"/>
      </w:rPr>
      <w:t>Unie dans la diversité</w:t>
    </w:r>
    <w:r w:rsidRPr="00B378EB">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8AB" w:rsidRPr="00B378EB" w:rsidRDefault="00D76C1F" w:rsidP="00F07062">
    <w:pPr>
      <w:pStyle w:val="EPFooter"/>
    </w:pPr>
    <w:r w:rsidRPr="00B378EB">
      <w:rPr>
        <w:rStyle w:val="HideTWBExt"/>
      </w:rPr>
      <w:t>&lt;PathFdR&gt;</w:t>
    </w:r>
    <w:r w:rsidRPr="00B378EB">
      <w:rPr>
        <w:color w:val="auto"/>
      </w:rPr>
      <w:t>PR\1286198FR.docx</w:t>
    </w:r>
    <w:r w:rsidRPr="00B378EB">
      <w:rPr>
        <w:rStyle w:val="HideTWBExt"/>
      </w:rPr>
      <w:t>&lt;/PathFdR&gt;</w:t>
    </w:r>
    <w:r w:rsidRPr="00B378EB">
      <w:tab/>
    </w:r>
    <w:r w:rsidRPr="00B378EB">
      <w:tab/>
      <w:t>PE</w:t>
    </w:r>
    <w:r w:rsidRPr="00B378EB">
      <w:rPr>
        <w:rStyle w:val="HideTWBExt"/>
      </w:rPr>
      <w:t>&lt;NoPE&gt;</w:t>
    </w:r>
    <w:r w:rsidRPr="00B378EB">
      <w:rPr>
        <w:color w:val="auto"/>
      </w:rPr>
      <w:t>753.548</w:t>
    </w:r>
    <w:r w:rsidRPr="00B378EB">
      <w:rPr>
        <w:rStyle w:val="HideTWBExt"/>
      </w:rPr>
      <w:t>&lt;/NoPE&gt;&lt;Version&gt;</w:t>
    </w:r>
    <w:r w:rsidRPr="00B378EB">
      <w:t>v</w:t>
    </w:r>
    <w:r w:rsidRPr="00B378EB">
      <w:rPr>
        <w:color w:val="auto"/>
      </w:rPr>
      <w:t>01-00</w:t>
    </w:r>
    <w:r w:rsidRPr="00B378EB">
      <w:rPr>
        <w:rStyle w:val="HideTWBExt"/>
      </w:rPr>
      <w:t>&lt;/Version&gt;</w:t>
    </w:r>
  </w:p>
  <w:p w:rsidR="00FB38AB" w:rsidRPr="00B378EB" w:rsidRDefault="0023641D" w:rsidP="00461601">
    <w:pPr>
      <w:pStyle w:val="EPFooter2"/>
      <w:tabs>
        <w:tab w:val="clear" w:pos="4535"/>
        <w:tab w:val="center" w:pos="4536"/>
      </w:tabs>
    </w:pPr>
    <w:r w:rsidRPr="00B378EB">
      <w:fldChar w:fldCharType="begin"/>
    </w:r>
    <w:r w:rsidR="00D76C1F" w:rsidRPr="00B378EB">
      <w:instrText xml:space="preserve"> DOCPROPERTY "&lt;Extension&gt;" </w:instrText>
    </w:r>
    <w:r w:rsidRPr="00B378EB">
      <w:fldChar w:fldCharType="separate"/>
    </w:r>
    <w:r w:rsidR="00D76C1F">
      <w:t>FR</w:t>
    </w:r>
    <w:r w:rsidRPr="00B378EB">
      <w:fldChar w:fldCharType="end"/>
    </w:r>
    <w:r w:rsidR="00D76C1F" w:rsidRPr="00B378EB">
      <w:tab/>
    </w:r>
    <w:r w:rsidR="00D76C1F" w:rsidRPr="00B378EB">
      <w:rPr>
        <w:b w:val="0"/>
        <w:i/>
        <w:color w:val="C0C0C0"/>
        <w:sz w:val="22"/>
        <w:szCs w:val="22"/>
      </w:rPr>
      <w:t>Unie dans la diversité</w:t>
    </w:r>
    <w:r w:rsidR="00D76C1F" w:rsidRPr="00B378EB">
      <w:tab/>
    </w:r>
    <w:r w:rsidRPr="00B378EB">
      <w:fldChar w:fldCharType="begin"/>
    </w:r>
    <w:r w:rsidR="00D76C1F" w:rsidRPr="00B378EB">
      <w:instrText xml:space="preserve"> DOCPROPERTY "&lt;Extension&gt;" </w:instrText>
    </w:r>
    <w:r w:rsidRPr="00B378EB">
      <w:fldChar w:fldCharType="separate"/>
    </w:r>
    <w:r w:rsidR="00D76C1F">
      <w:t>FR</w:t>
    </w:r>
    <w:r w:rsidRPr="00B378E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8EB" w:rsidRPr="00B378EB" w:rsidRDefault="00B378EB" w:rsidP="00F96F7F">
    <w:pPr>
      <w:pStyle w:val="EPFooter"/>
    </w:pPr>
    <w:r w:rsidRPr="00B378EB">
      <w:rPr>
        <w:rStyle w:val="HideTWBExt"/>
      </w:rPr>
      <w:t>&lt;PathFdR&gt;</w:t>
    </w:r>
    <w:r w:rsidRPr="00B378EB">
      <w:t>AD\1291495FR.docx</w:t>
    </w:r>
    <w:r w:rsidRPr="00B378EB">
      <w:rPr>
        <w:rStyle w:val="HideTWBExt"/>
      </w:rPr>
      <w:t>&lt;/PathFdR&gt;</w:t>
    </w:r>
    <w:r w:rsidRPr="00B378EB">
      <w:tab/>
    </w:r>
    <w:r w:rsidRPr="00B378EB">
      <w:tab/>
      <w:t>PE</w:t>
    </w:r>
    <w:r w:rsidRPr="00B378EB">
      <w:rPr>
        <w:rStyle w:val="HideTWBExt"/>
      </w:rPr>
      <w:t>&lt;NoPE&gt;</w:t>
    </w:r>
    <w:r w:rsidRPr="00B378EB">
      <w:t>752.995</w:t>
    </w:r>
    <w:r w:rsidRPr="00B378EB">
      <w:rPr>
        <w:rStyle w:val="HideTWBExt"/>
      </w:rPr>
      <w:t>&lt;/NoPE&gt;&lt;Version&gt;</w:t>
    </w:r>
    <w:r w:rsidRPr="00B378EB">
      <w:t>v02-00</w:t>
    </w:r>
    <w:r w:rsidRPr="00B378EB">
      <w:rPr>
        <w:rStyle w:val="HideTWBExt"/>
      </w:rPr>
      <w:t>&lt;/Version&gt;</w:t>
    </w:r>
  </w:p>
  <w:p w:rsidR="00B378EB" w:rsidRPr="00B378EB" w:rsidRDefault="00B378EB" w:rsidP="00F96F7F">
    <w:pPr>
      <w:pStyle w:val="EPFooter2"/>
    </w:pPr>
    <w:r w:rsidRPr="00B378EB">
      <w:t>FR</w:t>
    </w:r>
    <w:r w:rsidRPr="00B378EB">
      <w:tab/>
    </w:r>
    <w:r w:rsidRPr="00B378EB">
      <w:rPr>
        <w:b w:val="0"/>
        <w:i/>
        <w:color w:val="C0C0C0"/>
        <w:sz w:val="22"/>
      </w:rPr>
      <w:t>Unie dans la diversité</w:t>
    </w:r>
    <w:r w:rsidRPr="00B378EB">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8AB" w:rsidRPr="00B378EB" w:rsidRDefault="00D76C1F">
      <w:r w:rsidRPr="00B378EB">
        <w:separator/>
      </w:r>
    </w:p>
  </w:footnote>
  <w:footnote w:type="continuationSeparator" w:id="0">
    <w:p w:rsidR="00FB38AB" w:rsidRPr="00B378EB" w:rsidRDefault="00D76C1F">
      <w:r w:rsidRPr="00B378EB">
        <w:continuationSeparator/>
      </w:r>
    </w:p>
  </w:footnote>
  <w:footnote w:id="1">
    <w:p w:rsidR="00FB38AB" w:rsidRPr="00B378EB" w:rsidRDefault="00D76C1F" w:rsidP="00FB38AB">
      <w:pPr>
        <w:pStyle w:val="FootnoteText"/>
        <w:rPr>
          <w:sz w:val="24"/>
          <w:szCs w:val="24"/>
        </w:rPr>
      </w:pPr>
      <w:r w:rsidRPr="00B378EB">
        <w:rPr>
          <w:rStyle w:val="FootnoteReference"/>
          <w:sz w:val="24"/>
          <w:szCs w:val="24"/>
        </w:rPr>
        <w:footnoteRef/>
      </w:r>
      <w:r w:rsidRPr="00B378EB">
        <w:rPr>
          <w:sz w:val="24"/>
        </w:rPr>
        <w:t xml:space="preserve"> Non encore paru au Journal </w:t>
      </w:r>
      <w:r w:rsidRPr="00B378EB">
        <w:rPr>
          <w:sz w:val="24"/>
        </w:rPr>
        <w:t>officiel.</w:t>
      </w:r>
    </w:p>
  </w:footnote>
  <w:footnote w:id="2">
    <w:p w:rsidR="00FB38AB" w:rsidRPr="00B378EB" w:rsidRDefault="00D76C1F" w:rsidP="00FB38AB">
      <w:pPr>
        <w:pStyle w:val="FootnoteText"/>
      </w:pPr>
      <w:r w:rsidRPr="00B378EB">
        <w:rPr>
          <w:rStyle w:val="FootnoteReference"/>
        </w:rPr>
        <w:footnoteRef/>
      </w:r>
      <w:r w:rsidRPr="00B378EB">
        <w:t xml:space="preserve"> Directive 2002/59/CE du Parlement européen et du Conseil du 27 juin 2002 relative à la mise en place d</w:t>
      </w:r>
      <w:r>
        <w:t>’</w:t>
      </w:r>
      <w:r w:rsidRPr="00B378EB">
        <w:t>un système communautaire de suivi du trafic des navires et d</w:t>
      </w:r>
      <w:r>
        <w:t>’</w:t>
      </w:r>
      <w:r w:rsidRPr="00B378EB">
        <w:t>information, et abrogeant la directive 93/75/CEE du Conseil.</w:t>
      </w:r>
    </w:p>
  </w:footnote>
  <w:footnote w:id="3">
    <w:p w:rsidR="00B378EB" w:rsidRPr="00B378EB" w:rsidRDefault="00B378EB" w:rsidP="009F4ED5">
      <w:pPr>
        <w:pStyle w:val="FootnoteText"/>
      </w:pPr>
      <w:r w:rsidRPr="00B378EB">
        <w:rPr>
          <w:rStyle w:val="FootnoteReference"/>
        </w:rPr>
        <w:footnoteRef/>
      </w:r>
      <w:r w:rsidRPr="00B378EB">
        <w:t xml:space="preserve"> P5_TA(2004)0350 </w:t>
      </w:r>
    </w:p>
  </w:footnote>
  <w:footnote w:id="4">
    <w:p w:rsidR="00B378EB" w:rsidRPr="00B378EB" w:rsidRDefault="00B378EB" w:rsidP="009F4ED5">
      <w:pPr>
        <w:pStyle w:val="FootnoteText"/>
      </w:pPr>
      <w:r w:rsidRPr="00B378EB">
        <w:rPr>
          <w:rStyle w:val="FootnoteReference"/>
        </w:rPr>
        <w:footnoteRef/>
      </w:r>
      <w:r w:rsidRPr="00B378EB">
        <w:t xml:space="preserve"> La résolution P9_TA (2022) 0356, par exemple, et la proposition FuelEU Maritime, en première lecture.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C1F" w:rsidRDefault="00D76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C1F" w:rsidRDefault="00D76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C1F" w:rsidRDefault="00D76C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8EB" w:rsidRDefault="00B378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8EB" w:rsidRDefault="00B378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8EB" w:rsidRDefault="00B37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TRAN"/>
    <w:docVar w:name="INSERTOPINKEY" w:val="PECH"/>
    <w:docVar w:name="LastEditedSection" w:val=" 1"/>
    <w:docVar w:name="RepeatBlock-Amend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53305 HideTWBExt;}{\*\cs18 \additive \v\f1\fs20\cf15 _x000d__x000a_\spriority0 \styrsid8153305 HideTWBInt;}{\s19\ql \li0\ri0\sa120\nowidctlpar\wrapdefault\aspalpha\aspnum\faauto\adjustright\rin0\lin0\itap0 \rtlch\fcs1 \af0\afs20\alang1025 \ltrch\fcs0 \fs24\lang1036\langfe2057\cgrid\langnp1036\langfenp2057 _x000d__x000a_\sbasedon0 \snext19 \spriority0 \styrsid8153305 Normal6a;}{\s20\ql \li0\ri0\nowidctlpar\wrapdefault\aspalpha\aspnum\faauto\adjustright\rin0\lin0\itap0 \rtlch\fcs1 \af0\afs20\alang1025 \ltrch\fcs0 \b\fs24\lang1036\langfe2057\cgrid\langnp1036\langfenp2057 _x000d__x000a_\sbasedon0 \snext20 \spriority0 \styrsid8153305 NormalBold;}{\s21\ql \li0\ri0\sa240\nowidctlpar\wrapdefault\aspalpha\aspnum\faauto\adjustright\rin0\lin0\itap0 \rtlch\fcs1 \af0\afs20\alang1025 \ltrch\fcs0 _x000d__x000a_\i\fs24\lang1036\langfe2057\cgrid\langnp1036\langfenp2057 \sbasedon0 \snext21 \spriority0 \styrsid8153305 AmJustText;}{\s22\qc \li0\ri0\sb240\sa240\nowidctlpar\wrapdefault\aspalpha\aspnum\faauto\adjustright\rin0\lin0\itap0 \rtlch\fcs1 _x000d__x000a_\af0\afs20\alang1025 \ltrch\fcs0 \i\fs24\lang1036\langfe2057\cgrid\langnp1036\langfenp2057 \sbasedon0 \snext22 \spriority0 \styrsid8153305 AmCrossRef;}{_x000d__x000a_\s23\qc \li0\ri0\sb240\sa240\keepn\nowidctlpar\wrapdefault\aspalpha\aspnum\faauto\adjustright\rin0\lin0\itap0 \rtlch\fcs1 \af0\afs20\alang1025 \ltrch\fcs0 \i\fs24\lang1036\langfe2057\cgrid\langnp1036\langfenp2057 _x000d__x000a_\sbasedon0 \snext21 \spriority0 \styrsid8153305 AmJustTitle;}{\s24\qc \li0\ri0\sa240\nowidctlpar\wrapdefault\aspalpha\aspnum\faauto\adjustright\rin0\lin0\itap0 \rtlch\fcs1 \af0\afs20\alang1025 \ltrch\fcs0 _x000d__x000a_\i\fs24\lang1036\langfe2057\cgrid\langnp1036\langfenp2057 \sbasedon0 \snext24 \spriority0 \styrsid815330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8153305 AmNumberTabs;}{\s26\ql \li0\ri0\sb240\nowidctlpar\wrapdefault\aspalpha\aspnum\faauto\adjustright\rin0\lin0\itap0 \rtlch\fcs1 _x000d__x000a_\af0\afs20\alang1025 \ltrch\fcs0 \b\fs24\lang1036\langfe2057\cgrid\langnp1036\langfenp2057 \sbasedon0 \snext26 \spriority0 \styrsid8153305 NormalBold12b;}}{\*\rsidtbl \rsid24658\rsid223860\rsid735077\rsid1718133\rsid2892074\rsid3565327\rsid4666813_x000d__x000a_\rsid6641733\rsid7823322\rsid8153305\rsid9636012\rsid10377208\rsid11215221\rsid11549030\rsid12154954\rsid13846999\rsid14382809\rsid14424199\rsid15204470\rsid15285974\rsid15950462\rsid16324206\rsid16662270}{\mmathPr\mmathFont34\mbrkBin0\mbrkBinSub0_x000d__x000a_\msmallFrac0\mdispDef1\mlMargin0\mrMargin0\mdefJc1\mwrapIndent1440\mintLim0\mnaryLim1}{\info{\author CWIRKO Andrzej}{\operator CWIRKO Andrzej}{\creatim\yr2023\mo12\dy14\hr8\min1}{\revtim\yr2023\mo12\dy14\hr8\min1}{\version1}{\edmins0}{\nofpages1}_x000d__x000a_{\nofwords94}{\nofchars538}{\nofcharsws6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53305\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3846999 \chftnsep _x000d__x000a_\par }}{\*\ftnsepc \ltrpar \pard\plain \ltrpar\ql \li0\ri0\widctlpar\wrapdefault\aspalpha\aspnum\faauto\adjustright\rin0\lin0\itap0 \rtlch\fcs1 \af0\afs20\alang1025 \ltrch\fcs0 \fs24\lang2057\langfe2057\cgrid\langnp2057\langfenp2057 {\rtlch\fcs1 \af0 _x000d__x000a_\ltrch\fcs0 \insrsid13846999 \chftnsepc _x000d__x000a_\par }}{\*\aftnsep \ltrpar \pard\plain \ltrpar\ql \li0\ri0\widctlpar\wrapdefault\aspalpha\aspnum\faauto\adjustright\rin0\lin0\itap0 \rtlch\fcs1 \af0\afs20\alang1025 \ltrch\fcs0 \fs24\lang2057\langfe2057\cgrid\langnp2057\langfenp2057 {\rtlch\fcs1 \af0 _x000d__x000a_\ltrch\fcs0 \insrsid13846999 \chftnsep _x000d__x000a_\par }}{\*\aftnsepc \ltrpar \pard\plain \ltrpar\ql \li0\ri0\widctlpar\wrapdefault\aspalpha\aspnum\faauto\adjustright\rin0\lin0\itap0 \rtlch\fcs1 \af0\afs20\alang1025 \ltrch\fcs0 \fs24\lang2057\langfe2057\cgrid\langnp2057\langfenp2057 {\rtlch\fcs1 \af0 _x000d__x000a_\ltrch\fcs0 \insrsid138469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8153305 \rtlch\fcs1 _x000d__x000a_\af0\afs20\alang1025 \ltrch\fcs0 \b\fs24\lang1036\langfe2057\cgrid\langnp1036\langfenp2057 {\rtlch\fcs1 \af0 \ltrch\fcs0 \cs17\b0\v\fs20\cf9\lang1024\langfe1024\loch\af1\hich\af1\dbch\af31501\noproof\insrsid8153305\charrsid96485 {\*\bkmkstart restart}_x000d__x000a_\hich\af1\dbch\af31501\loch\f1 &lt;Amend&gt;}{\rtlch\fcs1 \af0 \ltrch\fcs0 \insrsid8153305\charrsid96485 Amendement\tab \tab }{\rtlch\fcs1 \af0 \ltrch\fcs0 _x000d__x000a_\cs17\b0\v\fs20\cf9\lang1024\langfe1024\loch\af1\hich\af1\dbch\af31501\noproof\insrsid8153305\charrsid96485 \hich\af1\dbch\af31501\loch\f1 &lt;NumAm&gt;}{\rtlch\fcs1 \af0 \ltrch\fcs0 \insrsid8153305\charrsid96485 #}{\rtlch\fcs1 \af1 \ltrch\fcs0 _x000d__x000a_\cs18\v\f1\fs20\cf15\insrsid8153305\charrsid96485 ENMIENDA@NRAM@}{\rtlch\fcs1 \af0 \ltrch\fcs0 \insrsid8153305\charrsid96485 #}{\rtlch\fcs1 \af0 \ltrch\fcs0 _x000d__x000a_\cs17\b0\v\fs20\cf9\lang1024\langfe1024\loch\af1\hich\af1\dbch\af31501\noproof\insrsid8153305\charrsid96485 \hich\af1\dbch\af31501\loch\f1 &lt;/NumAm&gt;}{\rtlch\fcs1 \af0 \ltrch\fcs0 \insrsid8153305\charrsid96485 _x000d__x000a_\par }\pard\plain \ltrpar\s26\ql \li0\ri0\sb240\keepn\nowidctlpar\wrapdefault\aspalpha\aspnum\faauto\adjustright\rin0\lin0\itap0\pararsid8153305 \rtlch\fcs1 \af0\afs20\alang1025 \ltrch\fcs0 \b\fs24\lang1036\langfe2057\cgrid\langnp1036\langfenp2057 {_x000d__x000a_\rtlch\fcs1 \af0 \ltrch\fcs0 \cs17\b0\v\fs20\cf9\lang1024\langfe1024\loch\af1\hich\af1\dbch\af31501\noproof\insrsid8153305\charrsid96485 \hich\af1\dbch\af31501\loch\f1 &lt;DocAmend&gt;}{\rtlch\fcs1 \af0 \ltrch\fcs0 \insrsid8153305\charrsid96485 Proposition de #_x000d__x000a_}{\rtlch\fcs1 \af1 \ltrch\fcs0 \cs18\v\f1\fs20\cf15\insrsid8153305\charrsid96485 MNU[DOC1][DOC2][DOC3]@DOCMSG@DOCMNU}{\rtlch\fcs1 \af0 \ltrch\fcs0 \insrsid8153305\charrsid96485 ##}{\rtlch\fcs1 \af1 \ltrch\fcs0 _x000d__x000a_\cs18\v\f1\fs20\cf15\insrsid8153305\charrsid96485 MNU[AMACTYES][NOTAPP]@CHOICE@AMACTMNU}{\rtlch\fcs1 \af0 \ltrch\fcs0 \insrsid8153305\charrsid96485 #}{\rtlch\fcs1 \af0 \ltrch\fcs0 _x000d__x000a_\cs17\b0\v\fs20\cf9\lang1024\langfe1024\loch\af1\hich\af1\dbch\af31501\noproof\insrsid8153305\charrsid96485 \hich\af1\dbch\af31501\loch\f1 &lt;/DocAmend&gt;}{\rtlch\fcs1 \af0 \ltrch\fcs0 \insrsid8153305\charrsid96485 _x000d__x000a_\par }\pard\plain \ltrpar\s20\ql \li0\ri0\keepn\nowidctlpar\wrapdefault\aspalpha\aspnum\faauto\adjustright\rin0\lin0\itap0\pararsid8153305 \rtlch\fcs1 \af0\afs20\alang1025 \ltrch\fcs0 \b\fs24\lang1036\langfe2057\cgrid\langnp1036\langfenp2057 {\rtlch\fcs1 \af0 _x000d__x000a_\ltrch\fcs0 \cs17\b0\v\fs20\cf9\lang1024\langfe1024\loch\af1\hich\af1\dbch\af31501\noproof\insrsid8153305\charrsid96485 \hich\af1\dbch\af31501\loch\f1 &lt;Article&gt;}{\rtlch\fcs1 \af0 \ltrch\fcs0 \insrsid8153305\charrsid96485 #}{\rtlch\fcs1 \af1 \ltrch\fcs0 _x000d__x000a_\cs18\v\f1\fs20\cf15\insrsid8153305\charrsid96485 MNU[AMACTPARTYES][AMACTPARTNO]@CHOICE@AMACTMNU}{\rtlch\fcs1 \af0 \ltrch\fcs0 \insrsid8153305\charrsid96485 #}{\rtlch\fcs1 \af0 \ltrch\fcs0 _x000d__x000a_\cs17\b0\v\fs20\cf9\lang1024\langfe1024\loch\af1\hich\af1\dbch\af31501\noproof\insrsid8153305\charrsid96485 \hich\af1\dbch\af31501\loch\f1 &lt;/Article&gt;}{\rtlch\fcs1 \af0 \ltrch\fcs0 \insrsid8153305\charrsid96485 _x000d__x000a_\par }\pard\plain \ltrpar\ql \li0\ri0\keepn\widctlpar\wrapdefault\aspalpha\aspnum\faauto\adjustright\rin0\lin0\itap0\pararsid8153305 \rtlch\fcs1 \af0\afs20\alang1025 \ltrch\fcs0 \fs24\lang2057\langfe2057\cgrid\langnp2057\langfenp2057 {\rtlch\fcs1 \af0 _x000d__x000a_\ltrch\fcs0 \cs17\v\fs20\cf9\lang1024\langfe1024\loch\af1\hich\af1\dbch\af31501\noproof\langnp1036\insrsid8153305\charrsid96485 \hich\af1\dbch\af31501\loch\f1 &lt;DocAmend2&gt;&lt;OptDel&gt;}{\rtlch\fcs1 \af0 \ltrch\fcs0 _x000d__x000a_\lang1036\langfe2057\langnp1036\insrsid8153305\charrsid96485 #}{\rtlch\fcs1 \af1 \ltrch\fcs0 \cs18\v\f1\fs20\cf15\lang1036\langfe2057\langnp1036\insrsid8153305\charrsid96485 MNU[OPTNRACTYES][NOTAPP]@CHOICE@AMACTMNU}{\rtlch\fcs1 \af0 \ltrch\fcs0 _x000d__x000a_\lang1036\langfe2057\langnp1036\insrsid8153305\charrsid96485 #}{\rtlch\fcs1 \af0 \ltrch\fcs0 \cs17\v\fs20\cf9\lang1024\langfe1024\loch\af1\hich\af1\dbch\af31501\noproof\langnp1036\insrsid8153305\charrsid96485 \hich\af1\dbch\af31501\loch\f1 _x000d__x000a_&lt;/OptDel&gt;&lt;/DocAmend2&gt;}{\rtlch\fcs1 \af0 \ltrch\fcs0 \lang1036\langfe2057\langnp1036\insrsid8153305\charrsid96485 _x000d__x000a_\par }\pard \ltrpar\ql \li0\ri0\widctlpar\wrapdefault\aspalpha\aspnum\faauto\adjustright\rin0\lin0\itap0\pararsid8153305 {\rtlch\fcs1 \af0 \ltrch\fcs0 _x000d__x000a_\cs17\v\fs20\cf9\lang1024\langfe1024\loch\af1\hich\af1\dbch\af31501\noproof\langnp1036\insrsid8153305\charrsid96485 \hich\af1\dbch\af31501\loch\f1 &lt;Article2&gt;&lt;OptDel&gt;}{\rtlch\fcs1 \af0 \ltrch\fcs0 _x000d__x000a_\lang1036\langfe2057\langnp1036\insrsid8153305\charrsid96485 #}{\rtlch\fcs1 \af1 \ltrch\fcs0 \cs18\v\f1\fs20\cf15\lang1036\langfe2057\langnp1036\insrsid8153305\charrsid96485 MNU[OPTACTPARTYES][NOTAPP]@CHOICE@AMACTMNU}{\rtlch\fcs1 \af0 \ltrch\fcs0 _x000d__x000a_\lang1036\langfe2057\langnp1036\insrsid8153305\charrsid96485 #}{\rtlch\fcs1 \af0 \ltrch\fcs0 \cs17\v\fs20\cf9\lang1024\langfe1024\loch\af1\hich\af1\dbch\af31501\noproof\langnp1036\insrsid8153305\charrsid96485 \hich\af1\dbch\af31501\loch\f1 _x000d__x000a_&lt;/OptDel&gt;&lt;/Article2&gt;}{\rtlch\fcs1 \af0 \ltrch\fcs0 \lang1036\langfe2057\langnp1036\insrsid8153305\charrsid96485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8153305\charrsid96485 \cell }\pard \ltrpar\ql \li0\ri0\widctlpar\intbl\wrapdefault\aspalpha\aspnum\faauto\adjustright\rin0\lin0 {\rtlch\fcs1 \af0 \ltrch\fcs0 _x000d__x000a_\lang1036\langfe2057\langnp1036\insrsid8153305\charrsid96485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1036\langfe2057\cgrid\langnp1036\langfenp2057 {\rtlch\fcs1 \af0 \ltrch\fcs0 _x000d__x000a_\insrsid8153305\charrsid96485 #}{\rtlch\fcs1 \af1 \ltrch\fcs0 \cs18\v\f1\fs20\cf15\insrsid8153305\charrsid96485 MNU[OPTLEFTAMACT][LEFTPROP]@CHOICE@AMACTMNU}{\rtlch\fcs1 \af0 \ltrch\fcs0 \insrsid8153305\charrsid96485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8153305\charrsid96485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6\langfe2057\cgrid\langnp1036\langfenp2057 {\rtlch\fcs1 \af0 \ltrch\fcs0 _x000d__x000a_\insrsid8153305\charrsid96485 ##\cell ##}{\rtlch\fcs1 \af0\afs24 \ltrch\fcs0 \insrsid8153305\charrsid96485 \cell }\pard\plain \ltrpar\ql \li0\ri0\widctlpar\intbl\wrapdefault\aspalpha\aspnum\faauto\adjustright\rin0\lin0 \rtlch\fcs1 \af0\afs20\alang1025 _x000d__x000a_\ltrch\fcs0 \fs24\lang2057\langfe2057\cgrid\langnp2057\langfenp2057 {\rtlch\fcs1 \af0 \ltrch\fcs0 \lang1036\langfe2057\langnp1036\insrsid8153305\charrsid96485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8153305 \rtlch\fcs1 \af0\afs20\alang1025 \ltrch\fcs0 \i\fs24\lang1036\langfe2057\cgrid\langnp1036\langfenp2057 {\rtlch\fcs1 \af0 \ltrch\fcs0 _x000d__x000a_\cs17\i0\v\fs20\cf9\lang1024\langfe1024\loch\af1\hich\af1\dbch\af31501\noproof\insrsid8153305\charrsid96485 \hich\af1\dbch\af31501\loch\f1 &lt;OptDel&gt;}{\rtlch\fcs1 \af0 \ltrch\fcs0 \insrsid8153305\charrsid96485 #}{\rtlch\fcs1 \af1 \ltrch\fcs0 _x000d__x000a_\cs18\v\f1\fs20\cf15\insrsid8153305\charrsid96485 MNU[CROSSREFNO][CROSSREFYES]@CHOICE@}{\rtlch\fcs1 \af0 \ltrch\fcs0 \insrsid8153305\charrsid96485 #}{\rtlch\fcs1 \af0 \ltrch\fcs0 _x000d__x000a_\cs17\i0\v\fs20\cf9\lang1024\langfe1024\loch\af1\hich\af1\dbch\af31501\noproof\insrsid8153305\charrsid96485 \hich\af1\dbch\af31501\loch\f1 &lt;/OptDel&gt;}{\rtlch\fcs1 \af0 \ltrch\fcs0 \insrsid8153305\charrsid96485 _x000d__x000a_\par }\pard\plain \ltrpar\s23\qc \li0\ri0\sb240\sa240\keepn\nowidctlpar\wrapdefault\aspalpha\aspnum\faauto\adjustright\rin0\lin0\itap0\pararsid8153305 \rtlch\fcs1 \af0\afs20\alang1025 \ltrch\fcs0 \i\fs24\lang1036\langfe2057\cgrid\langnp1036\langfenp2057 {_x000d__x000a_\rtlch\fcs1 \af0 \ltrch\fcs0 \cs17\i0\v\fs20\cf9\lang1024\langfe1024\loch\af1\hich\af1\dbch\af31501\noproof\insrsid8153305\charrsid96485 \hich\af1\dbch\af31501\loch\f1 &lt;TitreJust&gt;}{\rtlch\fcs1 \af0 \ltrch\fcs0 \insrsid8153305\charrsid96485 Justification}{_x000d__x000a_\rtlch\fcs1 \af0 \ltrch\fcs0 \cs17\i0\v\fs20\cf9\lang1024\langfe1024\loch\af1\hich\af1\dbch\af31501\noproof\insrsid8153305\charrsid96485 \hich\af1\dbch\af31501\loch\f1 &lt;/TitreJust&gt;}{\rtlch\fcs1 \af0 \ltrch\fcs0 \insrsid8153305\charrsid96485 _x000d__x000a_\par }\pard\plain \ltrpar\s21\ql \li0\ri0\sa240\nowidctlpar\wrapdefault\aspalpha\aspnum\faauto\adjustright\rin0\lin0\itap0\pararsid8153305 \rtlch\fcs1 \af0\afs20\alang1025 \ltrch\fcs0 \i\fs24\lang1036\langfe2057\cgrid\langnp1036\langfenp2057 {\rtlch\fcs1 \af0 _x000d__x000a_\ltrch\fcs0 \cs17\i0\v\fs20\cf9\lang1024\langfe1024\loch\af1\hich\af1\dbch\af31501\noproof\insrsid8153305\charrsid96485 \hich\af1\dbch\af31501\loch\f1 &lt;OptDelPrev&gt;}{\rtlch\fcs1 \af0 \ltrch\fcs0 \insrsid8153305\charrsid96485 #}{\rtlch\fcs1 \af1 _x000d__x000a_\ltrch\fcs0 \cs18\v\f1\fs20\cf15\insrsid8153305\charrsid96485 MNU[TEXTJUSTYES][TEXTJUSTNO]@CHOICE@}{\rtlch\fcs1 \af0 \ltrch\fcs0 \insrsid8153305\charrsid96485 #}{\rtlch\fcs1 \af0 \ltrch\fcs0 _x000d__x000a_\cs17\i0\v\fs20\cf9\lang1024\langfe1024\loch\af1\hich\af1\dbch\af31501\noproof\insrsid8153305\charrsid96485 \hich\af1\dbch\af31501\loch\f1 &lt;/OptDelPrev&gt;}{\rtlch\fcs1 \af0 \ltrch\fcs0 \insrsid8153305\charrsid96485 _x000d__x000a_\par }\pard\plain \ltrpar\ql \li0\ri0\widctlpar\wrapdefault\aspalpha\aspnum\faauto\adjustright\rin0\lin0\itap0\pararsid8153305 \rtlch\fcs1 \af0\afs20\alang1025 \ltrch\fcs0 \fs24\lang2057\langfe2057\cgrid\langnp2057\langfenp2057 {\rtlch\fcs1 \af0 \ltrch\fcs0 _x000d__x000a_\cs17\v\fs20\cf9\lang1024\langfe1024\loch\af1\hich\af1\dbch\af31501\noproof\langnp1036\insrsid8153305\charrsid96485 \hich\af1\dbch\af31501\loch\f1 &lt;/Amend&gt;}{\rtlch\fcs1 \af0 \ltrch\fcs0 \insrsid8153305\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9_x000d__x000a_20605b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01097 HideTWBExt;}{_x000d__x000a_\s18\ql \li0\ri0\sa120\nowidctlpar\wrapdefault\aspalpha\aspnum\faauto\adjustright\rin0\lin0\itap0 \rtlch\fcs1 \af0\afs20\alang1025 \ltrch\fcs0 \fs24\lang2057\langfe2057\cgrid\langnp2057\langfenp2057 \sbasedon0 \snext18 \spriority0 \styrsid9201097 _x000d__x000a_Normal6a;}{\s19\ql \li0\ri0\nowidctlpar\wrapdefault\aspalpha\aspnum\faauto\adjustright\rin0\lin0\itap0 \rtlch\fcs1 \af0\afs20\alang1025 \ltrch\fcs0 \b\fs24\lang2057\langfe2057\cgrid\langnp2057\langfenp2057 \sbasedon0 \snext19 \spriority0 \styrsid9201097 _x000d__x000a_NormalBold;}{\s20\ql \li0\ri0\sa240\nowidctlpar\wrapdefault\aspalpha\aspnum\faauto\adjustright\rin0\lin0\itap0 \rtlch\fcs1 \af0\afs20\alang1025 \ltrch\fcs0 \i\fs24\lang2057\langfe2057\cgrid\langnp2057\langfenp2057 _x000d__x000a_\sbasedon0 \snext20 \spriority0 \styrsid9201097 AmJustText;}{\s21\qc \li0\ri0\sb240\sa240\nowidctlpar\wrapdefault\aspalpha\aspnum\faauto\adjustright\rin0\lin0\itap0 \rtlch\fcs1 \af0\afs20\alang1025 \ltrch\fcs0 _x000d__x000a_\i\fs24\lang2057\langfe2057\cgrid\langnp2057\langfenp2057 \sbasedon0 \snext21 \spriority0 \styrsid9201097 AmCrossRef;}{\s22\qc \li0\ri0\sb240\sa240\keepn\nowidctlpar\wrapdefault\aspalpha\aspnum\faauto\adjustright\rin0\lin0\itap0 \rtlch\fcs1 _x000d__x000a_\af0\afs20\alang1025 \ltrch\fcs0 \i\fs24\lang2057\langfe2057\cgrid\langnp2057\langfenp2057 \sbasedon0 \snext20 \spriority0 \styrsid9201097 AmJustTitle;}{\s23\qc \li0\ri0\sa240\nowidctlpar\wrapdefault\aspalpha\aspnum\faauto\adjustright\rin0\lin0\itap0 _x000d__x000a_\rtlch\fcs1 \af0\afs20\alang1025 \ltrch\fcs0 \i\fs24\lang2057\langfe2057\cgrid\langnp2057\langfenp2057 \sbasedon0 \snext23 \spriority0 \styrsid920109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201097 AmNumberTabs;}{\s25\ql \li0\ri0\sb240\nowidctlpar\wrapdefault\aspalpha\aspnum\faauto\adjustright\rin0\lin0\itap0 \rtlch\fcs1 _x000d__x000a_\af0\afs20\alang1025 \ltrch\fcs0 \b\fs24\lang2057\langfe2057\cgrid\langnp2057\langfenp2057 \sbasedon0 \snext25 \spriority0 \styrsid9201097 NormalBold12b;}}{\*\rsidtbl \rsid24658\rsid223860\rsid735077\rsid1718133\rsid1992528\rsid2892074\rsid3565327_x000d__x000a_\rsid4666813\rsid6641733\rsid7823322\rsid920109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WIRKO Andrzej}{\operator CWIRKO Andrzej}{\creatim\yr2023\mo12\dy14\hr8\min1}{\revtim\yr2023\mo12\dy14\hr8\min1}{\version1}{\edmins0}{\nofpages1}_x000d__x000a_{\nofwords54}{\nofchars313}{\nofcharsws36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01097\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992528 \chftnsep _x000d__x000a_\par }}{\*\ftnsepc \ltrpar \pard\plain \ltrpar\ql \li0\ri0\widctlpar\wrapdefault\aspalpha\aspnum\faauto\adjustright\rin0\lin0\itap0 \rtlch\fcs1 \af0\afs20\alang1025 \ltrch\fcs0 \fs24\lang2057\langfe2057\cgrid\langnp2057\langfenp2057 {\rtlch\fcs1 \af0 _x000d__x000a_\ltrch\fcs0 \insrsid1992528 \chftnsepc _x000d__x000a_\par }}{\*\aftnsep \ltrpar \pard\plain \ltrpar\ql \li0\ri0\widctlpar\wrapdefault\aspalpha\aspnum\faauto\adjustright\rin0\lin0\itap0 \rtlch\fcs1 \af0\afs20\alang1025 \ltrch\fcs0 \fs24\lang2057\langfe2057\cgrid\langnp2057\langfenp2057 {\rtlch\fcs1 \af0 _x000d__x000a_\ltrch\fcs0 \insrsid1992528 \chftnsep _x000d__x000a_\par }}{\*\aftnsepc \ltrpar \pard\plain \ltrpar\ql \li0\ri0\widctlpar\wrapdefault\aspalpha\aspnum\faauto\adjustright\rin0\lin0\itap0 \rtlch\fcs1 \af0\afs20\alang1025 \ltrch\fcs0 \fs24\lang2057\langfe2057\cgrid\langnp2057\langfenp2057 {\rtlch\fcs1 \af0 _x000d__x000a_\ltrch\fcs0 \insrsid19925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201097 \rtlch\fcs1 _x000d__x000a_\af0\afs20\alang1025 \ltrch\fcs0 \b\fs24\lang2057\langfe2057\cgrid\langnp2057\langfenp2057 {\rtlch\fcs1 \af0 \ltrch\fcs0 \cs17\b0\v\fs20\cf9\lang1024\langfe1024\loch\af1\hich\af1\dbch\af31501\noproof\langnp1030\insrsid9201097\charrsid5141309 _x000d__x000a_{\*\bkmkstart restart}\hich\af1\dbch\af31501\loch\f1 &lt;Amend&gt;}{\rtlch\fcs1 \af0 \ltrch\fcs0 \lang1030\langfe2057\langnp1030\insrsid9201097\charrsid5141309 [ZAMENDMENT]\tab \tab }{\rtlch\fcs1 \af0 \ltrch\fcs0 _x000d__x000a_\cs17\b0\v\fs20\cf9\lang1024\langfe1024\loch\af1\hich\af1\dbch\af31501\noproof\langnp1030\insrsid9201097\charrsid5141309 \hich\af1\dbch\af31501\loch\f1 &lt;NumAm&gt;}{\rtlch\fcs1 \af0 \ltrch\fcs0 \lang1030\langfe2057\langnp1030\insrsid9201097\charrsid5141309 _x000d__x000a_[ZNRAM]}{\rtlch\fcs1 \af0 \ltrch\fcs0 \cs17\b0\v\fs20\cf9\lang1024\langfe1024\loch\af1\hich\af1\dbch\af31501\noproof\langnp1030\insrsid9201097\charrsid5141309 \hich\af1\dbch\af31501\loch\f1 &lt;/NumAm&gt;}{\rtlch\fcs1 \af0 \ltrch\fcs0 _x000d__x000a_\lang1030\langfe2057\langnp1030\insrsid9201097\charrsid5141309 _x000d__x000a_\par }\pard\plain \ltrpar\s25\ql \li0\ri0\sb240\keepn\nowidctlpar\wrapdefault\aspalpha\aspnum\faauto\adjustright\rin0\lin0\itap0\pararsid9201097 \rtlch\fcs1 \af0\afs20\alang1025 \ltrch\fcs0 \b\fs24\lang2057\langfe2057\cgrid\langnp2057\langfenp2057 {_x000d__x000a_\rtlch\fcs1 \af0 \ltrch\fcs0 \cs17\b0\v\fs20\cf9\lang1024\langfe1024\loch\af1\hich\af1\dbch\af31501\noproof\langnp1030\insrsid9201097\charrsid5141309 \hich\af1\dbch\af31501\loch\f1 &lt;DocAmend&gt;}{\rtlch\fcs1 \af0 \ltrch\fcs0 _x000d__x000a_\lang1030\langfe2057\langnp1030\insrsid9201097\charrsid5141309 [ZPROPOSAL][ZAMACT]}{\rtlch\fcs1 \af0 \ltrch\fcs0 \cs17\b0\v\fs20\cf9\lang1024\langfe1024\loch\af1\hich\af1\dbch\af31501\noproof\langnp1030\insrsid9201097\charrsid5141309 _x000d__x000a_\hich\af1\dbch\af31501\loch\f1 &lt;/DocAmend&gt;}{\rtlch\fcs1 \af0 \ltrch\fcs0 \lang1030\langfe2057\langnp1030\insrsid9201097\charrsid5141309 _x000d__x000a_\par }\pard\plain \ltrpar\s19\ql \li0\ri0\keepn\nowidctlpar\wrapdefault\aspalpha\aspnum\faauto\adjustright\rin0\lin0\itap0\pararsid9201097 \rtlch\fcs1 \af0\afs20\alang1025 \ltrch\fcs0 \b\fs24\lang2057\langfe2057\cgrid\langnp2057\langfenp2057 {\rtlch\fcs1 \af0 _x000d__x000a_\ltrch\fcs0 \cs17\b0\v\fs20\cf9\lang1024\langfe1024\loch\af1\hich\af1\dbch\af31501\noproof\langnp1030\insrsid9201097\charrsid5141309 \hich\af1\dbch\af31501\loch\f1 &lt;Article&gt;}{\rtlch\fcs1 \af0 \ltrch\fcs0 _x000d__x000a_\lang1030\langfe2057\langnp1030\insrsid9201097\charrsid5141309 [ZAMPART]}{\rtlch\fcs1 \af0 \ltrch\fcs0 \cs17\b0\v\fs20\cf9\lang1024\langfe1024\loch\af1\hich\af1\dbch\af31501\noproof\langnp1030\insrsid9201097\charrsid5141309 \hich\af1\dbch\af31501\loch\f1 _x000d__x000a_&lt;/Article&gt;}{\rtlch\fcs1 \af0 \ltrch\fcs0 \lang1030\langfe2057\langnp1030\insrsid9201097\charrsid5141309 _x000d__x000a_\par }\pard\plain \ltrpar\ql \li0\ri0\keepn\widctlpar\wrapdefault\aspalpha\aspnum\faauto\adjustright\rin0\lin0\itap0\pararsid9201097 \rtlch\fcs1 \af0\afs20\alang1025 \ltrch\fcs0 \fs24\lang2057\langfe2057\cgrid\langnp2057\langfenp2057 {\rtlch\fcs1 \af0 _x000d__x000a_\ltrch\fcs0 \cs17\v\fs20\cf9\lang1024\langfe1024\loch\af1\hich\af1\dbch\af31501\noproof\langnp1043\insrsid9201097\charrsid5141309 \hich\af1\dbch\af31501\loch\f1 &lt;DocAmend2&gt;&lt;OptDel&gt;}{\rtlch\fcs1 \af0 \ltrch\fcs0 _x000d__x000a_\lang1043\langfe2057\langnp1043\insrsid9201097\charrsid5141309 [ZNRACT]}{\rtlch\fcs1 \af0 \ltrch\fcs0 \cs17\v\fs20\cf9\lang1024\langfe1024\loch\af1\hich\af1\dbch\af31501\noproof\langnp1043\insrsid9201097\charrsid5141309 \hich\af1\dbch\af31501\loch\f1 _x000d__x000a_&lt;/OptDel&gt;&lt;/DocAmend2&gt;}{\rtlch\fcs1 \af0 \ltrch\fcs0 \lang1043\langfe2057\langnp1043\insrsid9201097\charrsid5141309 _x000d__x000a_\par }\pard \ltrpar\ql \li0\ri0\widctlpar\wrapdefault\aspalpha\aspnum\faauto\adjustright\rin0\lin0\itap0\pararsid9201097 {\rtlch\fcs1 \af0 \ltrch\fcs0 _x000d__x000a_\cs17\v\fs20\cf9\lang1024\langfe1024\loch\af1\hich\af1\dbch\af31501\noproof\langnp1036\insrsid9201097\charrsid5141309 \hich\af1\dbch\af31501\loch\f1 &lt;Article2&gt;&lt;OptDel&gt;}{\rtlch\fcs1 \af0 \ltrch\fcs0 _x000d__x000a_\lang1036\langfe2057\langnp1036\insrsid9201097\charrsid5141309 [ZACTPART]}{\rtlch\fcs1 \af0 \ltrch\fcs0 \cs17\v\fs20\cf9\lang1024\langfe1024\loch\af1\hich\af1\dbch\af31501\noproof\langnp1036\insrsid9201097\charrsid5141309 \hich\af1\dbch\af31501\loch\f1 _x000d__x000a_&lt;/OptDel&gt;&lt;/Article2&gt;}{\rtlch\fcs1 \af0 \ltrch\fcs0 \lang1036\langfe2057\langnp1036\insrsid9201097\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9201097\charrsid5141309 \cell }\pard \ltrpar\ql \li0\ri0\widctlpar\intbl\wrapdefault\aspalpha\aspnum\faauto\adjustright\rin0\lin0 {\rtlch\fcs1 \af0 \ltrch\fcs0 \insrsid9201097\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9201097\charrsid4593153 [ZLEFT]\cell [ZRIGHT]\cell }\pard\plain \ltrpar\ql \li0\ri0\widctlpar\intbl\wrapdefault\aspalpha\aspnum\faauto\adjustright\rin0\lin0 \rtlch\fcs1 \af0\afs20\alang1025 \ltrch\fcs0 _x000d__x000a_\fs24\lang2057\langfe2057\cgrid\langnp2057\langfenp2057 {\rtlch\fcs1 \af0 \ltrch\fcs0 \insrsid9201097\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9201097\charrsid4593153 [ZTEXTL]\cell [ZTEXTR]}{\rtlch\fcs1 \af0\afs24 \ltrch\fcs0 \insrsid9201097\charrsid4593153 \cell }\pard\plain \ltrpar\ql \li0\ri0\widctlpar\intbl\wrapdefault\aspalpha\aspnum\faauto\adjustright\rin0\lin0 \rtlch\fcs1 _x000d__x000a_\af0\afs20\alang1025 \ltrch\fcs0 \fs24\lang2057\langfe2057\cgrid\langnp2057\langfenp2057 {\rtlch\fcs1 \af0 \ltrch\fcs0 \insrsid9201097\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201097 \rtlch\fcs1 \af0\afs20\alang1025 \ltrch\fcs0 \i\fs24\lang2057\langfe2057\cgrid\langnp2057\langfenp2057 {\rtlch\fcs1 \af0 \ltrch\fcs0 _x000d__x000a_\cs17\i0\v\fs20\cf9\lang1024\langfe1024\loch\af1\hich\af1\dbch\af31501\noproof\insrsid9201097\charrsid4593153 \hich\af1\dbch\af31501\loch\f1 &lt;OptDel&gt;}{\rtlch\fcs1 \af0 \ltrch\fcs0 \insrsid9201097\charrsid4593153 [ZCROSSREF]}{\rtlch\fcs1 \af0 \ltrch\fcs0 _x000d__x000a_\cs17\i0\v\fs20\cf9\lang1024\langfe1024\loch\af1\hich\af1\dbch\af31501\noproof\insrsid9201097\charrsid4593153 \hich\af1\dbch\af31501\loch\f1 &lt;/OptDel&gt;}{\rtlch\fcs1 \af0 \ltrch\fcs0 \insrsid9201097\charrsid4593153 _x000d__x000a_\par }\pard\plain \ltrpar\s22\qc \li0\ri0\sb240\sa240\keepn\nowidctlpar\wrapdefault\aspalpha\aspnum\faauto\adjustright\rin0\lin0\itap0\pararsid9201097 \rtlch\fcs1 \af0\afs20\alang1025 \ltrch\fcs0 \i\fs24\lang2057\langfe2057\cgrid\langnp2057\langfenp2057 {_x000d__x000a_\rtlch\fcs1 \af0 \ltrch\fcs0 \cs17\i0\v\fs20\cf9\lang1024\langfe1024\loch\af1\hich\af1\dbch\af31501\noproof\insrsid9201097\charrsid4593153 \hich\af1\dbch\af31501\loch\f1 &lt;TitreJust&gt;}{\rtlch\fcs1 \af0 \ltrch\fcs0 \insrsid9201097\charrsid4593153 _x000d__x000a_[ZJUSTIFICATION]}{\rtlch\fcs1 \af0 \ltrch\fcs0 \cs17\i0\v\fs20\cf9\lang1024\langfe1024\loch\af1\hich\af1\dbch\af31501\noproof\insrsid9201097\charrsid4593153 \hich\af1\dbch\af31501\loch\f1 &lt;/TitreJust&gt;}{\rtlch\fcs1 \af0 \ltrch\fcs0 _x000d__x000a_\insrsid9201097\charrsid4593153 _x000d__x000a_\par }\pard\plain \ltrpar\s20\ql \li0\ri0\sa240\nowidctlpar\wrapdefault\aspalpha\aspnum\faauto\adjustright\rin0\lin0\itap0\pararsid9201097 \rtlch\fcs1 \af0\afs20\alang1025 \ltrch\fcs0 \i\fs24\lang2057\langfe2057\cgrid\langnp2057\langfenp2057 {\rtlch\fcs1 \af0 _x000d__x000a_\ltrch\fcs0 \cs17\i0\v\fs20\cf9\lang1024\langfe1024\loch\af1\hich\af1\dbch\af31501\noproof\insrsid9201097\charrsid4593153 \hich\af1\dbch\af31501\loch\f1 &lt;OptDelPrev&gt;}{\rtlch\fcs1 \af0 \ltrch\fcs0 \insrsid9201097\charrsid4593153 [ZTEXTJUST]}{\rtlch\fcs1 _x000d__x000a_\af0 \ltrch\fcs0 \cs17\i0\v\fs20\cf9\lang1024\langfe1024\loch\af1\hich\af1\dbch\af31501\noproof\insrsid9201097\charrsid4593153 \hich\af1\dbch\af31501\loch\f1 &lt;/OptDelPrev&gt;}{\rtlch\fcs1 \af0 \ltrch\fcs0 \insrsid9201097\charrsid4593153 _x000d__x000a_\par }\pard\plain \ltrpar\ql \li0\ri0\widctlpar\wrapdefault\aspalpha\aspnum\faauto\adjustright\rin0\lin0\itap0\pararsid9201097 \rtlch\fcs1 \af0\afs20\alang1025 \ltrch\fcs0 \fs24\lang2057\langfe2057\cgrid\langnp2057\langfenp2057 {\rtlch\fcs1 \af0 \ltrch\fcs0 _x000d__x000a_\cs17\v\fs20\cf9\lang1024\langfe1024\loch\af1\hich\af1\dbch\af31501\noproof\insrsid9201097\charrsid4593153 \hich\af1\dbch\af31501\loch\f1 &lt;/Amend&gt;}{\rtlch\fcs1 \af0 \ltrch\fcs0 \insrsid920109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8_x000d__x000a_e7625b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2"/>
    <w:docVar w:name="TXTAUTHOR" w:val="Vera Tax"/>
    <w:docVar w:name="TXTLANGUE" w:val="FR"/>
    <w:docVar w:name="TXTLANGUEMIN" w:val="fr"/>
    <w:docVar w:name="TXTNRC" w:val="0188/2023"/>
    <w:docVar w:name="TXTNRCOD" w:val="2023/0172"/>
    <w:docVar w:name="TXTNRCOM" w:val="(2023)0272"/>
    <w:docVar w:name="TXTNRPE" w:val="753.548"/>
    <w:docVar w:name="TXTPEorAP" w:val="PE"/>
    <w:docVar w:name="TXTROUTE" w:val="RR\1292545FR.docx"/>
    <w:docVar w:name="TXTVERSION" w:val="02-00"/>
  </w:docVars>
  <w:rsids>
    <w:rsidRoot w:val="005F5451"/>
    <w:rsid w:val="00011AAB"/>
    <w:rsid w:val="00012351"/>
    <w:rsid w:val="000139E5"/>
    <w:rsid w:val="00084DD2"/>
    <w:rsid w:val="00084E89"/>
    <w:rsid w:val="000B7489"/>
    <w:rsid w:val="000D66CD"/>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3641D"/>
    <w:rsid w:val="002667C3"/>
    <w:rsid w:val="002669B6"/>
    <w:rsid w:val="00290BED"/>
    <w:rsid w:val="002D13EE"/>
    <w:rsid w:val="002E33EE"/>
    <w:rsid w:val="002F40BB"/>
    <w:rsid w:val="002F4B02"/>
    <w:rsid w:val="00323EF8"/>
    <w:rsid w:val="003316DD"/>
    <w:rsid w:val="00366A46"/>
    <w:rsid w:val="00370AC3"/>
    <w:rsid w:val="003824EE"/>
    <w:rsid w:val="0039089F"/>
    <w:rsid w:val="003B4689"/>
    <w:rsid w:val="003C2068"/>
    <w:rsid w:val="003C37CF"/>
    <w:rsid w:val="004100B1"/>
    <w:rsid w:val="00426E47"/>
    <w:rsid w:val="00455743"/>
    <w:rsid w:val="00461601"/>
    <w:rsid w:val="00497FC2"/>
    <w:rsid w:val="004C0915"/>
    <w:rsid w:val="004D022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F5451"/>
    <w:rsid w:val="00642325"/>
    <w:rsid w:val="0069092A"/>
    <w:rsid w:val="006A2F5D"/>
    <w:rsid w:val="006C6DC5"/>
    <w:rsid w:val="006D7521"/>
    <w:rsid w:val="006F7907"/>
    <w:rsid w:val="00743189"/>
    <w:rsid w:val="00743D33"/>
    <w:rsid w:val="00784280"/>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782"/>
    <w:rsid w:val="00A34FD3"/>
    <w:rsid w:val="00A36929"/>
    <w:rsid w:val="00A50548"/>
    <w:rsid w:val="00A60EE7"/>
    <w:rsid w:val="00A910C9"/>
    <w:rsid w:val="00AA35B0"/>
    <w:rsid w:val="00AD18C8"/>
    <w:rsid w:val="00AD7FA6"/>
    <w:rsid w:val="00AE4643"/>
    <w:rsid w:val="00AF0416"/>
    <w:rsid w:val="00B10CB4"/>
    <w:rsid w:val="00B13D6F"/>
    <w:rsid w:val="00B23B72"/>
    <w:rsid w:val="00B378EB"/>
    <w:rsid w:val="00B42702"/>
    <w:rsid w:val="00B57B8B"/>
    <w:rsid w:val="00B85407"/>
    <w:rsid w:val="00B95702"/>
    <w:rsid w:val="00BB0260"/>
    <w:rsid w:val="00BC6489"/>
    <w:rsid w:val="00BD480C"/>
    <w:rsid w:val="00C20954"/>
    <w:rsid w:val="00C23324"/>
    <w:rsid w:val="00C42A41"/>
    <w:rsid w:val="00C47E74"/>
    <w:rsid w:val="00C57A72"/>
    <w:rsid w:val="00C73602"/>
    <w:rsid w:val="00C85D0F"/>
    <w:rsid w:val="00CA7606"/>
    <w:rsid w:val="00CE2BC5"/>
    <w:rsid w:val="00CF60C8"/>
    <w:rsid w:val="00D30DE2"/>
    <w:rsid w:val="00D32924"/>
    <w:rsid w:val="00D503A3"/>
    <w:rsid w:val="00D76C1F"/>
    <w:rsid w:val="00D83A98"/>
    <w:rsid w:val="00DA6ED0"/>
    <w:rsid w:val="00DC5011"/>
    <w:rsid w:val="00E171B6"/>
    <w:rsid w:val="00E72695"/>
    <w:rsid w:val="00EB1753"/>
    <w:rsid w:val="00EB6CFF"/>
    <w:rsid w:val="00EE3996"/>
    <w:rsid w:val="00F07062"/>
    <w:rsid w:val="00F23CFC"/>
    <w:rsid w:val="00F433E2"/>
    <w:rsid w:val="00F904AE"/>
    <w:rsid w:val="00F934F8"/>
    <w:rsid w:val="00FB38AB"/>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BCE72"/>
  <w15:chartTrackingRefBased/>
  <w15:docId w15:val="{57DC71A4-A41C-4165-A9ED-E8529DEA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link w:val="AmNumberTabsChar"/>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D66CD"/>
    <w:pPr>
      <w:tabs>
        <w:tab w:val="right" w:pos="454"/>
        <w:tab w:val="left" w:pos="737"/>
      </w:tabs>
      <w:ind w:left="737" w:hanging="737"/>
    </w:pPr>
    <w:rPr>
      <w:snapToGrid w:val="0"/>
      <w:sz w:val="18"/>
      <w:lang w:eastAsia="en-US"/>
    </w:rPr>
  </w:style>
  <w:style w:type="paragraph" w:customStyle="1" w:styleId="Lgendetitre">
    <w:name w:val="Légende titre"/>
    <w:basedOn w:val="Normal"/>
    <w:rsid w:val="000D66CD"/>
    <w:pPr>
      <w:spacing w:before="240" w:after="240"/>
    </w:pPr>
    <w:rPr>
      <w:b/>
      <w:i/>
      <w:snapToGrid w:val="0"/>
      <w:lang w:eastAsia="en-US"/>
    </w:rPr>
  </w:style>
  <w:style w:type="paragraph" w:customStyle="1" w:styleId="Lgendestandard">
    <w:name w:val="Légende standard"/>
    <w:basedOn w:val="Normal"/>
    <w:rsid w:val="000D66CD"/>
    <w:rPr>
      <w:sz w:val="18"/>
    </w:rPr>
  </w:style>
  <w:style w:type="character" w:customStyle="1" w:styleId="NormalBoldChar">
    <w:name w:val="NormalBold Char"/>
    <w:basedOn w:val="DefaultParagraphFont"/>
    <w:link w:val="NormalBold"/>
    <w:locked/>
    <w:rsid w:val="000D66CD"/>
    <w:rPr>
      <w:b/>
      <w:sz w:val="24"/>
      <w:lang w:val="fr-FR"/>
    </w:rPr>
  </w:style>
  <w:style w:type="character" w:customStyle="1" w:styleId="Normal6Char">
    <w:name w:val="Normal6 Char"/>
    <w:basedOn w:val="DefaultParagraphFont"/>
    <w:link w:val="Normal6"/>
    <w:locked/>
    <w:rsid w:val="000D66CD"/>
    <w:rPr>
      <w:sz w:val="24"/>
      <w:lang w:val="fr-FR"/>
    </w:rPr>
  </w:style>
  <w:style w:type="paragraph" w:customStyle="1" w:styleId="Normal6">
    <w:name w:val="Normal6"/>
    <w:basedOn w:val="Normal"/>
    <w:link w:val="Normal6Char"/>
    <w:rsid w:val="000D66CD"/>
    <w:pPr>
      <w:spacing w:after="120"/>
    </w:pPr>
  </w:style>
  <w:style w:type="paragraph" w:customStyle="1" w:styleId="ColumnHeading">
    <w:name w:val="ColumnHeading"/>
    <w:basedOn w:val="Normal"/>
    <w:rsid w:val="000D66CD"/>
    <w:pPr>
      <w:spacing w:after="240"/>
      <w:jc w:val="center"/>
    </w:pPr>
    <w:rPr>
      <w:i/>
    </w:rPr>
  </w:style>
  <w:style w:type="paragraph" w:customStyle="1" w:styleId="AMNumberTabs0">
    <w:name w:val="AMNumberTabs"/>
    <w:basedOn w:val="Normal"/>
    <w:rsid w:val="000D66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D66CD"/>
    <w:pPr>
      <w:jc w:val="right"/>
    </w:pPr>
  </w:style>
  <w:style w:type="paragraph" w:styleId="NormalWeb">
    <w:name w:val="Normal (Web)"/>
    <w:basedOn w:val="Normal"/>
    <w:uiPriority w:val="99"/>
    <w:unhideWhenUsed/>
    <w:rsid w:val="000D66CD"/>
    <w:pPr>
      <w:widowControl/>
      <w:spacing w:before="100" w:beforeAutospacing="1" w:after="100" w:afterAutospacing="1"/>
    </w:pPr>
    <w:rPr>
      <w:szCs w:val="24"/>
    </w:rPr>
  </w:style>
  <w:style w:type="paragraph" w:styleId="NoSpacing">
    <w:name w:val="No Spacing"/>
    <w:basedOn w:val="Normal"/>
    <w:uiPriority w:val="1"/>
    <w:qFormat/>
    <w:rsid w:val="000D66CD"/>
    <w:pPr>
      <w:widowControl/>
      <w:jc w:val="both"/>
    </w:pPr>
    <w:rPr>
      <w:rFonts w:eastAsiaTheme="minorHAnsi"/>
      <w:szCs w:val="32"/>
      <w:lang w:eastAsia="en-US"/>
    </w:rPr>
  </w:style>
  <w:style w:type="paragraph" w:styleId="FootnoteText">
    <w:name w:val="footnote text"/>
    <w:basedOn w:val="Normal"/>
    <w:link w:val="FootnoteTextChar"/>
    <w:uiPriority w:val="99"/>
    <w:rsid w:val="000D66CD"/>
    <w:rPr>
      <w:sz w:val="20"/>
    </w:rPr>
  </w:style>
  <w:style w:type="character" w:customStyle="1" w:styleId="FootnoteTextChar">
    <w:name w:val="Footnote Text Char"/>
    <w:basedOn w:val="DefaultParagraphFont"/>
    <w:link w:val="FootnoteText"/>
    <w:uiPriority w:val="99"/>
    <w:rsid w:val="000D66CD"/>
  </w:style>
  <w:style w:type="character" w:styleId="FootnoteReference">
    <w:name w:val="footnote reference"/>
    <w:basedOn w:val="DefaultParagraphFont"/>
    <w:uiPriority w:val="99"/>
    <w:rsid w:val="000D66CD"/>
    <w:rPr>
      <w:vertAlign w:val="superscript"/>
    </w:rPr>
  </w:style>
  <w:style w:type="paragraph" w:styleId="Footer">
    <w:name w:val="footer"/>
    <w:basedOn w:val="Normal"/>
    <w:link w:val="FooterChar"/>
    <w:semiHidden/>
    <w:rsid w:val="00D76C1F"/>
    <w:pPr>
      <w:tabs>
        <w:tab w:val="center" w:pos="4513"/>
        <w:tab w:val="right" w:pos="9026"/>
      </w:tabs>
    </w:pPr>
  </w:style>
  <w:style w:type="character" w:customStyle="1" w:styleId="FooterChar">
    <w:name w:val="Footer Char"/>
    <w:basedOn w:val="DefaultParagraphFont"/>
    <w:link w:val="Footer"/>
    <w:semiHidden/>
    <w:rsid w:val="00D76C1F"/>
    <w:rPr>
      <w:sz w:val="24"/>
    </w:rPr>
  </w:style>
  <w:style w:type="paragraph" w:styleId="BalloonText">
    <w:name w:val="Balloon Text"/>
    <w:basedOn w:val="Normal"/>
    <w:link w:val="BalloonTextChar"/>
    <w:semiHidden/>
    <w:unhideWhenUsed/>
    <w:rsid w:val="004D0225"/>
    <w:rPr>
      <w:rFonts w:ascii="Segoe UI" w:hAnsi="Segoe UI" w:cs="Segoe UI"/>
      <w:sz w:val="18"/>
      <w:szCs w:val="18"/>
    </w:rPr>
  </w:style>
  <w:style w:type="character" w:customStyle="1" w:styleId="BalloonTextChar">
    <w:name w:val="Balloon Text Char"/>
    <w:basedOn w:val="DefaultParagraphFont"/>
    <w:link w:val="BalloonText"/>
    <w:semiHidden/>
    <w:rsid w:val="004D0225"/>
    <w:rPr>
      <w:rFonts w:ascii="Segoe UI" w:hAnsi="Segoe UI" w:cs="Segoe UI"/>
      <w:sz w:val="18"/>
      <w:szCs w:val="18"/>
    </w:rPr>
  </w:style>
  <w:style w:type="character" w:customStyle="1" w:styleId="AmNumberTabsChar">
    <w:name w:val="AmNumberTabs Char"/>
    <w:basedOn w:val="DefaultParagraphFont"/>
    <w:link w:val="AmNumberTabs"/>
    <w:rsid w:val="00FB38AB"/>
    <w:rPr>
      <w:b/>
      <w:sz w:val="24"/>
    </w:rPr>
  </w:style>
  <w:style w:type="paragraph" w:customStyle="1" w:styleId="Normal24a">
    <w:name w:val="Normal24a"/>
    <w:basedOn w:val="Normal"/>
    <w:rsid w:val="00FB38AB"/>
    <w:pPr>
      <w:spacing w:after="480"/>
    </w:pPr>
  </w:style>
  <w:style w:type="paragraph" w:customStyle="1" w:styleId="NormalBoldCenter">
    <w:name w:val="NormalBoldCenter"/>
    <w:basedOn w:val="Normal"/>
    <w:rsid w:val="00FB38AB"/>
    <w:pPr>
      <w:jc w:val="center"/>
    </w:pPr>
    <w:rPr>
      <w:b/>
    </w:rPr>
  </w:style>
  <w:style w:type="paragraph" w:customStyle="1" w:styleId="PageHeadingNotTOC">
    <w:name w:val="PageHeadingNotTOC"/>
    <w:basedOn w:val="Normal"/>
    <w:rsid w:val="00FB38AB"/>
    <w:pPr>
      <w:keepNext/>
      <w:spacing w:after="480"/>
      <w:jc w:val="center"/>
    </w:pPr>
    <w:rPr>
      <w:rFonts w:ascii="Arial" w:hAnsi="Arial" w:cs="Arial"/>
      <w:b/>
    </w:rPr>
  </w:style>
  <w:style w:type="paragraph" w:customStyle="1" w:styleId="Normal12a">
    <w:name w:val="Normal12a"/>
    <w:basedOn w:val="Normal"/>
    <w:rsid w:val="00FB38AB"/>
    <w:pPr>
      <w:spacing w:after="240"/>
    </w:pPr>
  </w:style>
  <w:style w:type="paragraph" w:customStyle="1" w:styleId="RollCallSymbols14pt">
    <w:name w:val="RollCallSymbols14pt"/>
    <w:basedOn w:val="Normal"/>
    <w:rsid w:val="00FB38A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B38AB"/>
    <w:pPr>
      <w:tabs>
        <w:tab w:val="center" w:pos="284"/>
        <w:tab w:val="left" w:pos="426"/>
      </w:tabs>
    </w:pPr>
    <w:rPr>
      <w:snapToGrid w:val="0"/>
      <w:lang w:eastAsia="en-US"/>
    </w:rPr>
  </w:style>
  <w:style w:type="paragraph" w:customStyle="1" w:styleId="RollCallVotes">
    <w:name w:val="RollCallVotes"/>
    <w:basedOn w:val="Normal"/>
    <w:rsid w:val="00FB38AB"/>
    <w:pPr>
      <w:spacing w:before="120" w:after="120"/>
      <w:jc w:val="center"/>
    </w:pPr>
    <w:rPr>
      <w:b/>
      <w:bCs/>
      <w:snapToGrid w:val="0"/>
      <w:sz w:val="16"/>
      <w:lang w:eastAsia="en-US"/>
    </w:rPr>
  </w:style>
  <w:style w:type="paragraph" w:customStyle="1" w:styleId="RollCallTable">
    <w:name w:val="RollCallTable"/>
    <w:basedOn w:val="Normal"/>
    <w:rsid w:val="00FB38AB"/>
    <w:pPr>
      <w:spacing w:before="120" w:after="120"/>
    </w:pPr>
    <w:rPr>
      <w:snapToGrid w:val="0"/>
      <w:sz w:val="16"/>
      <w:lang w:eastAsia="en-US"/>
    </w:rPr>
  </w:style>
  <w:style w:type="paragraph" w:customStyle="1" w:styleId="AmHeadingPA">
    <w:name w:val="AmHeadingPA"/>
    <w:basedOn w:val="Normal"/>
    <w:next w:val="Normal"/>
    <w:rsid w:val="00B378EB"/>
    <w:pPr>
      <w:spacing w:before="480" w:after="240"/>
      <w:jc w:val="center"/>
    </w:pPr>
    <w:rPr>
      <w:rFonts w:ascii="Arial" w:hAnsi="Arial"/>
      <w:b/>
      <w:caps/>
      <w:snapToGrid w:val="0"/>
      <w:szCs w:val="24"/>
      <w:lang w:eastAsia="en-US"/>
    </w:rPr>
  </w:style>
  <w:style w:type="character" w:customStyle="1" w:styleId="Heading1Char">
    <w:name w:val="Heading 1 Char"/>
    <w:basedOn w:val="DefaultParagraphFont"/>
    <w:link w:val="Heading1"/>
    <w:semiHidden/>
    <w:rsid w:val="00B378EB"/>
    <w:rPr>
      <w:rFonts w:ascii="Arial" w:hAnsi="Arial"/>
      <w:b/>
      <w:kern w:val="28"/>
      <w:sz w:val="28"/>
    </w:rPr>
  </w:style>
  <w:style w:type="character" w:customStyle="1" w:styleId="NormalBold12bChar">
    <w:name w:val="NormalBold12b Char"/>
    <w:basedOn w:val="AmNumberTabsChar"/>
    <w:link w:val="NormalBold12b"/>
    <w:rsid w:val="00B378EB"/>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F8E38-70A0-4F8C-9C6F-CB6563BC1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12808</Words>
  <Characters>71854</Characters>
  <Application>Microsoft Office Word</Application>
  <DocSecurity>0</DocSecurity>
  <Lines>2763</Lines>
  <Paragraphs>1113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CWIRKO Andrzej</dc:creator>
  <cp:lastModifiedBy>CWIRKO Andrzej</cp:lastModifiedBy>
  <cp:revision>2</cp:revision>
  <cp:lastPrinted>2004-11-04T09:41:00Z</cp:lastPrinted>
  <dcterms:created xsi:type="dcterms:W3CDTF">2024-01-09T17:24:00Z</dcterms:created>
  <dcterms:modified xsi:type="dcterms:W3CDTF">2024-01-09T17:24:00Z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1292545</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\\eiciLUXpr1\pdocep$\DocEP\TRANSFIL\FR\PR_COD_1amCom.FR(23/05/2023 20:44:02)</vt:lpwstr>
  </property>
  <property fmtid="{D5CDD505-2E9C-101B-9397-08002B2CF9AE}" pid="7" name="&lt;Type&gt;">
    <vt:lpwstr>RR</vt:lpwstr>
  </property>
  <property fmtid="{D5CDD505-2E9C-101B-9397-08002B2CF9AE}" pid="8" name="Bookout">
    <vt:lpwstr>OK - 2024/01/09 18:24</vt:lpwstr>
  </property>
  <property fmtid="{D5CDD505-2E9C-101B-9397-08002B2CF9AE}" pid="9" name="Created with">
    <vt:lpwstr>9.14.1 Build [20230315]</vt:lpwstr>
  </property>
  <property fmtid="{D5CDD505-2E9C-101B-9397-08002B2CF9AE}" pid="10" name="FooterPath">
    <vt:lpwstr>RR\1292545FR.docx</vt:lpwstr>
  </property>
  <property fmtid="{D5CDD505-2E9C-101B-9397-08002B2CF9AE}" pid="11" name="LastEdited with">
    <vt:lpwstr>9.17.0 Build [20231101]</vt:lpwstr>
  </property>
  <property fmtid="{D5CDD505-2E9C-101B-9397-08002B2CF9AE}" pid="12" name="PE number">
    <vt:lpwstr>753.548</vt:lpwstr>
  </property>
  <property fmtid="{D5CDD505-2E9C-101B-9397-08002B2CF9AE}" pid="13" name="SDLStudio">
    <vt:lpwstr/>
  </property>
</Properties>
</file>