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01527" w:rsidTr="00750818">
        <w:trPr>
          <w:trHeight w:hRule="exact" w:val="1418"/>
        </w:trPr>
        <w:tc>
          <w:tcPr>
            <w:tcW w:w="6804" w:type="dxa"/>
            <w:shd w:val="clear" w:color="auto" w:fill="auto"/>
            <w:vAlign w:val="center"/>
          </w:tcPr>
          <w:p w:rsidR="00B13D6F" w:rsidRPr="00334C47" w:rsidRDefault="00EC37EF" w:rsidP="00750818">
            <w:pPr>
              <w:pStyle w:val="EPName"/>
            </w:pPr>
            <w:bookmarkStart w:id="0" w:name="_GoBack"/>
            <w:bookmarkEnd w:id="0"/>
            <w:r>
              <w:t>Parlement européen</w:t>
            </w:r>
          </w:p>
          <w:p w:rsidR="00B13D6F" w:rsidRPr="00334C47" w:rsidRDefault="00EC37EF" w:rsidP="00791E23">
            <w:pPr>
              <w:pStyle w:val="EPTerm"/>
            </w:pPr>
            <w:r>
              <w:t>2019-2024</w:t>
            </w:r>
          </w:p>
        </w:tc>
        <w:tc>
          <w:tcPr>
            <w:tcW w:w="2268" w:type="dxa"/>
            <w:shd w:val="clear" w:color="auto" w:fill="auto"/>
          </w:tcPr>
          <w:p w:rsidR="00B13D6F" w:rsidRPr="00334C47" w:rsidRDefault="00EC37EF" w:rsidP="00750818">
            <w:pPr>
              <w:pStyle w:val="EPLogo"/>
            </w:pPr>
            <w:r w:rsidRPr="00334C47">
              <w:rPr>
                <w:noProof/>
                <w:lang w:val="fr-BE" w:eastAsia="fr-B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34C47" w:rsidRDefault="00461601" w:rsidP="00461601">
      <w:pPr>
        <w:pStyle w:val="LineTop"/>
      </w:pPr>
    </w:p>
    <w:p w:rsidR="00461601" w:rsidRPr="00334C47" w:rsidRDefault="00EC37EF" w:rsidP="00461601">
      <w:pPr>
        <w:pStyle w:val="EPBody"/>
      </w:pPr>
      <w:r>
        <w:t>Document de séance</w:t>
      </w:r>
    </w:p>
    <w:p w:rsidR="00461601" w:rsidRPr="00334C47" w:rsidRDefault="00461601" w:rsidP="00461601">
      <w:pPr>
        <w:pStyle w:val="LineBottom"/>
      </w:pPr>
    </w:p>
    <w:p w:rsidR="00793EA9" w:rsidRPr="00334C47" w:rsidRDefault="00EC37EF">
      <w:pPr>
        <w:pStyle w:val="CoverReference"/>
      </w:pPr>
      <w:r>
        <w:rPr>
          <w:rStyle w:val="HideTWBExt"/>
        </w:rPr>
        <w:t>&lt;NoDocSe&gt;</w:t>
      </w:r>
      <w:r>
        <w:t>A9</w:t>
      </w:r>
      <w:r>
        <w:noBreakHyphen/>
        <w:t>0021/2024</w:t>
      </w:r>
      <w:r>
        <w:rPr>
          <w:rStyle w:val="HideTWBExt"/>
        </w:rPr>
        <w:t>&lt;/NoDocSe&gt;</w:t>
      </w:r>
    </w:p>
    <w:p w:rsidR="00793EA9" w:rsidRPr="00334C47" w:rsidRDefault="00EC37EF">
      <w:pPr>
        <w:pStyle w:val="CoverDate"/>
      </w:pPr>
      <w:r>
        <w:rPr>
          <w:rStyle w:val="HideTWBExt"/>
        </w:rPr>
        <w:t>&lt;Date&gt;</w:t>
      </w:r>
      <w:r>
        <w:rPr>
          <w:rStyle w:val="HideTWBInt"/>
          <w:color w:val="auto"/>
        </w:rPr>
        <w:t>{01/02/2024}</w:t>
      </w:r>
      <w:r>
        <w:t>1.2.2024</w:t>
      </w:r>
      <w:r>
        <w:rPr>
          <w:rStyle w:val="HideTWBExt"/>
        </w:rPr>
        <w:t>&lt;/Date&gt;</w:t>
      </w:r>
    </w:p>
    <w:p w:rsidR="00793EA9" w:rsidRPr="00334C47" w:rsidRDefault="00EC37EF">
      <w:pPr>
        <w:pStyle w:val="CoverDocType"/>
      </w:pPr>
      <w:r>
        <w:rPr>
          <w:rStyle w:val="HideTWBExt"/>
          <w:b w:val="0"/>
        </w:rPr>
        <w:t>&lt;RefProcLect&gt;</w:t>
      </w:r>
      <w:r>
        <w:t>***I</w:t>
      </w:r>
      <w:r>
        <w:rPr>
          <w:rStyle w:val="HideTWBExt"/>
          <w:b w:val="0"/>
        </w:rPr>
        <w:t>&lt;/RefProcLect&gt;</w:t>
      </w:r>
    </w:p>
    <w:p w:rsidR="00793EA9" w:rsidRPr="00334C47" w:rsidRDefault="00EC37EF">
      <w:pPr>
        <w:pStyle w:val="CoverDocType24a"/>
      </w:pPr>
      <w:r>
        <w:rPr>
          <w:rStyle w:val="HideTWBExt"/>
          <w:b w:val="0"/>
        </w:rPr>
        <w:t>&lt;TitreType&gt;</w:t>
      </w:r>
      <w:r>
        <w:t>RAPPORT</w:t>
      </w:r>
      <w:r>
        <w:rPr>
          <w:rStyle w:val="HideTWBExt"/>
          <w:b w:val="0"/>
        </w:rPr>
        <w:t>&lt;/TitreType&gt;</w:t>
      </w:r>
    </w:p>
    <w:p w:rsidR="00793EA9" w:rsidRPr="00334C47" w:rsidRDefault="00EC37EF">
      <w:pPr>
        <w:pStyle w:val="CoverNormal"/>
      </w:pPr>
      <w:r>
        <w:rPr>
          <w:rStyle w:val="HideTWBExt"/>
        </w:rPr>
        <w:t>&lt;Titre&gt;</w:t>
      </w:r>
      <w:r>
        <w:t xml:space="preserve">sur la proposition de règlement du Parlement européen et du </w:t>
      </w:r>
      <w:r>
        <w:t>Conseil modifiant le règlement (UE) 2021/1232 du Parlement européen et du Conseil relatif à une dérogation temporaire à certaines dispositions de la directive 2002/58/CE aux fins de la lutte contre les abus sexuels commis contre des enfants en ligne</w:t>
      </w:r>
      <w:r>
        <w:rPr>
          <w:rStyle w:val="HideTWBExt"/>
        </w:rPr>
        <w:t>&lt;/Titre</w:t>
      </w:r>
      <w:r>
        <w:rPr>
          <w:rStyle w:val="HideTWBExt"/>
        </w:rPr>
        <w:t>&gt;</w:t>
      </w:r>
    </w:p>
    <w:p w:rsidR="00793EA9" w:rsidRPr="00334C47" w:rsidRDefault="00EC37EF">
      <w:pPr>
        <w:pStyle w:val="CoverNormal24a"/>
      </w:pPr>
      <w:r>
        <w:rPr>
          <w:rStyle w:val="HideTWBExt"/>
        </w:rPr>
        <w:t>&lt;DocRef&gt;</w:t>
      </w:r>
      <w:r>
        <w:t>(COM(2023)0777 – C9</w:t>
      </w:r>
      <w:r>
        <w:noBreakHyphen/>
        <w:t>0437/2023 – 2023/0452(COD))</w:t>
      </w:r>
      <w:r>
        <w:rPr>
          <w:rStyle w:val="HideTWBExt"/>
        </w:rPr>
        <w:t>&lt;/DocRef&gt;</w:t>
      </w:r>
    </w:p>
    <w:p w:rsidR="00793EA9" w:rsidRPr="00334C47" w:rsidRDefault="00EC37EF">
      <w:pPr>
        <w:pStyle w:val="CoverNormal24a"/>
      </w:pPr>
      <w:r>
        <w:rPr>
          <w:rStyle w:val="HideTWBExt"/>
        </w:rPr>
        <w:t>&lt;Commission&gt;</w:t>
      </w:r>
      <w:r>
        <w:rPr>
          <w:rStyle w:val="HideTWBInt"/>
          <w:color w:val="auto"/>
        </w:rPr>
        <w:t>{LIBE}</w:t>
      </w:r>
      <w:r>
        <w:t>Commission des libertés civiles, de la justice et des affaires intérieures</w:t>
      </w:r>
      <w:r>
        <w:rPr>
          <w:rStyle w:val="HideTWBExt"/>
        </w:rPr>
        <w:t>&lt;/Commission&gt;</w:t>
      </w:r>
    </w:p>
    <w:p w:rsidR="00793EA9" w:rsidRPr="00334C47" w:rsidRDefault="00EC37EF">
      <w:pPr>
        <w:pStyle w:val="CoverNormal24a"/>
      </w:pPr>
      <w:r>
        <w:t xml:space="preserve">Rapporteure: </w:t>
      </w:r>
      <w:r>
        <w:rPr>
          <w:rStyle w:val="HideTWBExt"/>
        </w:rPr>
        <w:t>&lt;Depute&gt;</w:t>
      </w:r>
      <w:r>
        <w:t>Birgit Sippel</w:t>
      </w:r>
      <w:r>
        <w:rPr>
          <w:rStyle w:val="HideTWBExt"/>
        </w:rPr>
        <w:t>&lt;/Depute&gt;</w:t>
      </w:r>
    </w:p>
    <w:p w:rsidR="001C5B44" w:rsidRPr="00334C47" w:rsidRDefault="001C5B44" w:rsidP="001C5B44">
      <w:pPr>
        <w:pStyle w:val="CoverNormal"/>
      </w:pPr>
    </w:p>
    <w:p w:rsidR="00791E23" w:rsidRPr="00334C47" w:rsidRDefault="00EC37EF" w:rsidP="00750818">
      <w:r>
        <w:br w:type="page"/>
      </w:r>
      <w:r w:rsidR="0054233E">
        <w:lastRenderedPageBreak/>
        <w:fldChar w:fldCharType="begin"/>
      </w:r>
      <w:r>
        <w:instrText xml:space="preserve"> TITLE  \* MERGEFORMAT </w:instrText>
      </w:r>
      <w:r w:rsidR="0054233E">
        <w:fldChar w:fldCharType="separate"/>
      </w:r>
      <w:r>
        <w:t>PR_COD_1amCom</w:t>
      </w:r>
      <w:r w:rsidR="0054233E">
        <w:fldChar w:fldCharType="end"/>
      </w:r>
    </w:p>
    <w:p w:rsidR="00791E23" w:rsidRPr="00334C47" w:rsidRDefault="00791E23" w:rsidP="00750818"/>
    <w:p w:rsidR="00791E23" w:rsidRPr="00334C47" w:rsidRDefault="00791E23" w:rsidP="0075081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01527">
        <w:tc>
          <w:tcPr>
            <w:tcW w:w="5811" w:type="dxa"/>
          </w:tcPr>
          <w:p w:rsidR="00791E23" w:rsidRPr="00334C47" w:rsidRDefault="00EC37EF" w:rsidP="00750818">
            <w:pPr>
              <w:pStyle w:val="Lgendetitre"/>
            </w:pPr>
            <w:r>
              <w:t>Légende des signes utilisés</w:t>
            </w:r>
          </w:p>
        </w:tc>
      </w:tr>
      <w:tr w:rsidR="00B01527" w:rsidTr="00750818">
        <w:trPr>
          <w:cantSplit/>
          <w:trHeight w:val="1807"/>
        </w:trPr>
        <w:tc>
          <w:tcPr>
            <w:tcW w:w="5811" w:type="dxa"/>
            <w:tcBorders>
              <w:bottom w:val="single" w:sz="4" w:space="0" w:color="auto"/>
            </w:tcBorders>
          </w:tcPr>
          <w:p w:rsidR="00791E23" w:rsidRPr="00334C47" w:rsidRDefault="00EC37EF" w:rsidP="00750818">
            <w:pPr>
              <w:pStyle w:val="Lgendesigne"/>
            </w:pPr>
            <w:r>
              <w:tab/>
              <w:t>*</w:t>
            </w:r>
            <w:r>
              <w:tab/>
              <w:t>Procédure de consultation</w:t>
            </w:r>
          </w:p>
          <w:p w:rsidR="00791E23" w:rsidRPr="00334C47" w:rsidRDefault="00EC37EF" w:rsidP="00750818">
            <w:pPr>
              <w:pStyle w:val="Lgendesigne"/>
            </w:pPr>
            <w:r>
              <w:tab/>
              <w:t>***</w:t>
            </w:r>
            <w:r>
              <w:tab/>
              <w:t>Procédure d’approbation</w:t>
            </w:r>
          </w:p>
          <w:p w:rsidR="00791E23" w:rsidRPr="00334C47" w:rsidRDefault="00EC37EF" w:rsidP="00750818">
            <w:pPr>
              <w:pStyle w:val="Lgendesigne"/>
            </w:pPr>
            <w:r>
              <w:tab/>
              <w:t>***I</w:t>
            </w:r>
            <w:r>
              <w:tab/>
              <w:t>Procédure législative ordinaire (première lecture)</w:t>
            </w:r>
          </w:p>
          <w:p w:rsidR="00791E23" w:rsidRPr="00334C47" w:rsidRDefault="00EC37EF" w:rsidP="00750818">
            <w:pPr>
              <w:pStyle w:val="Lgendesigne"/>
            </w:pPr>
            <w:r>
              <w:tab/>
              <w:t>***II</w:t>
            </w:r>
            <w:r>
              <w:tab/>
              <w:t>Procédure législative ordinaire (deuxième lecture)</w:t>
            </w:r>
          </w:p>
          <w:p w:rsidR="00791E23" w:rsidRPr="00334C47" w:rsidRDefault="00EC37EF" w:rsidP="00750818">
            <w:pPr>
              <w:pStyle w:val="Lgendesigne"/>
            </w:pPr>
            <w:r>
              <w:tab/>
              <w:t>***III</w:t>
            </w:r>
            <w:r>
              <w:tab/>
              <w:t>Procédure législative ordinaire (troisièm</w:t>
            </w:r>
            <w:r>
              <w:t>e lecture)</w:t>
            </w:r>
          </w:p>
          <w:p w:rsidR="00791E23" w:rsidRPr="00334C47" w:rsidRDefault="00791E23" w:rsidP="00750818">
            <w:pPr>
              <w:pStyle w:val="Lgendestandard"/>
            </w:pPr>
          </w:p>
          <w:p w:rsidR="00791E23" w:rsidRPr="00334C47" w:rsidRDefault="00EC37EF" w:rsidP="00750818">
            <w:pPr>
              <w:pStyle w:val="Lgendestandard"/>
            </w:pPr>
            <w:r>
              <w:t>(La procédure indiquée est fondée sur la base juridique proposée par le projet d’acte.)</w:t>
            </w:r>
          </w:p>
          <w:p w:rsidR="00791E23" w:rsidRPr="00334C47" w:rsidRDefault="00791E23" w:rsidP="00750818">
            <w:pPr>
              <w:pStyle w:val="Lgendestandard"/>
            </w:pPr>
          </w:p>
        </w:tc>
      </w:tr>
    </w:tbl>
    <w:p w:rsidR="00791E23" w:rsidRPr="00334C47" w:rsidRDefault="00791E23" w:rsidP="00750818"/>
    <w:p w:rsidR="00791E23" w:rsidRPr="00334C47" w:rsidRDefault="00791E23" w:rsidP="00750818"/>
    <w:p w:rsidR="00791E23" w:rsidRPr="00334C47" w:rsidRDefault="00791E23" w:rsidP="00750818"/>
    <w:p w:rsidR="00791E23" w:rsidRPr="00334C47" w:rsidRDefault="00791E23" w:rsidP="0075081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01527">
        <w:tc>
          <w:tcPr>
            <w:tcW w:w="5811" w:type="dxa"/>
          </w:tcPr>
          <w:p w:rsidR="00791E23" w:rsidRPr="00334C47" w:rsidRDefault="00EC37EF" w:rsidP="00750818">
            <w:pPr>
              <w:pStyle w:val="Lgendetitre"/>
            </w:pPr>
            <w:r>
              <w:t>Amendements à un projet d’acte</w:t>
            </w:r>
          </w:p>
        </w:tc>
      </w:tr>
      <w:tr w:rsidR="00B01527" w:rsidTr="00750818">
        <w:trPr>
          <w:trHeight w:val="4496"/>
        </w:trPr>
        <w:tc>
          <w:tcPr>
            <w:tcW w:w="5811" w:type="dxa"/>
          </w:tcPr>
          <w:p w:rsidR="00791E23" w:rsidRPr="00334C47" w:rsidRDefault="00EC37EF" w:rsidP="00750818">
            <w:pPr>
              <w:pStyle w:val="Lgendestandard"/>
              <w:rPr>
                <w:szCs w:val="24"/>
              </w:rPr>
            </w:pPr>
            <w:r>
              <w:rPr>
                <w:b/>
              </w:rPr>
              <w:t>Amendements du Parlement présentés en deux colonnes</w:t>
            </w:r>
          </w:p>
          <w:p w:rsidR="00791E23" w:rsidRPr="00334C47" w:rsidRDefault="00791E23" w:rsidP="00750818">
            <w:pPr>
              <w:pStyle w:val="Lgendestandard"/>
              <w:rPr>
                <w:szCs w:val="24"/>
              </w:rPr>
            </w:pPr>
          </w:p>
          <w:p w:rsidR="00791E23" w:rsidRPr="00334C47" w:rsidRDefault="00EC37EF" w:rsidP="00750818">
            <w:pPr>
              <w:pStyle w:val="Lgendestandard"/>
              <w:rPr>
                <w:szCs w:val="24"/>
              </w:rPr>
            </w:pPr>
            <w:r>
              <w:t xml:space="preserve">Les suppressions sont signalées par des </w:t>
            </w:r>
            <w:r>
              <w:rPr>
                <w:b/>
                <w:i/>
              </w:rPr>
              <w:t>italiques gras</w:t>
            </w:r>
            <w:r>
              <w:t xml:space="preserve"> dans la colonne de gauche. Les remplacements sont signalés par des </w:t>
            </w:r>
            <w:r>
              <w:rPr>
                <w:b/>
                <w:i/>
              </w:rPr>
              <w:t>italiques gras</w:t>
            </w:r>
            <w:r>
              <w:t xml:space="preserve"> dans les deux colonnes. Le texte nouveau est signalé par des </w:t>
            </w:r>
            <w:r>
              <w:rPr>
                <w:b/>
                <w:i/>
              </w:rPr>
              <w:t>italiques gras</w:t>
            </w:r>
            <w:r>
              <w:t xml:space="preserve"> dans la colonne de droite.</w:t>
            </w:r>
          </w:p>
          <w:p w:rsidR="00791E23" w:rsidRPr="00334C47" w:rsidRDefault="00791E23" w:rsidP="00750818">
            <w:pPr>
              <w:pStyle w:val="Lgendestandard"/>
              <w:rPr>
                <w:szCs w:val="24"/>
              </w:rPr>
            </w:pPr>
          </w:p>
          <w:p w:rsidR="00791E23" w:rsidRPr="00334C47" w:rsidRDefault="00EC37EF" w:rsidP="00750818">
            <w:pPr>
              <w:pStyle w:val="Lgendestandard"/>
              <w:rPr>
                <w:szCs w:val="24"/>
              </w:rPr>
            </w:pPr>
            <w:r>
              <w:t xml:space="preserve">Les première et deuxième lignes de l’en-tête de chaque amendement </w:t>
            </w:r>
            <w:r>
              <w:t>identifient le passage concerné dans le projet d’acte à l’examen. Si un amendement porte sur un acte existant, que le projet d’acte entend modifier, l’en-tête comporte en outre une troisième et une quatrième lignes qui identifient respectivement l’acte exi</w:t>
            </w:r>
            <w:r>
              <w:t>stant et la disposition de celui-ci qui est concernée.</w:t>
            </w:r>
          </w:p>
          <w:p w:rsidR="00791E23" w:rsidRPr="00334C47" w:rsidRDefault="00791E23" w:rsidP="00750818">
            <w:pPr>
              <w:pStyle w:val="Lgendestandard"/>
              <w:rPr>
                <w:szCs w:val="24"/>
              </w:rPr>
            </w:pPr>
          </w:p>
          <w:p w:rsidR="00791E23" w:rsidRPr="00334C47" w:rsidRDefault="00EC37EF" w:rsidP="00750818">
            <w:pPr>
              <w:pStyle w:val="Lgendestandard"/>
              <w:rPr>
                <w:b/>
                <w:szCs w:val="24"/>
              </w:rPr>
            </w:pPr>
            <w:r>
              <w:rPr>
                <w:b/>
              </w:rPr>
              <w:t>Amendements du Parlement prenant la forme d’un texte consolidé</w:t>
            </w:r>
          </w:p>
          <w:p w:rsidR="00791E23" w:rsidRPr="00334C47" w:rsidRDefault="00791E23" w:rsidP="00750818">
            <w:pPr>
              <w:pStyle w:val="Lgendestandard"/>
              <w:rPr>
                <w:szCs w:val="24"/>
              </w:rPr>
            </w:pPr>
          </w:p>
          <w:p w:rsidR="00791E23" w:rsidRPr="00334C47" w:rsidRDefault="00EC37EF" w:rsidP="00750818">
            <w:pPr>
              <w:pStyle w:val="Lgendestandard"/>
              <w:rPr>
                <w:szCs w:val="24"/>
              </w:rPr>
            </w:pPr>
            <w:r>
              <w:t xml:space="preserve">Les parties de textes nouvelles sont indiquées en </w:t>
            </w:r>
            <w:r>
              <w:rPr>
                <w:b/>
                <w:i/>
              </w:rPr>
              <w:t>italiques gras</w:t>
            </w:r>
            <w:r>
              <w:t>. Les parties de texte supprimées sont indiquées par le symbole ▌ou barr</w:t>
            </w:r>
            <w:r>
              <w:t xml:space="preserve">ées. Les remplacements sont signalés en indiquant en </w:t>
            </w:r>
            <w:r>
              <w:rPr>
                <w:b/>
                <w:i/>
              </w:rPr>
              <w:t>italiques gras</w:t>
            </w:r>
            <w:r>
              <w:t xml:space="preserve"> le texte nouveau et en effaçant ou en barrant le texte remplacé. </w:t>
            </w:r>
          </w:p>
          <w:p w:rsidR="00791E23" w:rsidRPr="00334C47" w:rsidRDefault="00EC37EF" w:rsidP="00750818">
            <w:pPr>
              <w:pStyle w:val="Lgendestandard"/>
            </w:pPr>
            <w:r>
              <w:t>Par exception, les modifications de nature strictement technique apportées par les services en vue de l’élaboration du tex</w:t>
            </w:r>
            <w:r>
              <w:t>te final ne sont pas marquées.</w:t>
            </w:r>
          </w:p>
          <w:p w:rsidR="00791E23" w:rsidRPr="00334C47" w:rsidRDefault="00791E23" w:rsidP="00750818">
            <w:pPr>
              <w:pStyle w:val="Lgendestandard"/>
            </w:pPr>
          </w:p>
        </w:tc>
      </w:tr>
    </w:tbl>
    <w:p w:rsidR="00791E23" w:rsidRPr="00334C47" w:rsidRDefault="00791E23" w:rsidP="00750818"/>
    <w:p w:rsidR="00793EA9" w:rsidRPr="00334C47" w:rsidRDefault="00793EA9" w:rsidP="00012351">
      <w:pPr>
        <w:widowControl/>
        <w:tabs>
          <w:tab w:val="center" w:pos="4677"/>
        </w:tabs>
      </w:pPr>
    </w:p>
    <w:p w:rsidR="00793EA9" w:rsidRPr="00334C47" w:rsidRDefault="00EC37EF">
      <w:pPr>
        <w:pStyle w:val="TOCHeading"/>
      </w:pPr>
      <w:r>
        <w:br w:type="page"/>
      </w:r>
      <w:r>
        <w:lastRenderedPageBreak/>
        <w:t>SOMMAIRE</w:t>
      </w:r>
    </w:p>
    <w:p w:rsidR="00793EA9" w:rsidRPr="00334C47" w:rsidRDefault="00EC37EF">
      <w:pPr>
        <w:pStyle w:val="TOCPage"/>
      </w:pPr>
      <w:r>
        <w:t>Page</w:t>
      </w:r>
    </w:p>
    <w:p w:rsidR="00EC37EF" w:rsidRDefault="00EC37EF">
      <w:pPr>
        <w:pStyle w:val="TOC1"/>
        <w:tabs>
          <w:tab w:val="right" w:leader="dot" w:pos="9060"/>
        </w:tabs>
        <w:rPr>
          <w:rFonts w:asciiTheme="minorHAnsi" w:eastAsiaTheme="minorEastAsia" w:hAnsiTheme="minorHAnsi" w:cstheme="minorBidi"/>
          <w:noProof/>
          <w:sz w:val="22"/>
          <w:szCs w:val="22"/>
          <w:lang w:val="fr-BE" w:eastAsia="fr-BE"/>
        </w:rPr>
      </w:pPr>
      <w:r w:rsidRPr="00334C47">
        <w:rPr>
          <w:b/>
        </w:rPr>
        <w:fldChar w:fldCharType="begin"/>
      </w:r>
      <w:r w:rsidRPr="00334C47">
        <w:rPr>
          <w:b/>
        </w:rPr>
        <w:instrText xml:space="preserve"> TOC \t "PageHeading</w:instrText>
      </w:r>
      <w:r w:rsidR="00C62471">
        <w:rPr>
          <w:b/>
        </w:rPr>
        <w:instrText>;</w:instrText>
      </w:r>
      <w:r w:rsidRPr="00334C47">
        <w:rPr>
          <w:b/>
        </w:rPr>
        <w:instrText xml:space="preserve">1" </w:instrText>
      </w:r>
      <w:r w:rsidRPr="00334C47">
        <w:rPr>
          <w:b/>
        </w:rPr>
        <w:fldChar w:fldCharType="separate"/>
      </w:r>
      <w:r>
        <w:rPr>
          <w:noProof/>
        </w:rPr>
        <w:t>PROJET DE RÉSOLUTION LÉGISLATIVE DU PARLEMENT EUROPÉEN</w:t>
      </w:r>
      <w:r>
        <w:rPr>
          <w:noProof/>
        </w:rPr>
        <w:tab/>
      </w:r>
      <w:r>
        <w:rPr>
          <w:noProof/>
        </w:rPr>
        <w:fldChar w:fldCharType="begin"/>
      </w:r>
      <w:r>
        <w:rPr>
          <w:noProof/>
        </w:rPr>
        <w:instrText xml:space="preserve"> PAGEREF _Toc158891026 \h </w:instrText>
      </w:r>
      <w:r>
        <w:rPr>
          <w:noProof/>
        </w:rPr>
      </w:r>
      <w:r>
        <w:rPr>
          <w:noProof/>
        </w:rPr>
        <w:fldChar w:fldCharType="separate"/>
      </w:r>
      <w:r>
        <w:rPr>
          <w:noProof/>
        </w:rPr>
        <w:t>5</w:t>
      </w:r>
      <w:r>
        <w:rPr>
          <w:noProof/>
        </w:rPr>
        <w:fldChar w:fldCharType="end"/>
      </w:r>
    </w:p>
    <w:p w:rsidR="00EC37EF" w:rsidRDefault="00EC37EF">
      <w:pPr>
        <w:pStyle w:val="TOC1"/>
        <w:tabs>
          <w:tab w:val="right" w:leader="dot" w:pos="9060"/>
        </w:tabs>
        <w:rPr>
          <w:rFonts w:asciiTheme="minorHAnsi" w:eastAsiaTheme="minorEastAsia" w:hAnsiTheme="minorHAnsi" w:cstheme="minorBidi"/>
          <w:noProof/>
          <w:sz w:val="22"/>
          <w:szCs w:val="22"/>
          <w:lang w:val="fr-BE" w:eastAsia="fr-BE"/>
        </w:rPr>
      </w:pPr>
      <w:r>
        <w:rPr>
          <w:noProof/>
        </w:rPr>
        <w:t>ANNEXE: ENTITÉS OU PERSONNES DONT LA RAPPORTEURE A REÇU DES CONTRIBUTIONS</w:t>
      </w:r>
      <w:r>
        <w:rPr>
          <w:noProof/>
        </w:rPr>
        <w:tab/>
      </w:r>
      <w:r>
        <w:rPr>
          <w:noProof/>
        </w:rPr>
        <w:fldChar w:fldCharType="begin"/>
      </w:r>
      <w:r>
        <w:rPr>
          <w:noProof/>
        </w:rPr>
        <w:instrText xml:space="preserve"> PAGEREF _Toc158891027 \h </w:instrText>
      </w:r>
      <w:r>
        <w:rPr>
          <w:noProof/>
        </w:rPr>
      </w:r>
      <w:r>
        <w:rPr>
          <w:noProof/>
        </w:rPr>
        <w:fldChar w:fldCharType="separate"/>
      </w:r>
      <w:r>
        <w:rPr>
          <w:noProof/>
        </w:rPr>
        <w:t>18</w:t>
      </w:r>
      <w:r>
        <w:rPr>
          <w:noProof/>
        </w:rPr>
        <w:fldChar w:fldCharType="end"/>
      </w:r>
    </w:p>
    <w:p w:rsidR="00EC37EF" w:rsidRDefault="00EC37EF">
      <w:pPr>
        <w:pStyle w:val="TOC1"/>
        <w:tabs>
          <w:tab w:val="right" w:leader="dot" w:pos="9060"/>
        </w:tabs>
        <w:rPr>
          <w:rFonts w:asciiTheme="minorHAnsi" w:eastAsiaTheme="minorEastAsia" w:hAnsiTheme="minorHAnsi" w:cstheme="minorBidi"/>
          <w:noProof/>
          <w:sz w:val="22"/>
          <w:szCs w:val="22"/>
          <w:lang w:val="fr-BE" w:eastAsia="fr-BE"/>
        </w:rPr>
      </w:pPr>
      <w:r>
        <w:rPr>
          <w:noProof/>
        </w:rPr>
        <w:t>PROCÉDURE DE LA COMMISSION COMPÉTENTE AU FOND</w:t>
      </w:r>
      <w:r>
        <w:rPr>
          <w:noProof/>
        </w:rPr>
        <w:tab/>
      </w:r>
      <w:r>
        <w:rPr>
          <w:noProof/>
        </w:rPr>
        <w:fldChar w:fldCharType="begin"/>
      </w:r>
      <w:r>
        <w:rPr>
          <w:noProof/>
        </w:rPr>
        <w:instrText xml:space="preserve"> PAGEREF _Toc158891028 \h </w:instrText>
      </w:r>
      <w:r>
        <w:rPr>
          <w:noProof/>
        </w:rPr>
      </w:r>
      <w:r>
        <w:rPr>
          <w:noProof/>
        </w:rPr>
        <w:fldChar w:fldCharType="separate"/>
      </w:r>
      <w:r>
        <w:rPr>
          <w:noProof/>
        </w:rPr>
        <w:t>19</w:t>
      </w:r>
      <w:r>
        <w:rPr>
          <w:noProof/>
        </w:rPr>
        <w:fldChar w:fldCharType="end"/>
      </w:r>
    </w:p>
    <w:p w:rsidR="00EC37EF" w:rsidRDefault="00EC37EF">
      <w:pPr>
        <w:pStyle w:val="TOC1"/>
        <w:tabs>
          <w:tab w:val="right" w:leader="dot" w:pos="9060"/>
        </w:tabs>
        <w:rPr>
          <w:rFonts w:asciiTheme="minorHAnsi" w:eastAsiaTheme="minorEastAsia" w:hAnsiTheme="minorHAnsi" w:cstheme="minorBidi"/>
          <w:noProof/>
          <w:sz w:val="22"/>
          <w:szCs w:val="22"/>
          <w:lang w:val="fr-BE" w:eastAsia="fr-BE"/>
        </w:rPr>
      </w:pPr>
      <w:r>
        <w:rPr>
          <w:noProof/>
        </w:rPr>
        <w:t>VOTE FINAL PAR APPEL NOMINAL EN COMMISSION COMPÉTENTE AU FOND</w:t>
      </w:r>
      <w:r>
        <w:rPr>
          <w:noProof/>
        </w:rPr>
        <w:tab/>
      </w:r>
      <w:r>
        <w:rPr>
          <w:noProof/>
        </w:rPr>
        <w:fldChar w:fldCharType="begin"/>
      </w:r>
      <w:r>
        <w:rPr>
          <w:noProof/>
        </w:rPr>
        <w:instrText xml:space="preserve"> PAGEREF _Toc158891029 \h </w:instrText>
      </w:r>
      <w:r>
        <w:rPr>
          <w:noProof/>
        </w:rPr>
      </w:r>
      <w:r>
        <w:rPr>
          <w:noProof/>
        </w:rPr>
        <w:fldChar w:fldCharType="separate"/>
      </w:r>
      <w:r>
        <w:rPr>
          <w:noProof/>
        </w:rPr>
        <w:t>20</w:t>
      </w:r>
      <w:r>
        <w:rPr>
          <w:noProof/>
        </w:rPr>
        <w:fldChar w:fldCharType="end"/>
      </w:r>
    </w:p>
    <w:p w:rsidR="002346B0" w:rsidRPr="00334C47" w:rsidRDefault="00EC37EF" w:rsidP="00C23324">
      <w:r w:rsidRPr="00334C47">
        <w:rPr>
          <w:b/>
        </w:rPr>
        <w:fldChar w:fldCharType="end"/>
      </w:r>
    </w:p>
    <w:p w:rsidR="00793EA9" w:rsidRPr="00334C47" w:rsidRDefault="00EC37EF">
      <w:pPr>
        <w:pStyle w:val="PageHeading"/>
      </w:pPr>
      <w:r>
        <w:br w:type="page"/>
      </w:r>
      <w:r>
        <w:lastRenderedPageBreak/>
        <w:br w:type="page"/>
      </w:r>
      <w:bookmarkStart w:id="1" w:name="_Toc158891026"/>
      <w:r>
        <w:lastRenderedPageBreak/>
        <w:t>PROJET DE RÉSOLUTION LÉGISLATIVE DU PARLEMENT EUROPÉEN</w:t>
      </w:r>
      <w:bookmarkEnd w:id="1"/>
    </w:p>
    <w:p w:rsidR="00793EA9" w:rsidRPr="00334C47" w:rsidRDefault="00EC37EF">
      <w:pPr>
        <w:pStyle w:val="NormalBold"/>
      </w:pPr>
      <w:r>
        <w:t xml:space="preserve">sur la </w:t>
      </w:r>
      <w:r>
        <w:t>proposition de règlement du Parlement européen et du Conseil modifiant le règlement (UE) 2021/1232 du Parlement européen et du Conseil relatif à une dérogation temporaire à certaines dispositions de la directive 2002/58/CE aux fins de la lutte contre les a</w:t>
      </w:r>
      <w:r>
        <w:t>bus sexuels commis contre des enfants en ligne</w:t>
      </w:r>
    </w:p>
    <w:p w:rsidR="00793EA9" w:rsidRPr="00334C47" w:rsidRDefault="00EC37EF">
      <w:pPr>
        <w:pStyle w:val="NormalBold12a"/>
      </w:pPr>
      <w:r>
        <w:t>(COM(2023)0777 – C9</w:t>
      </w:r>
      <w:r>
        <w:noBreakHyphen/>
        <w:t>0437/2023 – 2023/0452(COD))</w:t>
      </w:r>
    </w:p>
    <w:p w:rsidR="00793EA9" w:rsidRPr="00334C47" w:rsidRDefault="00EC37EF" w:rsidP="00A910C9">
      <w:pPr>
        <w:pStyle w:val="NormalBold"/>
      </w:pPr>
      <w:r>
        <w:t>(Procédure législative ordinaire: première lecture)</w:t>
      </w:r>
    </w:p>
    <w:p w:rsidR="00793EA9" w:rsidRPr="00334C47" w:rsidRDefault="00EC37EF" w:rsidP="00A910C9">
      <w:pPr>
        <w:pStyle w:val="EPComma"/>
      </w:pPr>
      <w:r>
        <w:rPr>
          <w:i/>
        </w:rPr>
        <w:t>Le Parlement européen</w:t>
      </w:r>
      <w:r>
        <w:t>,</w:t>
      </w:r>
    </w:p>
    <w:p w:rsidR="00AA5C01" w:rsidRPr="00B71C41" w:rsidRDefault="00EC37EF" w:rsidP="00AA5C01">
      <w:pPr>
        <w:pStyle w:val="NormalHanging12a"/>
      </w:pPr>
      <w:r>
        <w:t>–</w:t>
      </w:r>
      <w:r>
        <w:tab/>
        <w:t>vu la proposition de la Commission au Parlement européen et au Conseil (COM(2023)077</w:t>
      </w:r>
      <w:r>
        <w:t>7),</w:t>
      </w:r>
    </w:p>
    <w:p w:rsidR="00AA5C01" w:rsidRPr="00B71C41" w:rsidRDefault="00EC37EF" w:rsidP="00AA5C01">
      <w:pPr>
        <w:pStyle w:val="NormalHanging12a"/>
      </w:pPr>
      <w:r>
        <w:t>–</w:t>
      </w:r>
      <w:r>
        <w:tab/>
        <w:t>vu l’article 294, paragraphe 2, l’article 16, paragraphe 2, et l’article 114, paragraphe 1, du traité sur le fonctionnement de l’Union européenne, conformément auxquels la proposition lui a été présentée par la Commission (C9</w:t>
      </w:r>
      <w:r>
        <w:noBreakHyphen/>
        <w:t>0437/2023),</w:t>
      </w:r>
    </w:p>
    <w:p w:rsidR="00AA5C01" w:rsidRPr="00B71C41" w:rsidRDefault="00EC37EF" w:rsidP="00AA5C01">
      <w:pPr>
        <w:pStyle w:val="NormalHanging12a"/>
      </w:pPr>
      <w:r>
        <w:t>–</w:t>
      </w:r>
      <w:r>
        <w:tab/>
        <w:t>vu l’artic</w:t>
      </w:r>
      <w:r>
        <w:t>le 294, paragraphe 3, du traité sur le fonctionnement de l’Union européenne,</w:t>
      </w:r>
    </w:p>
    <w:p w:rsidR="00AA5C01" w:rsidRPr="00B71C41" w:rsidRDefault="00EC37EF" w:rsidP="00AA5C01">
      <w:pPr>
        <w:pStyle w:val="NormalHanging12a"/>
      </w:pPr>
      <w:r>
        <w:t>–</w:t>
      </w:r>
      <w:r>
        <w:tab/>
        <w:t>vu l’avis du Comité économique et social européen (XXXX),</w:t>
      </w:r>
    </w:p>
    <w:p w:rsidR="00AA5C01" w:rsidRPr="00B71C41" w:rsidRDefault="00EC37EF" w:rsidP="00AA5C01">
      <w:pPr>
        <w:pStyle w:val="NormalHanging12a"/>
      </w:pPr>
      <w:r>
        <w:t>–</w:t>
      </w:r>
      <w:r>
        <w:tab/>
        <w:t>vu l’article 59 de son règlement intérieur,</w:t>
      </w:r>
    </w:p>
    <w:p w:rsidR="00AA5C01" w:rsidRPr="00B71C41" w:rsidRDefault="00EC37EF" w:rsidP="00AA5C01">
      <w:pPr>
        <w:pStyle w:val="NormalHanging12a"/>
      </w:pPr>
      <w:r>
        <w:t>–</w:t>
      </w:r>
      <w:r>
        <w:tab/>
        <w:t>vu le rapport de la commission des libertés civiles, de la justice et d</w:t>
      </w:r>
      <w:r>
        <w:t>es affaires intérieures (A9-0021/2024),</w:t>
      </w:r>
    </w:p>
    <w:p w:rsidR="00AA5C01" w:rsidRPr="00B71C41" w:rsidRDefault="00EC37EF" w:rsidP="00AA5C01">
      <w:pPr>
        <w:pStyle w:val="NormalHanging12a"/>
      </w:pPr>
      <w:r>
        <w:t>–</w:t>
      </w:r>
      <w:r>
        <w:tab/>
        <w:t>vu le rapport de la Commission sur la mise en œuvre du règlement (UE) 2021/1232 du Parlement européen et du Conseil du 14 juillet 2021 relatif à une dérogation temporaire à certaines dispositions de la directive 20</w:t>
      </w:r>
      <w:r>
        <w:t>02/58/CE en ce qui concerne l’utilisation de technologies par les fournisseurs de services de communications interpersonnelles non fondés sur la numérotation pour le traitement de données à caractère personnel et d’autres données aux fins de la lutte contr</w:t>
      </w:r>
      <w:r>
        <w:t>e les abus sexuels commis contre des enfants en ligne (COM(2023)0797 final),</w:t>
      </w:r>
    </w:p>
    <w:p w:rsidR="00AA5C01" w:rsidRPr="00B71C41" w:rsidRDefault="00EC37EF" w:rsidP="00AA5C01">
      <w:pPr>
        <w:pStyle w:val="NormalHanging12a"/>
      </w:pPr>
      <w:r>
        <w:t>1.</w:t>
      </w:r>
      <w:r>
        <w:tab/>
        <w:t>arrête la position en première lecture figurant ci-après;</w:t>
      </w:r>
    </w:p>
    <w:p w:rsidR="00AA5C01" w:rsidRPr="00B71C41" w:rsidRDefault="00EC37EF" w:rsidP="00AA5C01">
      <w:pPr>
        <w:pStyle w:val="NormalHanging12a"/>
      </w:pPr>
      <w:r>
        <w:t>2.</w:t>
      </w:r>
      <w:r>
        <w:tab/>
        <w:t>demande à la Commission de le saisir à nouveau, si elle remplace, modifie de manière substantielle ou entend modifi</w:t>
      </w:r>
      <w:r>
        <w:t>er de manière substantielle sa proposition;</w:t>
      </w:r>
    </w:p>
    <w:p w:rsidR="00AA5C01" w:rsidRPr="00B71C41" w:rsidRDefault="00EC37EF" w:rsidP="00AA5C01">
      <w:pPr>
        <w:pStyle w:val="NormalHanging12a"/>
      </w:pPr>
      <w:r>
        <w:t>3.</w:t>
      </w:r>
      <w:r>
        <w:tab/>
        <w:t>charge sa Présidente de transmettre la position du Parlement au Conseil, à la Commission ainsi qu’aux parlements nationaux.</w:t>
      </w:r>
    </w:p>
    <w:p w:rsidR="00AA5C01" w:rsidRPr="00B71C41" w:rsidRDefault="00EC37EF" w:rsidP="00AA5C01">
      <w:bookmarkStart w:id="2" w:name="PasteOldAMStart"/>
      <w:bookmarkStart w:id="3" w:name="PasteOldAMEnd"/>
      <w:bookmarkEnd w:id="2"/>
      <w:bookmarkEnd w:id="3"/>
      <w:r>
        <w:rPr>
          <w:rStyle w:val="HideTWBExt"/>
        </w:rPr>
        <w:t>&lt;RepeatBlock-Amend&gt;</w:t>
      </w:r>
    </w:p>
    <w:p w:rsidR="00AA5C01" w:rsidRPr="00B71C41" w:rsidRDefault="00EC37EF" w:rsidP="00AA5C01">
      <w:pPr>
        <w:pStyle w:val="AMNumberTabs0"/>
        <w:keepNext/>
      </w:pPr>
      <w:r>
        <w:rPr>
          <w:rStyle w:val="HideTWBExt"/>
          <w:b w:val="0"/>
          <w:lang w:val="en-GB"/>
        </w:rPr>
        <w:lastRenderedPageBreak/>
        <w:t>&lt;Amend&gt;</w:t>
      </w:r>
      <w:r>
        <w:t>Amendement</w:t>
      </w:r>
      <w:r>
        <w:tab/>
      </w:r>
      <w:r>
        <w:tab/>
      </w:r>
      <w:r>
        <w:rPr>
          <w:rStyle w:val="HideTWBExt"/>
          <w:b w:val="0"/>
          <w:lang w:val="en-GB"/>
        </w:rPr>
        <w:t>&lt;NumAm&gt;</w:t>
      </w:r>
      <w:r>
        <w:t>1</w:t>
      </w:r>
      <w:r>
        <w:rPr>
          <w:rStyle w:val="HideTWBExt"/>
          <w:b w:val="0"/>
          <w:lang w:val="en-GB"/>
        </w:rPr>
        <w:t>&lt;/NumAm&gt;</w:t>
      </w:r>
    </w:p>
    <w:p w:rsidR="00AA5C01" w:rsidRPr="00B71C41" w:rsidRDefault="00EC37EF" w:rsidP="00AA5C01">
      <w:pPr>
        <w:pStyle w:val="NormalBold12b"/>
        <w:keepNext/>
      </w:pPr>
      <w:r>
        <w:rPr>
          <w:rStyle w:val="HideTWBExt"/>
          <w:b w:val="0"/>
        </w:rPr>
        <w:t>&lt;DocAmend&gt;</w:t>
      </w:r>
      <w:r>
        <w:t>Proposition de règl</w:t>
      </w:r>
      <w:r>
        <w:t>ement</w:t>
      </w:r>
      <w:r>
        <w:rPr>
          <w:rStyle w:val="HideTWBExt"/>
          <w:b w:val="0"/>
        </w:rPr>
        <w:t>&lt;/DocAmend&gt;</w:t>
      </w:r>
    </w:p>
    <w:p w:rsidR="00AA5C01" w:rsidRPr="00B71C41" w:rsidRDefault="00EC37EF" w:rsidP="00AA5C01">
      <w:pPr>
        <w:pStyle w:val="NormalBold"/>
      </w:pPr>
      <w:r>
        <w:rPr>
          <w:rStyle w:val="HideTWBExt"/>
          <w:b w:val="0"/>
        </w:rPr>
        <w:t>&lt;Article&gt;</w:t>
      </w:r>
      <w:r>
        <w:t>Considérant -1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B71C41" w:rsidRDefault="00AA5C01" w:rsidP="008A1C6E">
            <w:pPr>
              <w:keepNext/>
            </w:pPr>
          </w:p>
        </w:tc>
      </w:tr>
      <w:tr w:rsidR="00B01527" w:rsidTr="008A1C6E">
        <w:trPr>
          <w:jc w:val="center"/>
        </w:trPr>
        <w:tc>
          <w:tcPr>
            <w:tcW w:w="4876" w:type="dxa"/>
            <w:hideMark/>
          </w:tcPr>
          <w:p w:rsidR="00AA5C01" w:rsidRPr="00B71C41" w:rsidRDefault="00EC37EF" w:rsidP="008A1C6E">
            <w:pPr>
              <w:pStyle w:val="ColumnHeading"/>
              <w:keepNext/>
            </w:pPr>
            <w:r>
              <w:t>Texte proposé par la Commission</w:t>
            </w:r>
          </w:p>
        </w:tc>
        <w:tc>
          <w:tcPr>
            <w:tcW w:w="4876" w:type="dxa"/>
            <w:hideMark/>
          </w:tcPr>
          <w:p w:rsidR="00AA5C01" w:rsidRPr="00B71C41" w:rsidRDefault="00EC37EF" w:rsidP="008A1C6E">
            <w:pPr>
              <w:pStyle w:val="ColumnHeading"/>
              <w:keepNext/>
            </w:pPr>
            <w:r>
              <w:t>Amendement</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(-1)</w:t>
            </w:r>
            <w:r>
              <w:tab/>
            </w:r>
            <w:r>
              <w:rPr>
                <w:b/>
                <w:i/>
              </w:rPr>
              <w:t xml:space="preserve">Afin de faciliter le respect des obligations de présentation d’un rapport qui s’appliquent aux fournisseurs, en particulier pour que les </w:t>
            </w:r>
            <w:r>
              <w:rPr>
                <w:b/>
                <w:i/>
              </w:rPr>
              <w:t>rapports soient lisibles par machine et aisément accessibles, il convient d’harmoniser le format de publication des rapports prévus à l’article 3, paragraphe 1, point f), vii), du règlement (UE) 2021/1232.</w:t>
            </w:r>
          </w:p>
        </w:tc>
      </w:tr>
    </w:tbl>
    <w:p w:rsidR="00AA5C01" w:rsidRPr="00B71C41" w:rsidRDefault="00EC37EF" w:rsidP="00AA5C01">
      <w:r>
        <w:rPr>
          <w:rStyle w:val="HideTWBExt"/>
        </w:rPr>
        <w:t>&lt;/Amend&gt;</w:t>
      </w:r>
    </w:p>
    <w:p w:rsidR="00AA5C01" w:rsidRPr="00B71C41" w:rsidRDefault="00EC37EF" w:rsidP="00AA5C01">
      <w:pPr>
        <w:pStyle w:val="AMNumberTabs0"/>
        <w:keepNext/>
      </w:pPr>
      <w:r>
        <w:rPr>
          <w:rStyle w:val="HideTWBExt"/>
          <w:b w:val="0"/>
          <w:lang w:val="en-GB"/>
        </w:rPr>
        <w:t>&lt;Amend&gt;</w:t>
      </w:r>
      <w:r>
        <w:t>Amendement</w:t>
      </w:r>
      <w:r>
        <w:tab/>
      </w:r>
      <w:r>
        <w:tab/>
      </w:r>
      <w:r>
        <w:rPr>
          <w:rStyle w:val="HideTWBExt"/>
          <w:b w:val="0"/>
          <w:lang w:val="en-GB"/>
        </w:rPr>
        <w:t>&lt;NumAm&gt;</w:t>
      </w:r>
      <w:r>
        <w:t>2</w:t>
      </w:r>
      <w:r>
        <w:rPr>
          <w:rStyle w:val="HideTWBExt"/>
          <w:b w:val="0"/>
          <w:lang w:val="en-GB"/>
        </w:rPr>
        <w:t>&lt;/NumAm&gt;</w:t>
      </w:r>
    </w:p>
    <w:p w:rsidR="00AA5C01" w:rsidRPr="00B71C41" w:rsidRDefault="00EC37EF" w:rsidP="00AA5C01">
      <w:pPr>
        <w:pStyle w:val="NormalBold12b"/>
        <w:keepNext/>
      </w:pPr>
      <w:r>
        <w:rPr>
          <w:rStyle w:val="HideTWBExt"/>
          <w:b w:val="0"/>
        </w:rPr>
        <w:t>&lt;DocAmend&gt;</w:t>
      </w:r>
      <w:r>
        <w:t>Proposition de règlement</w:t>
      </w:r>
      <w:r>
        <w:rPr>
          <w:rStyle w:val="HideTWBExt"/>
          <w:b w:val="0"/>
        </w:rPr>
        <w:t>&lt;/DocAmend&gt;</w:t>
      </w:r>
    </w:p>
    <w:p w:rsidR="00AA5C01" w:rsidRPr="00B71C41" w:rsidRDefault="00EC37EF" w:rsidP="00AA5C01">
      <w:pPr>
        <w:pStyle w:val="NormalBold"/>
      </w:pPr>
      <w:r>
        <w:rPr>
          <w:rStyle w:val="HideTWBExt"/>
          <w:b w:val="0"/>
        </w:rPr>
        <w:t>&lt;Article&gt;</w:t>
      </w:r>
      <w:r>
        <w:t>Considérant 1 bis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B71C41" w:rsidRDefault="00AA5C01" w:rsidP="008A1C6E">
            <w:pPr>
              <w:keepNext/>
            </w:pPr>
          </w:p>
        </w:tc>
      </w:tr>
      <w:tr w:rsidR="00B01527" w:rsidTr="008A1C6E">
        <w:trPr>
          <w:jc w:val="center"/>
        </w:trPr>
        <w:tc>
          <w:tcPr>
            <w:tcW w:w="4876" w:type="dxa"/>
            <w:hideMark/>
          </w:tcPr>
          <w:p w:rsidR="00AA5C01" w:rsidRPr="00B71C41" w:rsidRDefault="00EC37EF" w:rsidP="008A1C6E">
            <w:pPr>
              <w:pStyle w:val="ColumnHeading"/>
              <w:keepNext/>
            </w:pPr>
            <w:r>
              <w:t>Texte proposé par la Commission</w:t>
            </w:r>
          </w:p>
        </w:tc>
        <w:tc>
          <w:tcPr>
            <w:tcW w:w="4876" w:type="dxa"/>
            <w:hideMark/>
          </w:tcPr>
          <w:p w:rsidR="00AA5C01" w:rsidRPr="00B71C41" w:rsidRDefault="00EC37EF" w:rsidP="008A1C6E">
            <w:pPr>
              <w:pStyle w:val="ColumnHeading"/>
              <w:keepNext/>
            </w:pPr>
            <w:r>
              <w:t>Amendement</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(1 bis)</w:t>
            </w:r>
            <w:r>
              <w:tab/>
            </w:r>
            <w:r>
              <w:rPr>
                <w:b/>
                <w:i/>
              </w:rPr>
              <w:t>Afin de garantir un niveau de transparence et de responsabilité adéquat, et pour que les informations transm</w:t>
            </w:r>
            <w:r>
              <w:rPr>
                <w:b/>
                <w:i/>
              </w:rPr>
              <w:t>ises soient complètes et comparables, il est nécessaire d’établir des modèles relatifs aux informations détaillées des rapports sur le traitement de données à caractère personnel que les fournisseurs de services de communications interpersonnelles non fond</w:t>
            </w:r>
            <w:r>
              <w:rPr>
                <w:b/>
                <w:i/>
              </w:rPr>
              <w:t>és sur la numérotation devraient publier et soumettre à l’autorité compétente de contrôle et à la Commission au titre du règlement (UE) 2021/1232.</w:t>
            </w:r>
          </w:p>
        </w:tc>
      </w:tr>
    </w:tbl>
    <w:p w:rsidR="00AA5C01" w:rsidRPr="00B71C41" w:rsidRDefault="00EC37EF" w:rsidP="00AA5C01">
      <w:r>
        <w:rPr>
          <w:rStyle w:val="HideTWBExt"/>
        </w:rPr>
        <w:t>&lt;/Amend&gt;</w:t>
      </w:r>
    </w:p>
    <w:p w:rsidR="00AA5C01" w:rsidRPr="00B71C41" w:rsidRDefault="00EC37EF" w:rsidP="00AA5C01">
      <w:pPr>
        <w:pStyle w:val="AMNumberTabs0"/>
        <w:keepNext/>
      </w:pPr>
      <w:r>
        <w:rPr>
          <w:rStyle w:val="HideTWBExt"/>
          <w:b w:val="0"/>
          <w:lang w:val="en-GB"/>
        </w:rPr>
        <w:t>&lt;Amend&gt;</w:t>
      </w:r>
      <w:r>
        <w:t>Amendement</w:t>
      </w:r>
      <w:r>
        <w:tab/>
      </w:r>
      <w:r>
        <w:tab/>
      </w:r>
      <w:r>
        <w:rPr>
          <w:rStyle w:val="HideTWBExt"/>
          <w:b w:val="0"/>
          <w:lang w:val="en-GB"/>
        </w:rPr>
        <w:t>&lt;NumAm&gt;</w:t>
      </w:r>
      <w:r>
        <w:t>3</w:t>
      </w:r>
      <w:r>
        <w:rPr>
          <w:rStyle w:val="HideTWBExt"/>
          <w:b w:val="0"/>
          <w:lang w:val="en-GB"/>
        </w:rPr>
        <w:t>&lt;/NumAm&gt;</w:t>
      </w:r>
    </w:p>
    <w:p w:rsidR="00AA5C01" w:rsidRPr="00B71C41" w:rsidRDefault="00EC37EF" w:rsidP="00AA5C01">
      <w:pPr>
        <w:pStyle w:val="NormalBold12b"/>
        <w:keepNext/>
      </w:pPr>
      <w:r>
        <w:rPr>
          <w:rStyle w:val="HideTWBExt"/>
          <w:b w:val="0"/>
        </w:rPr>
        <w:t>&lt;DocAmend&gt;</w:t>
      </w:r>
      <w:r>
        <w:t>Proposition de règlement</w:t>
      </w:r>
      <w:r>
        <w:rPr>
          <w:rStyle w:val="HideTWBExt"/>
          <w:b w:val="0"/>
        </w:rPr>
        <w:t>&lt;/DocAmend&gt;</w:t>
      </w:r>
    </w:p>
    <w:p w:rsidR="00AA5C01" w:rsidRPr="001107EB" w:rsidRDefault="00EC37EF" w:rsidP="00AA5C01">
      <w:pPr>
        <w:pStyle w:val="NormalBold"/>
      </w:pPr>
      <w:r>
        <w:rPr>
          <w:rStyle w:val="HideTWBExt"/>
          <w:b w:val="0"/>
        </w:rPr>
        <w:t>&lt;Article&gt;</w:t>
      </w:r>
      <w:r>
        <w:t>Considérant 1 ter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1107EB" w:rsidRDefault="00AA5C01" w:rsidP="008A1C6E">
            <w:pPr>
              <w:keepNext/>
            </w:pPr>
          </w:p>
        </w:tc>
      </w:tr>
      <w:tr w:rsidR="00B01527" w:rsidTr="008A1C6E">
        <w:trPr>
          <w:jc w:val="center"/>
        </w:trPr>
        <w:tc>
          <w:tcPr>
            <w:tcW w:w="4876" w:type="dxa"/>
            <w:hideMark/>
          </w:tcPr>
          <w:p w:rsidR="00AA5C01" w:rsidRPr="00B71C41" w:rsidRDefault="00EC37EF" w:rsidP="008A1C6E">
            <w:pPr>
              <w:pStyle w:val="ColumnHeading"/>
              <w:keepNext/>
            </w:pPr>
            <w:r>
              <w:t>Texte proposé par la Commission</w:t>
            </w:r>
          </w:p>
        </w:tc>
        <w:tc>
          <w:tcPr>
            <w:tcW w:w="4876" w:type="dxa"/>
            <w:hideMark/>
          </w:tcPr>
          <w:p w:rsidR="00AA5C01" w:rsidRPr="00B71C41" w:rsidRDefault="00EC37EF" w:rsidP="008A1C6E">
            <w:pPr>
              <w:pStyle w:val="ColumnHeading"/>
              <w:keepNext/>
            </w:pPr>
            <w:r>
              <w:t>Amendement</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(1 ter)</w:t>
            </w:r>
            <w:r>
              <w:tab/>
            </w:r>
            <w:r>
              <w:rPr>
                <w:b/>
                <w:i/>
              </w:rPr>
              <w:t>Afin de permettre un contrôle efficace du traitement des données à caractère personnel, les fournisseurs de services de communications interpersonnelles non fondés</w:t>
            </w:r>
            <w:r>
              <w:rPr>
                <w:b/>
                <w:i/>
              </w:rPr>
              <w:t xml:space="preserve"> sur la numérotation devraient, lorsqu’ils s’acquittent de leurs obligations de présentation des rapports conformément au règlement (UE) 2021/1232, utiliser le modèle et les instructions figurant à l’annexe du présent règlement.</w:t>
            </w:r>
          </w:p>
        </w:tc>
      </w:tr>
    </w:tbl>
    <w:p w:rsidR="00AA5C01" w:rsidRPr="00B71C41" w:rsidRDefault="00EC37EF" w:rsidP="00AA5C01">
      <w:pPr>
        <w:rPr>
          <w:rStyle w:val="HideTWBExt"/>
        </w:rPr>
      </w:pPr>
      <w:r>
        <w:rPr>
          <w:rStyle w:val="HideTWBExt"/>
        </w:rPr>
        <w:t>&lt;/Amend&gt;</w:t>
      </w:r>
    </w:p>
    <w:p w:rsidR="00AA5C01" w:rsidRPr="00B71C41" w:rsidRDefault="00EC37EF" w:rsidP="00AA5C01">
      <w:pPr>
        <w:pStyle w:val="AmNumberTabs"/>
        <w:keepNext/>
      </w:pPr>
      <w:r>
        <w:rPr>
          <w:rStyle w:val="HideTWBExt"/>
          <w:b w:val="0"/>
        </w:rPr>
        <w:t>&lt;Amend&gt;</w:t>
      </w:r>
      <w:r>
        <w:t>Amendement</w:t>
      </w:r>
      <w:r>
        <w:tab/>
      </w:r>
      <w:r>
        <w:tab/>
      </w:r>
      <w:r>
        <w:rPr>
          <w:rStyle w:val="HideTWBExt"/>
          <w:b w:val="0"/>
        </w:rPr>
        <w:t>&lt;NumAm&gt;</w:t>
      </w:r>
      <w:r>
        <w:t>4</w:t>
      </w:r>
      <w:r>
        <w:rPr>
          <w:rStyle w:val="HideTWBExt"/>
          <w:b w:val="0"/>
        </w:rPr>
        <w:t>&lt;/NumAm&gt;</w:t>
      </w:r>
    </w:p>
    <w:p w:rsidR="00AA5C01" w:rsidRPr="00B71C41" w:rsidRDefault="00EC37EF" w:rsidP="00AA5C01">
      <w:pPr>
        <w:pStyle w:val="NormalBold12b"/>
      </w:pPr>
      <w:r>
        <w:rPr>
          <w:rStyle w:val="HideTWBExt"/>
          <w:b w:val="0"/>
        </w:rPr>
        <w:t>&lt;DocAmend&gt;</w:t>
      </w:r>
      <w:r>
        <w:t>Proposition de règlement</w:t>
      </w:r>
      <w:r>
        <w:rPr>
          <w:rStyle w:val="HideTWBExt"/>
          <w:b w:val="0"/>
        </w:rPr>
        <w:t>&lt;/DocAmend&gt;</w:t>
      </w:r>
    </w:p>
    <w:p w:rsidR="00AA5C01" w:rsidRPr="001107EB" w:rsidRDefault="00EC37EF" w:rsidP="00AA5C01">
      <w:pPr>
        <w:pStyle w:val="NormalBold"/>
        <w:keepNext/>
      </w:pPr>
      <w:r>
        <w:rPr>
          <w:rStyle w:val="HideTWBExt"/>
          <w:b w:val="0"/>
        </w:rPr>
        <w:t>&lt;Article&gt;</w:t>
      </w:r>
      <w:r>
        <w:t>Considérant 1 quater (nouveau)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1107EB" w:rsidRDefault="00AA5C01" w:rsidP="008A1C6E">
            <w:pPr>
              <w:keepNext/>
            </w:pPr>
          </w:p>
        </w:tc>
      </w:tr>
      <w:tr w:rsidR="00B01527" w:rsidTr="008A1C6E">
        <w:trPr>
          <w:jc w:val="center"/>
        </w:trPr>
        <w:tc>
          <w:tcPr>
            <w:tcW w:w="4876" w:type="dxa"/>
            <w:hideMark/>
          </w:tcPr>
          <w:p w:rsidR="00AA5C01" w:rsidRPr="00B71C41" w:rsidRDefault="00EC37EF" w:rsidP="008A1C6E">
            <w:pPr>
              <w:pStyle w:val="AmColumnHeading"/>
              <w:keepNext/>
            </w:pPr>
            <w:r>
              <w:t>Texte proposé par la Commission</w:t>
            </w:r>
          </w:p>
        </w:tc>
        <w:tc>
          <w:tcPr>
            <w:tcW w:w="4876" w:type="dxa"/>
            <w:hideMark/>
          </w:tcPr>
          <w:p w:rsidR="00AA5C01" w:rsidRPr="00B71C41" w:rsidRDefault="00EC37EF" w:rsidP="008A1C6E">
            <w:pPr>
              <w:pStyle w:val="AmColumnHeading"/>
              <w:keepNext/>
            </w:pPr>
            <w:r>
              <w:t>Amendement</w:t>
            </w:r>
          </w:p>
        </w:tc>
      </w:tr>
      <w:tr w:rsidR="00B01527" w:rsidTr="008A1C6E">
        <w:trPr>
          <w:jc w:val="center"/>
        </w:trPr>
        <w:tc>
          <w:tcPr>
            <w:tcW w:w="4876" w:type="dxa"/>
          </w:tcPr>
          <w:p w:rsidR="00AA5C01" w:rsidRPr="00B71C41" w:rsidRDefault="00AA5C01" w:rsidP="008A1C6E">
            <w:pPr>
              <w:pStyle w:val="Normal6a"/>
            </w:pPr>
          </w:p>
        </w:tc>
        <w:tc>
          <w:tcPr>
            <w:tcW w:w="4876" w:type="dxa"/>
            <w:hideMark/>
          </w:tcPr>
          <w:p w:rsidR="00AA5C01" w:rsidRPr="00B71C41" w:rsidRDefault="00EC37EF" w:rsidP="008A1C6E">
            <w:pPr>
              <w:pStyle w:val="Normal6"/>
              <w:rPr>
                <w:b/>
                <w:i/>
              </w:rPr>
            </w:pPr>
            <w:r>
              <w:rPr>
                <w:b/>
                <w:i/>
              </w:rPr>
              <w:t>(1 quater)</w:t>
            </w:r>
            <w:r>
              <w:rPr>
                <w:b/>
                <w:i/>
              </w:rPr>
              <w:tab/>
              <w:t xml:space="preserve">À la lumière du rapport de la Commission sur l’application du règlement (UE) </w:t>
            </w:r>
            <w:r>
              <w:rPr>
                <w:b/>
                <w:i/>
              </w:rPr>
              <w:t>2021/1232</w:t>
            </w:r>
            <w:r>
              <w:rPr>
                <w:b/>
                <w:i/>
                <w:vertAlign w:val="superscript"/>
              </w:rPr>
              <w:t>1 bis</w:t>
            </w:r>
            <w:r>
              <w:rPr>
                <w:b/>
                <w:i/>
              </w:rPr>
              <w:t>, il est nécessaire d’apporter de profondes améliorations au mécanisme de déclaration à la Commission par les États membres et les fournisseurs de services de communications interpersonnelles non fondés sur la numérotation. Il importe égaleme</w:t>
            </w:r>
            <w:r>
              <w:rPr>
                <w:b/>
                <w:i/>
              </w:rPr>
              <w:t>nt de souligner que la Commission aura l’obligation de rendre compte de l’application du règlement (UE) 2021/1232 en temps utile, au terme de la nouvelle période d’application.</w:t>
            </w:r>
          </w:p>
        </w:tc>
      </w:tr>
      <w:tr w:rsidR="00B01527" w:rsidTr="008A1C6E">
        <w:trPr>
          <w:jc w:val="center"/>
        </w:trPr>
        <w:tc>
          <w:tcPr>
            <w:tcW w:w="4876" w:type="dxa"/>
          </w:tcPr>
          <w:p w:rsidR="00AA5C01" w:rsidRPr="00B71C41" w:rsidRDefault="00AA5C01" w:rsidP="008A1C6E">
            <w:pPr>
              <w:pStyle w:val="Normal6a"/>
            </w:pPr>
          </w:p>
        </w:tc>
        <w:tc>
          <w:tcPr>
            <w:tcW w:w="4876" w:type="dxa"/>
          </w:tcPr>
          <w:p w:rsidR="00AA5C01" w:rsidRPr="00B71C41" w:rsidRDefault="00AA5C01" w:rsidP="008A1C6E">
            <w:pPr>
              <w:pStyle w:val="Normal6"/>
              <w:pBdr>
                <w:bottom w:val="single" w:sz="6" w:space="1" w:color="auto"/>
              </w:pBdr>
              <w:rPr>
                <w:b/>
                <w:i/>
                <w:lang w:val="en-GB"/>
              </w:rPr>
            </w:pPr>
          </w:p>
        </w:tc>
      </w:tr>
      <w:tr w:rsidR="00B01527" w:rsidTr="008A1C6E">
        <w:trPr>
          <w:jc w:val="center"/>
        </w:trPr>
        <w:tc>
          <w:tcPr>
            <w:tcW w:w="4876" w:type="dxa"/>
          </w:tcPr>
          <w:p w:rsidR="00AA5C01" w:rsidRPr="00B71C41" w:rsidRDefault="00AA5C01" w:rsidP="008A1C6E">
            <w:pPr>
              <w:pStyle w:val="Normal6a"/>
            </w:pPr>
          </w:p>
        </w:tc>
        <w:tc>
          <w:tcPr>
            <w:tcW w:w="4876" w:type="dxa"/>
          </w:tcPr>
          <w:p w:rsidR="00AA5C01" w:rsidRPr="00B71C41" w:rsidRDefault="00EC37EF" w:rsidP="008A1C6E">
            <w:pPr>
              <w:pStyle w:val="Normal6"/>
              <w:rPr>
                <w:b/>
                <w:i/>
                <w:szCs w:val="24"/>
              </w:rPr>
            </w:pPr>
            <w:r>
              <w:rPr>
                <w:b/>
                <w:i/>
                <w:vertAlign w:val="superscript"/>
              </w:rPr>
              <w:t>1 bis</w:t>
            </w:r>
            <w:r>
              <w:tab/>
            </w:r>
            <w:r>
              <w:rPr>
                <w:b/>
                <w:i/>
              </w:rPr>
              <w:t xml:space="preserve">Rapport de la Commission sur la mise en œuvre du règlement </w:t>
            </w:r>
            <w:r>
              <w:rPr>
                <w:b/>
                <w:i/>
              </w:rPr>
              <w:t>(UE) 2021/1232 du Parlement européen et du Conseil du 14 juillet 2021 relatif à une dérogation temporaire à certaines dispositions de la directive 2002/58/CE en ce qui concerne l’utilisation de technologies par les fournisseurs de services de communication</w:t>
            </w:r>
            <w:r>
              <w:rPr>
                <w:b/>
                <w:i/>
              </w:rPr>
              <w:t xml:space="preserve">s interpersonnelles non fondés sur la numérotation pour le traitement de </w:t>
            </w:r>
            <w:r>
              <w:rPr>
                <w:b/>
                <w:i/>
              </w:rPr>
              <w:lastRenderedPageBreak/>
              <w:t>données à caractère personnel et d’autres données aux fins de la lutte contre les abus sexuels commis contre des enfants en ligne.</w:t>
            </w:r>
          </w:p>
        </w:tc>
      </w:tr>
    </w:tbl>
    <w:p w:rsidR="00AA5C01" w:rsidRPr="00B71C41" w:rsidRDefault="00EC37EF" w:rsidP="00AA5C01">
      <w:r>
        <w:rPr>
          <w:rStyle w:val="HideTWBExt"/>
        </w:rPr>
        <w:lastRenderedPageBreak/>
        <w:t>&lt;/Amend&gt;</w:t>
      </w:r>
    </w:p>
    <w:p w:rsidR="00AA5C01" w:rsidRPr="00B71C41" w:rsidRDefault="00AA5C01" w:rsidP="00AA5C01">
      <w:pPr>
        <w:rPr>
          <w:rStyle w:val="HideTWBExt"/>
        </w:rPr>
      </w:pPr>
    </w:p>
    <w:p w:rsidR="00AA5C01" w:rsidRPr="00B71C41" w:rsidRDefault="00EC37EF" w:rsidP="00AA5C01">
      <w:pPr>
        <w:pStyle w:val="AmNumberTabs"/>
        <w:keepNext/>
      </w:pPr>
      <w:r>
        <w:rPr>
          <w:rStyle w:val="HideTWBExt"/>
          <w:b w:val="0"/>
        </w:rPr>
        <w:t>&lt;Amend&gt;</w:t>
      </w:r>
      <w:r>
        <w:t>Amendement</w:t>
      </w:r>
      <w:r>
        <w:tab/>
      </w:r>
      <w:r>
        <w:tab/>
      </w:r>
      <w:r>
        <w:rPr>
          <w:rStyle w:val="HideTWBExt"/>
          <w:b w:val="0"/>
        </w:rPr>
        <w:t>&lt;NumAm&gt;</w:t>
      </w:r>
      <w:r>
        <w:t>5</w:t>
      </w:r>
      <w:r>
        <w:rPr>
          <w:rStyle w:val="HideTWBExt"/>
          <w:b w:val="0"/>
        </w:rPr>
        <w:t>&lt;/NumAm&gt;</w:t>
      </w:r>
    </w:p>
    <w:p w:rsidR="00AA5C01" w:rsidRPr="00B71C41" w:rsidRDefault="00EC37EF" w:rsidP="00AA5C01">
      <w:pPr>
        <w:pStyle w:val="NormalBold12b"/>
      </w:pPr>
      <w:r>
        <w:rPr>
          <w:rStyle w:val="HideTWBExt"/>
          <w:b w:val="0"/>
        </w:rPr>
        <w:t>&lt;DocA</w:t>
      </w:r>
      <w:r>
        <w:rPr>
          <w:rStyle w:val="HideTWBExt"/>
          <w:b w:val="0"/>
        </w:rPr>
        <w:t>mend&gt;</w:t>
      </w:r>
      <w:r>
        <w:t>Proposition de règlement</w:t>
      </w:r>
      <w:r>
        <w:rPr>
          <w:rStyle w:val="HideTWBExt"/>
          <w:b w:val="0"/>
        </w:rPr>
        <w:t>&lt;/DocAmend&gt;</w:t>
      </w:r>
    </w:p>
    <w:p w:rsidR="00AA5C01" w:rsidRPr="00B71C41" w:rsidRDefault="00EC37EF" w:rsidP="00AA5C01">
      <w:pPr>
        <w:pStyle w:val="NormalBold"/>
        <w:keepNext/>
      </w:pPr>
      <w:r>
        <w:rPr>
          <w:rStyle w:val="HideTWBExt"/>
          <w:b w:val="0"/>
        </w:rPr>
        <w:t>&lt;Article&gt;</w:t>
      </w:r>
      <w:r>
        <w:t>Considérant 2</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B71C41" w:rsidRDefault="00AA5C01" w:rsidP="008A1C6E">
            <w:pPr>
              <w:keepNext/>
            </w:pPr>
          </w:p>
        </w:tc>
      </w:tr>
      <w:tr w:rsidR="00B01527" w:rsidTr="008A1C6E">
        <w:trPr>
          <w:jc w:val="center"/>
        </w:trPr>
        <w:tc>
          <w:tcPr>
            <w:tcW w:w="4876" w:type="dxa"/>
            <w:hideMark/>
          </w:tcPr>
          <w:p w:rsidR="00AA5C01" w:rsidRPr="00B71C41" w:rsidRDefault="00EC37EF" w:rsidP="008A1C6E">
            <w:pPr>
              <w:pStyle w:val="AmColumnHeading"/>
              <w:keepNext/>
            </w:pPr>
            <w:r>
              <w:t>Texte proposé par la Commission</w:t>
            </w:r>
          </w:p>
        </w:tc>
        <w:tc>
          <w:tcPr>
            <w:tcW w:w="4876" w:type="dxa"/>
            <w:hideMark/>
          </w:tcPr>
          <w:p w:rsidR="00AA5C01" w:rsidRPr="00B71C41" w:rsidRDefault="00EC37EF" w:rsidP="008A1C6E">
            <w:pPr>
              <w:pStyle w:val="AmColumnHeading"/>
              <w:keepNext/>
            </w:pPr>
            <w:r>
              <w:t>Amendement</w:t>
            </w:r>
          </w:p>
        </w:tc>
      </w:tr>
      <w:tr w:rsidR="00B01527" w:rsidTr="008A1C6E">
        <w:trPr>
          <w:jc w:val="center"/>
        </w:trPr>
        <w:tc>
          <w:tcPr>
            <w:tcW w:w="4876" w:type="dxa"/>
          </w:tcPr>
          <w:p w:rsidR="00AA5C01" w:rsidRPr="00B71C41" w:rsidRDefault="00EC37EF" w:rsidP="008A1C6E">
            <w:pPr>
              <w:widowControl/>
              <w:spacing w:before="120" w:after="120"/>
              <w:rPr>
                <w:rFonts w:eastAsia="Calibri"/>
                <w:szCs w:val="24"/>
              </w:rPr>
            </w:pPr>
            <w:r>
              <w:t xml:space="preserve">(2) </w:t>
            </w:r>
            <w:r>
              <w:tab/>
            </w:r>
            <w:r>
              <w:t xml:space="preserve">La proposition de règlement du Parlement européen et du Conseil établissant des règles en vue de prévenir et de combattre les abus sexuels </w:t>
            </w:r>
            <w:r>
              <w:rPr>
                <w:b/>
                <w:i/>
              </w:rPr>
              <w:t>sur</w:t>
            </w:r>
            <w:r>
              <w:t xml:space="preserve"> enfants</w:t>
            </w:r>
            <w:r>
              <w:rPr>
                <w:vertAlign w:val="superscript"/>
              </w:rPr>
              <w:t>10</w:t>
            </w:r>
            <w:r>
              <w:t xml:space="preserve"> vise à </w:t>
            </w:r>
            <w:r>
              <w:rPr>
                <w:b/>
                <w:i/>
              </w:rPr>
              <w:t>établir</w:t>
            </w:r>
            <w:r>
              <w:t xml:space="preserve"> ce cadre juridique à long terme. </w:t>
            </w:r>
            <w:r>
              <w:rPr>
                <w:b/>
                <w:i/>
              </w:rPr>
              <w:t>Toutefois</w:t>
            </w:r>
            <w:r>
              <w:t xml:space="preserve">, </w:t>
            </w:r>
            <w:r>
              <w:rPr>
                <w:b/>
                <w:i/>
              </w:rPr>
              <w:t xml:space="preserve">les négociations interinstitutionnelles </w:t>
            </w:r>
            <w:r>
              <w:rPr>
                <w:b/>
                <w:i/>
              </w:rPr>
              <w:t>portant sur cette proposition n’ont pas encore été menées</w:t>
            </w:r>
            <w:r>
              <w:t xml:space="preserve"> à </w:t>
            </w:r>
            <w:r>
              <w:rPr>
                <w:b/>
                <w:i/>
              </w:rPr>
              <w:t xml:space="preserve">bien et </w:t>
            </w:r>
            <w:r>
              <w:t>il</w:t>
            </w:r>
            <w:r>
              <w:rPr>
                <w:b/>
                <w:i/>
              </w:rPr>
              <w:t xml:space="preserve"> n’est pas </w:t>
            </w:r>
            <w:r>
              <w:t>certain</w:t>
            </w:r>
            <w:r>
              <w:rPr>
                <w:b/>
                <w:i/>
              </w:rPr>
              <w:t xml:space="preserve"> qu’elles seront conclues à temps pour</w:t>
            </w:r>
            <w:r>
              <w:t xml:space="preserve"> que </w:t>
            </w:r>
            <w:r>
              <w:rPr>
                <w:b/>
                <w:i/>
              </w:rPr>
              <w:t>le cadre juridique à long terme, y compris les éventuelles modifications du règlement (UE) 2021/1232 qu’il pourrait contenir,</w:t>
            </w:r>
            <w:r>
              <w:rPr>
                <w:b/>
                <w:i/>
              </w:rPr>
              <w:t xml:space="preserve"> puisse entrer en vigueur et s’appliquer</w:t>
            </w:r>
            <w:r>
              <w:t xml:space="preserve"> avant le 3 août 2024.</w:t>
            </w:r>
          </w:p>
          <w:p w:rsidR="00AA5C01" w:rsidRPr="00B71C41" w:rsidRDefault="00AA5C01" w:rsidP="008A1C6E">
            <w:pPr>
              <w:pStyle w:val="Normal6a"/>
            </w:pPr>
          </w:p>
        </w:tc>
        <w:tc>
          <w:tcPr>
            <w:tcW w:w="4876" w:type="dxa"/>
            <w:hideMark/>
          </w:tcPr>
          <w:p w:rsidR="00AA5C01" w:rsidRPr="00B71C41" w:rsidRDefault="00EC37EF" w:rsidP="008A1C6E">
            <w:pPr>
              <w:pStyle w:val="NormalBold"/>
              <w:spacing w:after="120"/>
              <w:rPr>
                <w:szCs w:val="24"/>
              </w:rPr>
            </w:pPr>
            <w:r>
              <w:rPr>
                <w:b w:val="0"/>
              </w:rPr>
              <w:t>(2)</w:t>
            </w:r>
            <w:r>
              <w:t xml:space="preserve"> </w:t>
            </w:r>
            <w:r>
              <w:tab/>
            </w:r>
            <w:r>
              <w:rPr>
                <w:b w:val="0"/>
              </w:rPr>
              <w:t xml:space="preserve">La proposition de règlement du Parlement européen et du Conseil établissant des règles en vue de prévenir et de combattre les abus sexuels </w:t>
            </w:r>
            <w:r>
              <w:rPr>
                <w:b w:val="0"/>
              </w:rPr>
              <w:t xml:space="preserve">commis </w:t>
            </w:r>
            <w:r>
              <w:rPr>
                <w:bCs/>
                <w:i/>
                <w:iCs/>
              </w:rPr>
              <w:t>contre des</w:t>
            </w:r>
            <w:r>
              <w:rPr>
                <w:b w:val="0"/>
              </w:rPr>
              <w:t xml:space="preserve"> enfants</w:t>
            </w:r>
            <w:r w:rsidRPr="00EC37EF">
              <w:rPr>
                <w:b w:val="0"/>
                <w:vertAlign w:val="superscript"/>
              </w:rPr>
              <w:t>10</w:t>
            </w:r>
            <w:r>
              <w:rPr>
                <w:i/>
              </w:rPr>
              <w:t>, adoptée par la Comm</w:t>
            </w:r>
            <w:r>
              <w:rPr>
                <w:i/>
              </w:rPr>
              <w:t>ission le 11 mai 2022</w:t>
            </w:r>
            <w:r>
              <w:rPr>
                <w:b w:val="0"/>
              </w:rPr>
              <w:t xml:space="preserve">, vise à </w:t>
            </w:r>
            <w:r>
              <w:rPr>
                <w:bCs/>
                <w:i/>
                <w:iCs/>
              </w:rPr>
              <w:t>instaurer</w:t>
            </w:r>
            <w:r>
              <w:rPr>
                <w:b w:val="0"/>
              </w:rPr>
              <w:t xml:space="preserve"> ce cadre juridique à long terme.</w:t>
            </w:r>
            <w:r>
              <w:t xml:space="preserve"> </w:t>
            </w:r>
            <w:r>
              <w:rPr>
                <w:i/>
              </w:rPr>
              <w:t>Le Parlement européen a adopté sa position ainsi que son mandat pour entamer des négociations interinstitutionnelles le 22 novembre 2023 tandis que le Conseil de l’Union européenne n’</w:t>
            </w:r>
            <w:r>
              <w:rPr>
                <w:i/>
              </w:rPr>
              <w:t>est pas encore parvenu à une orientation générale</w:t>
            </w:r>
            <w:r>
              <w:t xml:space="preserve">. </w:t>
            </w:r>
            <w:r>
              <w:rPr>
                <w:i/>
                <w:iCs/>
              </w:rPr>
              <w:t xml:space="preserve">Par conséquent, </w:t>
            </w:r>
            <w:r>
              <w:rPr>
                <w:b w:val="0"/>
              </w:rPr>
              <w:t>il</w:t>
            </w:r>
            <w:r>
              <w:rPr>
                <w:i/>
                <w:iCs/>
              </w:rPr>
              <w:t xml:space="preserve"> est </w:t>
            </w:r>
            <w:r>
              <w:rPr>
                <w:b w:val="0"/>
              </w:rPr>
              <w:t>certain que</w:t>
            </w:r>
            <w:r>
              <w:rPr>
                <w:i/>
                <w:iCs/>
              </w:rPr>
              <w:t xml:space="preserve"> la procédure législative ne sera pas conclue</w:t>
            </w:r>
            <w:r>
              <w:rPr>
                <w:b w:val="0"/>
              </w:rPr>
              <w:t xml:space="preserve"> avant le 3 août 2024.</w:t>
            </w:r>
          </w:p>
        </w:tc>
      </w:tr>
      <w:tr w:rsidR="00B01527" w:rsidTr="008A1C6E">
        <w:trPr>
          <w:jc w:val="center"/>
        </w:trPr>
        <w:tc>
          <w:tcPr>
            <w:tcW w:w="4876" w:type="dxa"/>
          </w:tcPr>
          <w:p w:rsidR="00AA5C01" w:rsidRPr="00B71C41" w:rsidRDefault="00AA5C01" w:rsidP="008A1C6E">
            <w:pPr>
              <w:pStyle w:val="Normal6"/>
              <w:pBdr>
                <w:bottom w:val="single" w:sz="6" w:space="1" w:color="auto"/>
              </w:pBdr>
              <w:rPr>
                <w:b/>
                <w:i/>
                <w:lang w:val="en-GB"/>
              </w:rPr>
            </w:pPr>
          </w:p>
        </w:tc>
        <w:tc>
          <w:tcPr>
            <w:tcW w:w="4876" w:type="dxa"/>
          </w:tcPr>
          <w:p w:rsidR="00AA5C01" w:rsidRPr="00B71C41" w:rsidRDefault="00AA5C01" w:rsidP="008A1C6E">
            <w:pPr>
              <w:pStyle w:val="Normal6"/>
              <w:pBdr>
                <w:bottom w:val="single" w:sz="6" w:space="1" w:color="auto"/>
              </w:pBdr>
              <w:rPr>
                <w:b/>
                <w:i/>
                <w:lang w:val="en-GB"/>
              </w:rPr>
            </w:pPr>
          </w:p>
        </w:tc>
      </w:tr>
      <w:tr w:rsidR="00B01527" w:rsidTr="008A1C6E">
        <w:trPr>
          <w:jc w:val="center"/>
        </w:trPr>
        <w:tc>
          <w:tcPr>
            <w:tcW w:w="4876" w:type="dxa"/>
          </w:tcPr>
          <w:p w:rsidR="00AA5C01" w:rsidRPr="00B71C41" w:rsidRDefault="00EC37EF" w:rsidP="008A1C6E">
            <w:pPr>
              <w:widowControl/>
              <w:spacing w:before="120" w:after="120"/>
              <w:rPr>
                <w:rFonts w:eastAsia="Calibri"/>
                <w:sz w:val="23"/>
                <w:szCs w:val="23"/>
              </w:rPr>
            </w:pPr>
            <w:r>
              <w:rPr>
                <w:b/>
                <w:i/>
                <w:vertAlign w:val="superscript"/>
              </w:rPr>
              <w:t>10</w:t>
            </w:r>
            <w:r>
              <w:rPr>
                <w:b/>
                <w:i/>
              </w:rPr>
              <w:t xml:space="preserve"> Proposition de règlement du Parlement européen et du Conseil établissant des règles en vue de prévenir et de combattre les abus sexuels sur enfants (COM/2022/209 final).</w:t>
            </w:r>
          </w:p>
        </w:tc>
        <w:tc>
          <w:tcPr>
            <w:tcW w:w="4876" w:type="dxa"/>
          </w:tcPr>
          <w:p w:rsidR="00AA5C01" w:rsidRPr="00B71C41" w:rsidRDefault="00EC37EF" w:rsidP="008A1C6E">
            <w:pPr>
              <w:pStyle w:val="NormalBold"/>
              <w:spacing w:after="120"/>
              <w:rPr>
                <w:rFonts w:eastAsia="Calibri"/>
                <w:i/>
                <w:noProof/>
                <w:szCs w:val="22"/>
              </w:rPr>
            </w:pPr>
            <w:r>
              <w:rPr>
                <w:i/>
                <w:vertAlign w:val="superscript"/>
              </w:rPr>
              <w:t>10</w:t>
            </w:r>
            <w:r>
              <w:rPr>
                <w:i/>
              </w:rPr>
              <w:t xml:space="preserve"> Proposition de règlement du Parlement européen et du Conseil établissant des règles en vue de prévenir et de combattre les abus sexuels sur enfants (COM(2022)0209 final).</w:t>
            </w:r>
          </w:p>
        </w:tc>
      </w:tr>
    </w:tbl>
    <w:p w:rsidR="00AA5C01" w:rsidRPr="00B71C41" w:rsidRDefault="00EC37EF" w:rsidP="00AA5C01">
      <w:r>
        <w:rPr>
          <w:rStyle w:val="HideTWBExt"/>
        </w:rPr>
        <w:t>&lt;/Amend&gt;</w:t>
      </w:r>
    </w:p>
    <w:p w:rsidR="00AA5C01" w:rsidRPr="00B71C41" w:rsidRDefault="00EC37EF" w:rsidP="00AA5C01">
      <w:pPr>
        <w:pStyle w:val="AmNumberTabs"/>
      </w:pPr>
      <w:r>
        <w:rPr>
          <w:rStyle w:val="HideTWBExt"/>
        </w:rPr>
        <w:t>&lt;Amend&gt;</w:t>
      </w:r>
      <w:r>
        <w:t>Amendement</w:t>
      </w:r>
      <w:r>
        <w:tab/>
      </w:r>
      <w:r>
        <w:tab/>
      </w:r>
      <w:r>
        <w:rPr>
          <w:rStyle w:val="HideTWBExt"/>
        </w:rPr>
        <w:t>&lt;NumAm&gt;</w:t>
      </w:r>
      <w:r>
        <w:t>6</w:t>
      </w:r>
      <w:r>
        <w:rPr>
          <w:rStyle w:val="HideTWBExt"/>
        </w:rPr>
        <w:t>&lt;/NumAm&gt;</w:t>
      </w:r>
    </w:p>
    <w:p w:rsidR="00AA5C01" w:rsidRPr="00B71C41" w:rsidRDefault="00EC37EF" w:rsidP="00AA5C01">
      <w:pPr>
        <w:pStyle w:val="NormalBold12b"/>
      </w:pPr>
      <w:r>
        <w:rPr>
          <w:rStyle w:val="HideTWBExt"/>
          <w:b w:val="0"/>
        </w:rPr>
        <w:t>&lt;DocAmend&gt;</w:t>
      </w:r>
      <w:r>
        <w:t>Proposition de règlement</w:t>
      </w:r>
      <w:r>
        <w:rPr>
          <w:rStyle w:val="HideTWBExt"/>
          <w:b w:val="0"/>
        </w:rPr>
        <w:t>&lt;/Do</w:t>
      </w:r>
      <w:r>
        <w:rPr>
          <w:rStyle w:val="HideTWBExt"/>
          <w:b w:val="0"/>
        </w:rPr>
        <w:t>cAmend&gt;</w:t>
      </w:r>
    </w:p>
    <w:p w:rsidR="00AA5C01" w:rsidRPr="00B71C41" w:rsidRDefault="00EC37EF" w:rsidP="00AA5C01">
      <w:pPr>
        <w:pStyle w:val="NormalBold"/>
        <w:keepNext/>
      </w:pPr>
      <w:r>
        <w:rPr>
          <w:rStyle w:val="HideTWBExt"/>
          <w:b w:val="0"/>
        </w:rPr>
        <w:t>&lt;Article&gt;</w:t>
      </w:r>
      <w:r>
        <w:t>Considérant 3</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B71C41" w:rsidRDefault="00AA5C01" w:rsidP="008A1C6E">
            <w:pPr>
              <w:keepNext/>
            </w:pPr>
          </w:p>
        </w:tc>
      </w:tr>
      <w:tr w:rsidR="00B01527" w:rsidTr="008A1C6E">
        <w:trPr>
          <w:jc w:val="center"/>
        </w:trPr>
        <w:tc>
          <w:tcPr>
            <w:tcW w:w="4876" w:type="dxa"/>
            <w:hideMark/>
          </w:tcPr>
          <w:p w:rsidR="00AA5C01" w:rsidRPr="00B71C41" w:rsidRDefault="00EC37EF" w:rsidP="008A1C6E">
            <w:pPr>
              <w:pStyle w:val="AmColumnHeading"/>
              <w:keepNext/>
            </w:pPr>
            <w:r>
              <w:t>Texte proposé par la Commission</w:t>
            </w:r>
          </w:p>
        </w:tc>
        <w:tc>
          <w:tcPr>
            <w:tcW w:w="4876" w:type="dxa"/>
            <w:hideMark/>
          </w:tcPr>
          <w:p w:rsidR="00AA5C01" w:rsidRPr="00B71C41" w:rsidRDefault="00EC37EF" w:rsidP="008A1C6E">
            <w:pPr>
              <w:pStyle w:val="AmColumnHeading"/>
              <w:keepNext/>
            </w:pPr>
            <w:r>
              <w:t>Amendement</w:t>
            </w:r>
          </w:p>
        </w:tc>
      </w:tr>
      <w:tr w:rsidR="00B01527" w:rsidTr="008A1C6E">
        <w:trPr>
          <w:jc w:val="center"/>
        </w:trPr>
        <w:tc>
          <w:tcPr>
            <w:tcW w:w="4876" w:type="dxa"/>
          </w:tcPr>
          <w:p w:rsidR="00AA5C01" w:rsidRPr="00B71C41" w:rsidRDefault="00EC37EF" w:rsidP="008A1C6E">
            <w:pPr>
              <w:pStyle w:val="Normal6"/>
              <w:rPr>
                <w:rFonts w:eastAsia="Calibri"/>
                <w:szCs w:val="24"/>
              </w:rPr>
            </w:pPr>
            <w:r>
              <w:rPr>
                <w:sz w:val="23"/>
              </w:rPr>
              <w:t>(</w:t>
            </w:r>
            <w:r>
              <w:t xml:space="preserve">3) </w:t>
            </w:r>
            <w:r>
              <w:tab/>
              <w:t xml:space="preserve">Il importe que les abus sexuels commis contre des enfants en ligne </w:t>
            </w:r>
            <w:r>
              <w:lastRenderedPageBreak/>
              <w:t xml:space="preserve">puissent être combattus efficacement, </w:t>
            </w:r>
            <w:r>
              <w:rPr>
                <w:b/>
                <w:i/>
              </w:rPr>
              <w:t xml:space="preserve">conformément aux règles applicables du droit de l’Union, y </w:t>
            </w:r>
            <w:r>
              <w:rPr>
                <w:b/>
                <w:i/>
              </w:rPr>
              <w:t>compris les conditions énoncées dans le règlement (UE) 2021/1232, sans que l’attente de la conclusion de ces négociations interinstitutionnelles et de l’entrée en vigueur et de l’application du</w:t>
            </w:r>
            <w:r>
              <w:t xml:space="preserve"> cadre </w:t>
            </w:r>
            <w:r>
              <w:rPr>
                <w:b/>
                <w:i/>
              </w:rPr>
              <w:t>juridique à long terme n’entraîne des interruptions</w:t>
            </w:r>
            <w:r>
              <w:t>.</w:t>
            </w:r>
          </w:p>
          <w:p w:rsidR="00AA5C01" w:rsidRPr="00B71C41" w:rsidRDefault="00AA5C01" w:rsidP="008A1C6E">
            <w:pPr>
              <w:pStyle w:val="Normal6a"/>
            </w:pPr>
          </w:p>
        </w:tc>
        <w:tc>
          <w:tcPr>
            <w:tcW w:w="4876" w:type="dxa"/>
          </w:tcPr>
          <w:p w:rsidR="00AA5C01" w:rsidRPr="00B71C41" w:rsidRDefault="00EC37EF" w:rsidP="008A1C6E">
            <w:pPr>
              <w:pStyle w:val="Normal6"/>
              <w:rPr>
                <w:szCs w:val="24"/>
              </w:rPr>
            </w:pPr>
            <w:r>
              <w:lastRenderedPageBreak/>
              <w:t>(3</w:t>
            </w:r>
            <w:r>
              <w:t xml:space="preserve">) </w:t>
            </w:r>
            <w:r>
              <w:tab/>
              <w:t xml:space="preserve">Il importe que les abus sexuels commis contre des enfants en ligne </w:t>
            </w:r>
            <w:r>
              <w:lastRenderedPageBreak/>
              <w:t>puissent être combattus efficacement,</w:t>
            </w:r>
            <w:r>
              <w:rPr>
                <w:b/>
                <w:i/>
              </w:rPr>
              <w:t xml:space="preserve"> d’où la nécessité d’un</w:t>
            </w:r>
            <w:r>
              <w:t xml:space="preserve"> cadre </w:t>
            </w:r>
            <w:r>
              <w:rPr>
                <w:b/>
                <w:i/>
              </w:rPr>
              <w:t>permanent mettant l’accent sur les mesures préventives.</w:t>
            </w:r>
            <w:r>
              <w:t xml:space="preserve"> </w:t>
            </w:r>
            <w:r>
              <w:rPr>
                <w:b/>
                <w:i/>
              </w:rPr>
              <w:t xml:space="preserve">Dans l’attente de la conclusion de la procédure législative et </w:t>
            </w:r>
            <w:r>
              <w:rPr>
                <w:b/>
                <w:i/>
              </w:rPr>
              <w:t>de l’adoption, de l’entrée en vigueur et de l’application du cadre juridique à long terme, la prorogation du règlement (UE) 2021/1232 n’est justifiée qu’une seule fois et pour une période très limitée</w:t>
            </w:r>
            <w:r>
              <w:t>.</w:t>
            </w:r>
          </w:p>
        </w:tc>
      </w:tr>
    </w:tbl>
    <w:p w:rsidR="00AA5C01" w:rsidRPr="00B71C41" w:rsidRDefault="00EC37EF" w:rsidP="00AA5C01">
      <w:pPr>
        <w:rPr>
          <w:rStyle w:val="HideTWBExt"/>
        </w:rPr>
      </w:pPr>
      <w:r>
        <w:rPr>
          <w:rStyle w:val="HideTWBExt"/>
        </w:rPr>
        <w:lastRenderedPageBreak/>
        <w:t>&lt;/Amend&gt;</w:t>
      </w:r>
    </w:p>
    <w:p w:rsidR="00AA5C01" w:rsidRPr="00B71C41" w:rsidRDefault="00EC37EF" w:rsidP="00AA5C01">
      <w:pPr>
        <w:pStyle w:val="AmNumberTabs"/>
        <w:keepNext/>
      </w:pPr>
      <w:r>
        <w:rPr>
          <w:rStyle w:val="HideTWBExt"/>
          <w:b w:val="0"/>
        </w:rPr>
        <w:t>&lt;Amend&gt;</w:t>
      </w:r>
      <w:r>
        <w:t>Amendement</w:t>
      </w:r>
      <w:r>
        <w:tab/>
      </w:r>
      <w:r>
        <w:tab/>
      </w:r>
      <w:r>
        <w:rPr>
          <w:rStyle w:val="HideTWBExt"/>
          <w:b w:val="0"/>
        </w:rPr>
        <w:t>&lt;NumAm&gt;</w:t>
      </w:r>
      <w:r>
        <w:t>7</w:t>
      </w:r>
      <w:r>
        <w:rPr>
          <w:rStyle w:val="HideTWBExt"/>
          <w:b w:val="0"/>
        </w:rPr>
        <w:t>&lt;/NumAm&gt;</w:t>
      </w:r>
    </w:p>
    <w:p w:rsidR="00AA5C01" w:rsidRPr="00B71C41" w:rsidRDefault="00EC37EF" w:rsidP="00AA5C01">
      <w:pPr>
        <w:pStyle w:val="NormalBold12b"/>
      </w:pPr>
      <w:r>
        <w:rPr>
          <w:rStyle w:val="HideTWBExt"/>
          <w:b w:val="0"/>
        </w:rPr>
        <w:t>&lt;DocAmend&gt;</w:t>
      </w:r>
      <w:r>
        <w:t>Proposition de règlement</w:t>
      </w:r>
      <w:r>
        <w:rPr>
          <w:rStyle w:val="HideTWBExt"/>
          <w:b w:val="0"/>
        </w:rPr>
        <w:t>&lt;/DocAmend&gt;</w:t>
      </w:r>
    </w:p>
    <w:p w:rsidR="00AA5C01" w:rsidRPr="00B71C41" w:rsidRDefault="00EC37EF" w:rsidP="00AA5C01">
      <w:pPr>
        <w:pStyle w:val="NormalBold"/>
        <w:keepNext/>
      </w:pPr>
      <w:r>
        <w:rPr>
          <w:rStyle w:val="HideTWBExt"/>
          <w:b w:val="0"/>
        </w:rPr>
        <w:t>&lt;Article&gt;</w:t>
      </w:r>
      <w:r>
        <w:t>Considérant 4</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B71C41" w:rsidRDefault="00AA5C01" w:rsidP="008A1C6E">
            <w:pPr>
              <w:keepNext/>
            </w:pPr>
          </w:p>
        </w:tc>
      </w:tr>
      <w:tr w:rsidR="00B01527" w:rsidTr="008A1C6E">
        <w:trPr>
          <w:jc w:val="center"/>
        </w:trPr>
        <w:tc>
          <w:tcPr>
            <w:tcW w:w="4876" w:type="dxa"/>
            <w:hideMark/>
          </w:tcPr>
          <w:p w:rsidR="00AA5C01" w:rsidRPr="00B71C41" w:rsidRDefault="00EC37EF" w:rsidP="008A1C6E">
            <w:pPr>
              <w:pStyle w:val="AmColumnHeading"/>
              <w:keepNext/>
            </w:pPr>
            <w:r>
              <w:t>Texte proposé par la Commission</w:t>
            </w:r>
          </w:p>
        </w:tc>
        <w:tc>
          <w:tcPr>
            <w:tcW w:w="4876" w:type="dxa"/>
            <w:hideMark/>
          </w:tcPr>
          <w:p w:rsidR="00AA5C01" w:rsidRPr="00B71C41" w:rsidRDefault="00EC37EF" w:rsidP="008A1C6E">
            <w:pPr>
              <w:pStyle w:val="AmColumnHeading"/>
              <w:keepNext/>
            </w:pPr>
            <w:r>
              <w:t>Amendement</w:t>
            </w:r>
          </w:p>
        </w:tc>
      </w:tr>
      <w:tr w:rsidR="00B01527" w:rsidTr="008A1C6E">
        <w:trPr>
          <w:jc w:val="center"/>
        </w:trPr>
        <w:tc>
          <w:tcPr>
            <w:tcW w:w="4876" w:type="dxa"/>
          </w:tcPr>
          <w:p w:rsidR="00AA5C01" w:rsidRPr="00B71C41" w:rsidRDefault="00EC37EF" w:rsidP="008A1C6E">
            <w:pPr>
              <w:spacing w:before="120" w:after="120"/>
              <w:rPr>
                <w:rFonts w:eastAsia="Calibri"/>
                <w:szCs w:val="24"/>
              </w:rPr>
            </w:pPr>
            <w:r>
              <w:t xml:space="preserve">(4) </w:t>
            </w:r>
            <w:r>
              <w:tab/>
              <w:t xml:space="preserve">Par conséquent, il convient de modifier le règlement (UE) 2021/1232 afin de prolonger sa période d’application d’une période </w:t>
            </w:r>
            <w:r>
              <w:rPr>
                <w:b/>
                <w:i/>
              </w:rPr>
              <w:t>supplémentaire</w:t>
            </w:r>
            <w:r>
              <w:t xml:space="preserve"> strictement nécessaire à l’adoption de la législation à long terme.</w:t>
            </w:r>
          </w:p>
          <w:p w:rsidR="00AA5C01" w:rsidRPr="00B71C41" w:rsidRDefault="00AA5C01" w:rsidP="008A1C6E">
            <w:pPr>
              <w:pStyle w:val="Normal6a"/>
              <w:rPr>
                <w:szCs w:val="24"/>
              </w:rPr>
            </w:pPr>
          </w:p>
        </w:tc>
        <w:tc>
          <w:tcPr>
            <w:tcW w:w="4876" w:type="dxa"/>
            <w:hideMark/>
          </w:tcPr>
          <w:p w:rsidR="00AA5C01" w:rsidRPr="00B71C41" w:rsidRDefault="00EC37EF" w:rsidP="008A1C6E">
            <w:pPr>
              <w:spacing w:before="120" w:after="120"/>
              <w:rPr>
                <w:szCs w:val="24"/>
              </w:rPr>
            </w:pPr>
            <w:r>
              <w:t xml:space="preserve">(4) </w:t>
            </w:r>
            <w:r>
              <w:tab/>
              <w:t xml:space="preserve">Par conséquent, </w:t>
            </w:r>
            <w:r>
              <w:rPr>
                <w:b/>
                <w:i/>
              </w:rPr>
              <w:t xml:space="preserve">compte tenu de cette circonstance extraordinaire et de l’absence de progrès dans la recherche d’une solution permanente au sein du Conseil de l’Union </w:t>
            </w:r>
            <w:r>
              <w:rPr>
                <w:b/>
                <w:i/>
              </w:rPr>
              <w:t>européenne,</w:t>
            </w:r>
            <w:r>
              <w:t xml:space="preserve"> il convient de modifier le règlement (UE) 2021/1232 afin de prolonger sa période d’application d’une période </w:t>
            </w:r>
            <w:r>
              <w:rPr>
                <w:b/>
                <w:i/>
              </w:rPr>
              <w:t>limitée et</w:t>
            </w:r>
            <w:r>
              <w:t xml:space="preserve"> strictement nécessaire à l’adoption de la législation à long terme. </w:t>
            </w:r>
            <w:r>
              <w:rPr>
                <w:b/>
                <w:i/>
              </w:rPr>
              <w:t>Il est essentiel de noter que cette prolongation est exc</w:t>
            </w:r>
            <w:r>
              <w:rPr>
                <w:b/>
                <w:i/>
              </w:rPr>
              <w:t>eptionnelle et ne doit pas créer un précédent pour de futures prolongations. Le règlement (UE) 2021/1232 a été initialement conçu comme un instrument transitoire et temporaire, servant de lien entre l’application de la directive (UE) 2018/1972, conformémen</w:t>
            </w:r>
            <w:r>
              <w:rPr>
                <w:b/>
                <w:i/>
              </w:rPr>
              <w:t>t à laquelle les services de communications interpersonnelles non fondés sur la numérotation relèvent de la directive 2002/58/CE depuis le 21 décembre 2020, et la mise en place d’un règlement permanent visant à prévenir et à combattre les abus sexuels comm</w:t>
            </w:r>
            <w:r>
              <w:rPr>
                <w:b/>
                <w:i/>
              </w:rPr>
              <w:t xml:space="preserve">is contre des enfants en ligne. Contrairement aux attentes des colégislateurs, en l’absence d’un accord sur un règlement permanent, la prolongation de l’application du </w:t>
            </w:r>
            <w:r>
              <w:rPr>
                <w:b/>
                <w:i/>
              </w:rPr>
              <w:lastRenderedPageBreak/>
              <w:t>règlement (UE) 2021/1232 est indispensable. Cependant, cette prolongation ne doit pas êt</w:t>
            </w:r>
            <w:r>
              <w:rPr>
                <w:b/>
                <w:i/>
              </w:rPr>
              <w:t>re renouvelée et il convient de signifier clairement qu’une seconde extension devrait être exclue, en insistant sur le caractère unique de cette circonstance.</w:t>
            </w:r>
          </w:p>
        </w:tc>
      </w:tr>
    </w:tbl>
    <w:p w:rsidR="00AA5C01" w:rsidRPr="00B71C41" w:rsidRDefault="00EC37EF" w:rsidP="00AA5C01">
      <w:pPr>
        <w:pStyle w:val="AmOrLang"/>
        <w:jc w:val="left"/>
      </w:pPr>
      <w:r w:rsidRPr="00B71C41">
        <w:rPr>
          <w:rStyle w:val="HideTWBExt"/>
        </w:rPr>
        <w:lastRenderedPageBreak/>
        <w:t>&lt;/Amend&gt;</w:t>
      </w:r>
    </w:p>
    <w:p w:rsidR="00AA5C01" w:rsidRPr="00B71C41" w:rsidRDefault="00EC37EF" w:rsidP="00AA5C01">
      <w:pPr>
        <w:pStyle w:val="AMNumberTabs0"/>
        <w:keepNext/>
      </w:pPr>
      <w:r>
        <w:rPr>
          <w:rStyle w:val="HideTWBExt"/>
          <w:b w:val="0"/>
          <w:lang w:val="en-GB"/>
        </w:rPr>
        <w:t>&lt;Amend&gt;</w:t>
      </w:r>
      <w:r>
        <w:t>Amendement</w:t>
      </w:r>
      <w:r>
        <w:tab/>
      </w:r>
      <w:r>
        <w:tab/>
      </w:r>
      <w:r>
        <w:rPr>
          <w:rStyle w:val="HideTWBExt"/>
          <w:b w:val="0"/>
          <w:lang w:val="en-GB"/>
        </w:rPr>
        <w:t>&lt;NumAm&gt;</w:t>
      </w:r>
      <w:r>
        <w:t>8</w:t>
      </w:r>
      <w:r>
        <w:rPr>
          <w:rStyle w:val="HideTWBExt"/>
          <w:b w:val="0"/>
          <w:lang w:val="en-GB"/>
        </w:rPr>
        <w:t>&lt;/NumAm&gt;</w:t>
      </w:r>
    </w:p>
    <w:p w:rsidR="00AA5C01" w:rsidRPr="00B71C41" w:rsidRDefault="00EC37EF" w:rsidP="00AA5C01">
      <w:pPr>
        <w:pStyle w:val="NormalBold12b"/>
        <w:keepNext/>
      </w:pPr>
      <w:r>
        <w:rPr>
          <w:rStyle w:val="HideTWBExt"/>
          <w:b w:val="0"/>
        </w:rPr>
        <w:t>&lt;DocAmend&gt;</w:t>
      </w:r>
      <w:r>
        <w:t>Proposition de règlement</w:t>
      </w:r>
      <w:r>
        <w:rPr>
          <w:rStyle w:val="HideTWBExt"/>
          <w:b w:val="0"/>
        </w:rPr>
        <w:t>&lt;/DocAmend&gt;</w:t>
      </w:r>
    </w:p>
    <w:p w:rsidR="00AA5C01" w:rsidRPr="001107EB" w:rsidRDefault="00EC37EF" w:rsidP="00AA5C01">
      <w:pPr>
        <w:pStyle w:val="NormalBold"/>
      </w:pPr>
      <w:r>
        <w:rPr>
          <w:rStyle w:val="HideTWBExt"/>
          <w:b w:val="0"/>
        </w:rPr>
        <w:t>&lt;Arti</w:t>
      </w:r>
      <w:r>
        <w:rPr>
          <w:rStyle w:val="HideTWBExt"/>
          <w:b w:val="0"/>
        </w:rPr>
        <w:t>cle&gt;</w:t>
      </w:r>
      <w:r>
        <w:t>Article -1 (nouveau)</w:t>
      </w:r>
      <w:r>
        <w:rPr>
          <w:rStyle w:val="HideTWBExt"/>
          <w:b w:val="0"/>
        </w:rPr>
        <w:t>&lt;/Article&gt;</w:t>
      </w:r>
    </w:p>
    <w:p w:rsidR="00AA5C01" w:rsidRPr="001107EB" w:rsidRDefault="00EC37EF" w:rsidP="00AA5C01">
      <w:pPr>
        <w:keepNext/>
      </w:pPr>
      <w:r>
        <w:rPr>
          <w:rStyle w:val="HideTWBExt"/>
        </w:rPr>
        <w:t>&lt;DocAmend2&gt;</w:t>
      </w:r>
      <w:r>
        <w:t>Règlement (UE) 2021/1232</w:t>
      </w:r>
      <w:r>
        <w:rPr>
          <w:rStyle w:val="HideTWBExt"/>
        </w:rPr>
        <w:t>&lt;/DocAmend2&gt;</w:t>
      </w:r>
    </w:p>
    <w:p w:rsidR="00AA5C01" w:rsidRPr="00B71C41" w:rsidRDefault="00EC37EF" w:rsidP="00AA5C01">
      <w:r>
        <w:rPr>
          <w:rStyle w:val="HideTWBExt"/>
        </w:rPr>
        <w:t>&lt;Article2&gt;</w:t>
      </w:r>
      <w:r>
        <w:t>Article 2 – point 3</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B71C41" w:rsidRDefault="00AA5C01" w:rsidP="008A1C6E">
            <w:pPr>
              <w:keepNext/>
            </w:pPr>
          </w:p>
        </w:tc>
      </w:tr>
      <w:tr w:rsidR="00B01527" w:rsidTr="008A1C6E">
        <w:trPr>
          <w:jc w:val="center"/>
        </w:trPr>
        <w:tc>
          <w:tcPr>
            <w:tcW w:w="4876" w:type="dxa"/>
            <w:hideMark/>
          </w:tcPr>
          <w:p w:rsidR="00AA5C01" w:rsidRPr="00B71C41" w:rsidRDefault="00EC37EF" w:rsidP="008A1C6E">
            <w:pPr>
              <w:pStyle w:val="ColumnHeading"/>
              <w:keepNext/>
            </w:pPr>
            <w:r>
              <w:t>Texte proposé par la Commission</w:t>
            </w:r>
          </w:p>
        </w:tc>
        <w:tc>
          <w:tcPr>
            <w:tcW w:w="4876" w:type="dxa"/>
            <w:hideMark/>
          </w:tcPr>
          <w:p w:rsidR="00AA5C01" w:rsidRPr="00B71C41" w:rsidRDefault="00EC37EF" w:rsidP="008A1C6E">
            <w:pPr>
              <w:pStyle w:val="ColumnHeading"/>
              <w:keepNext/>
            </w:pPr>
            <w:r>
              <w:t>Amendement</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jc w:val="center"/>
              <w:rPr>
                <w:szCs w:val="24"/>
              </w:rPr>
            </w:pPr>
            <w:r>
              <w:rPr>
                <w:b/>
                <w:i/>
              </w:rPr>
              <w:t>Article -1</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jc w:val="center"/>
              <w:rPr>
                <w:szCs w:val="24"/>
              </w:rPr>
            </w:pPr>
            <w:r>
              <w:rPr>
                <w:b/>
                <w:i/>
              </w:rPr>
              <w:t>À l’article 2, le point 3) est supprimé.</w:t>
            </w:r>
          </w:p>
        </w:tc>
      </w:tr>
    </w:tbl>
    <w:p w:rsidR="00AA5C01" w:rsidRPr="001107EB" w:rsidRDefault="00EC37EF" w:rsidP="00AA5C01">
      <w:pPr>
        <w:pStyle w:val="AmJustText"/>
        <w:jc w:val="center"/>
        <w:rPr>
          <w:szCs w:val="24"/>
        </w:rPr>
      </w:pPr>
      <w:r>
        <w:t xml:space="preserve">(32021R1232) </w:t>
      </w:r>
    </w:p>
    <w:p w:rsidR="00AA5C01" w:rsidRPr="001107EB" w:rsidRDefault="00EC37EF" w:rsidP="00AA5C01">
      <w:r>
        <w:rPr>
          <w:rStyle w:val="HideTWBExt"/>
          <w:lang w:val="pt-PT"/>
        </w:rPr>
        <w:t>&lt;/Amend&gt;</w:t>
      </w:r>
    </w:p>
    <w:p w:rsidR="00AA5C01" w:rsidRPr="001107EB" w:rsidRDefault="00EC37EF" w:rsidP="00AA5C01">
      <w:pPr>
        <w:pStyle w:val="AMNumberTabs0"/>
        <w:keepNext/>
      </w:pPr>
      <w:r>
        <w:rPr>
          <w:rStyle w:val="HideTWBExt"/>
          <w:b w:val="0"/>
          <w:lang w:val="pt-PT"/>
        </w:rPr>
        <w:t>&lt;Amend&gt;</w:t>
      </w:r>
      <w:r>
        <w:t>Amendement</w:t>
      </w:r>
      <w:r>
        <w:tab/>
      </w:r>
      <w:r>
        <w:tab/>
      </w:r>
      <w:r>
        <w:rPr>
          <w:rStyle w:val="HideTWBExt"/>
          <w:b w:val="0"/>
          <w:lang w:val="pt-PT"/>
        </w:rPr>
        <w:t>&lt;NumAm&gt;</w:t>
      </w:r>
      <w:r>
        <w:t>9</w:t>
      </w:r>
      <w:r>
        <w:rPr>
          <w:rStyle w:val="HideTWBExt"/>
          <w:b w:val="0"/>
          <w:lang w:val="pt-PT"/>
        </w:rPr>
        <w:t>&lt;/NumAm&gt;</w:t>
      </w:r>
    </w:p>
    <w:p w:rsidR="00AA5C01" w:rsidRPr="00B71C41" w:rsidRDefault="00EC37EF" w:rsidP="00AA5C01">
      <w:pPr>
        <w:pStyle w:val="NormalBold12b"/>
        <w:keepNext/>
      </w:pPr>
      <w:r>
        <w:rPr>
          <w:rStyle w:val="HideTWBExt"/>
          <w:b w:val="0"/>
        </w:rPr>
        <w:t>&lt;DocAmend&gt;</w:t>
      </w:r>
      <w:r>
        <w:t>Proposition de règlement</w:t>
      </w:r>
      <w:r>
        <w:rPr>
          <w:rStyle w:val="HideTWBExt"/>
          <w:b w:val="0"/>
        </w:rPr>
        <w:t>&lt;/DocAmend&gt;</w:t>
      </w:r>
    </w:p>
    <w:p w:rsidR="00AA5C01" w:rsidRPr="001107EB" w:rsidRDefault="00EC37EF" w:rsidP="00AA5C01">
      <w:pPr>
        <w:pStyle w:val="NormalBold"/>
      </w:pPr>
      <w:r>
        <w:rPr>
          <w:rStyle w:val="HideTWBExt"/>
          <w:b w:val="0"/>
        </w:rPr>
        <w:t>&lt;Article&gt;</w:t>
      </w:r>
      <w:r>
        <w:t>Article -1 bis (nouveau)</w:t>
      </w:r>
      <w:r>
        <w:rPr>
          <w:rStyle w:val="HideTWBExt"/>
          <w:b w:val="0"/>
        </w:rPr>
        <w:t>&lt;/Article&gt;</w:t>
      </w:r>
    </w:p>
    <w:p w:rsidR="00AA5C01" w:rsidRPr="00B71C41" w:rsidRDefault="00EC37EF" w:rsidP="00AA5C01">
      <w:pPr>
        <w:keepNext/>
        <w:rPr>
          <w:rStyle w:val="HideTWBExt"/>
        </w:rPr>
      </w:pPr>
      <w:r>
        <w:rPr>
          <w:rStyle w:val="HideTWBExt"/>
        </w:rPr>
        <w:t>&lt;DocAmend2&gt;</w:t>
      </w:r>
      <w:r>
        <w:t>Règlement (UE) 2021/1232</w:t>
      </w:r>
      <w:r>
        <w:rPr>
          <w:rStyle w:val="HideTWBExt"/>
        </w:rPr>
        <w:t>&lt;/DocAmend2&gt;</w:t>
      </w:r>
    </w:p>
    <w:p w:rsidR="00AA5C01" w:rsidRPr="00B71C41" w:rsidRDefault="00AA5C01" w:rsidP="00AA5C01"/>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B71C41" w:rsidRDefault="00AA5C01" w:rsidP="008A1C6E">
            <w:pPr>
              <w:keepNext/>
            </w:pPr>
          </w:p>
        </w:tc>
      </w:tr>
      <w:tr w:rsidR="00B01527" w:rsidTr="008A1C6E">
        <w:trPr>
          <w:jc w:val="center"/>
        </w:trPr>
        <w:tc>
          <w:tcPr>
            <w:tcW w:w="4876" w:type="dxa"/>
            <w:hideMark/>
          </w:tcPr>
          <w:p w:rsidR="00AA5C01" w:rsidRPr="00B71C41" w:rsidRDefault="00EC37EF" w:rsidP="008A1C6E">
            <w:pPr>
              <w:pStyle w:val="ColumnHeading"/>
              <w:keepNext/>
            </w:pPr>
            <w:r>
              <w:t>Texte proposé par la Commission</w:t>
            </w:r>
          </w:p>
        </w:tc>
        <w:tc>
          <w:tcPr>
            <w:tcW w:w="4876" w:type="dxa"/>
            <w:hideMark/>
          </w:tcPr>
          <w:p w:rsidR="00AA5C01" w:rsidRPr="00B71C41" w:rsidRDefault="00EC37EF" w:rsidP="008A1C6E">
            <w:pPr>
              <w:pStyle w:val="ColumnHeading"/>
              <w:keepNext/>
            </w:pPr>
            <w:r>
              <w:t>Amendement</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jc w:val="center"/>
              <w:rPr>
                <w:szCs w:val="24"/>
              </w:rPr>
            </w:pPr>
            <w:r>
              <w:rPr>
                <w:b/>
                <w:i/>
              </w:rPr>
              <w:t>Article -1 bis</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jc w:val="center"/>
              <w:rPr>
                <w:szCs w:val="24"/>
              </w:rPr>
            </w:pPr>
            <w:r>
              <w:rPr>
                <w:b/>
                <w:i/>
              </w:rPr>
              <w:t>Modèle de déclaration</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1.</w:t>
            </w:r>
            <w:r>
              <w:tab/>
            </w:r>
            <w:r>
              <w:rPr>
                <w:b/>
                <w:i/>
              </w:rPr>
              <w:t>Afin que leurs rapports soient lisibles par machine, les fournisseurs les publient au format CSV (valeurs séparées par des virgules). La Commission met à disposition en ligne les versions aux formats CSV et XLSX du modèle figurant à l’annexe I.</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2.</w:t>
            </w:r>
            <w:r>
              <w:tab/>
            </w:r>
            <w:r>
              <w:rPr>
                <w:b/>
                <w:i/>
              </w:rPr>
              <w:t>Pou</w:t>
            </w:r>
            <w:r>
              <w:rPr>
                <w:b/>
                <w:i/>
              </w:rPr>
              <w:t xml:space="preserve">r les fournisseurs de services de communications interpersonnelles non fondés sur la numérotation, le premier cycle de présentation de rapports suivant la pleine entrée en vigueur du règlement </w:t>
            </w:r>
            <w:r>
              <w:rPr>
                <w:b/>
                <w:i/>
              </w:rPr>
              <w:lastRenderedPageBreak/>
              <w:t>(UE) 20XX/XX le 4 août 2024 couvre la période allant du 1</w:t>
            </w:r>
            <w:r>
              <w:rPr>
                <w:b/>
                <w:i/>
                <w:vertAlign w:val="superscript"/>
              </w:rPr>
              <w:t>er</w:t>
            </w:r>
            <w:r>
              <w:rPr>
                <w:b/>
                <w:i/>
              </w:rPr>
              <w:t> jan</w:t>
            </w:r>
            <w:r>
              <w:rPr>
                <w:b/>
                <w:i/>
              </w:rPr>
              <w:t>vier 2024 au 31 décembre 2024. Si la période du 1</w:t>
            </w:r>
            <w:r>
              <w:rPr>
                <w:b/>
                <w:i/>
                <w:vertAlign w:val="superscript"/>
              </w:rPr>
              <w:t>er</w:t>
            </w:r>
            <w:r>
              <w:rPr>
                <w:b/>
                <w:i/>
              </w:rPr>
              <w:t> janvier au 4 août 2024 ne correspond pas au modèle figurant à l’annexe I du présent règlement, elle sera jointe au rapport suivant dans une section distincte.</w:t>
            </w:r>
          </w:p>
        </w:tc>
      </w:tr>
    </w:tbl>
    <w:p w:rsidR="00AA5C01" w:rsidRPr="00B71C41" w:rsidRDefault="00EC37EF" w:rsidP="00AA5C01">
      <w:pPr>
        <w:pStyle w:val="AMNumberTabs0"/>
        <w:keepNext/>
        <w:rPr>
          <w:rStyle w:val="HideTWBExt"/>
          <w:b w:val="0"/>
          <w:vanish w:val="0"/>
        </w:rPr>
      </w:pPr>
      <w:r>
        <w:rPr>
          <w:rStyle w:val="HideTWBExt"/>
          <w:lang w:val="en-GB"/>
        </w:rPr>
        <w:lastRenderedPageBreak/>
        <w:t>&lt;/Amend&gt;</w:t>
      </w:r>
    </w:p>
    <w:p w:rsidR="00AA5C01" w:rsidRPr="00B71C41" w:rsidRDefault="00EC37EF" w:rsidP="00AA5C01">
      <w:pPr>
        <w:pStyle w:val="AMNumberTabs0"/>
        <w:keepNext/>
      </w:pPr>
      <w:r>
        <w:rPr>
          <w:rStyle w:val="HideTWBExt"/>
          <w:b w:val="0"/>
          <w:lang w:val="en-GB"/>
        </w:rPr>
        <w:t>&lt;Amend&gt;</w:t>
      </w:r>
      <w:r>
        <w:t>Amendement</w:t>
      </w:r>
      <w:r>
        <w:tab/>
      </w:r>
      <w:r>
        <w:tab/>
      </w:r>
      <w:r>
        <w:rPr>
          <w:rStyle w:val="HideTWBExt"/>
          <w:b w:val="0"/>
          <w:lang w:val="en-GB"/>
        </w:rPr>
        <w:t>&lt;NumAm&gt;</w:t>
      </w:r>
      <w:r>
        <w:t>10</w:t>
      </w:r>
      <w:r>
        <w:rPr>
          <w:rStyle w:val="HideTWBExt"/>
          <w:b w:val="0"/>
          <w:lang w:val="en-GB"/>
        </w:rPr>
        <w:t>&lt;/NumAm</w:t>
      </w:r>
      <w:r>
        <w:rPr>
          <w:rStyle w:val="HideTWBExt"/>
          <w:b w:val="0"/>
          <w:lang w:val="en-GB"/>
        </w:rPr>
        <w:t>&gt;</w:t>
      </w:r>
    </w:p>
    <w:p w:rsidR="00AA5C01" w:rsidRPr="00B71C41" w:rsidRDefault="00EC37EF" w:rsidP="00AA5C01">
      <w:pPr>
        <w:pStyle w:val="NormalBold12b"/>
        <w:keepNext/>
      </w:pPr>
      <w:r>
        <w:rPr>
          <w:rStyle w:val="HideTWBExt"/>
          <w:b w:val="0"/>
        </w:rPr>
        <w:t>&lt;DocAmend&gt;</w:t>
      </w:r>
      <w:r>
        <w:t>Proposition de règlement</w:t>
      </w:r>
      <w:r>
        <w:rPr>
          <w:rStyle w:val="HideTWBExt"/>
          <w:b w:val="0"/>
        </w:rPr>
        <w:t>&lt;/DocAmend&gt;</w:t>
      </w:r>
    </w:p>
    <w:p w:rsidR="00AA5C01" w:rsidRPr="001107EB" w:rsidRDefault="00EC37EF" w:rsidP="00AA5C01">
      <w:pPr>
        <w:pStyle w:val="NormalBold"/>
      </w:pPr>
      <w:r>
        <w:rPr>
          <w:rStyle w:val="HideTWBExt"/>
          <w:b w:val="0"/>
        </w:rPr>
        <w:t>&lt;Article&gt;</w:t>
      </w:r>
      <w:r>
        <w:t>Article 1 – alinéa 1</w:t>
      </w:r>
      <w:r>
        <w:rPr>
          <w:rStyle w:val="HideTWBExt"/>
          <w:b w:val="0"/>
        </w:rPr>
        <w:t>&lt;/Article&gt;</w:t>
      </w:r>
    </w:p>
    <w:p w:rsidR="00AA5C01" w:rsidRPr="001107EB" w:rsidRDefault="00EC37EF" w:rsidP="00AA5C01">
      <w:pPr>
        <w:keepNext/>
      </w:pPr>
      <w:r>
        <w:rPr>
          <w:rStyle w:val="HideTWBExt"/>
        </w:rPr>
        <w:t>&lt;DocAmend2&gt;</w:t>
      </w:r>
      <w:r>
        <w:t>Règlement (UE) 2021/1232</w:t>
      </w:r>
      <w:r>
        <w:rPr>
          <w:rStyle w:val="HideTWBExt"/>
        </w:rPr>
        <w:t>&lt;/DocAmend2&gt;</w:t>
      </w:r>
    </w:p>
    <w:p w:rsidR="00AA5C01" w:rsidRPr="00B71C41" w:rsidRDefault="00EC37EF" w:rsidP="00AA5C01">
      <w:r>
        <w:rPr>
          <w:rStyle w:val="HideTWBExt"/>
        </w:rPr>
        <w:t>&lt;Article2&gt;</w:t>
      </w:r>
      <w:r>
        <w:t>Article 10 – alinéa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B71C41" w:rsidRDefault="00AA5C01" w:rsidP="008A1C6E">
            <w:pPr>
              <w:keepNext/>
            </w:pPr>
          </w:p>
        </w:tc>
      </w:tr>
      <w:tr w:rsidR="00B01527" w:rsidTr="008A1C6E">
        <w:trPr>
          <w:jc w:val="center"/>
        </w:trPr>
        <w:tc>
          <w:tcPr>
            <w:tcW w:w="4876" w:type="dxa"/>
            <w:hideMark/>
          </w:tcPr>
          <w:p w:rsidR="00AA5C01" w:rsidRPr="00B71C41" w:rsidRDefault="00EC37EF" w:rsidP="008A1C6E">
            <w:pPr>
              <w:pStyle w:val="ColumnHeading"/>
              <w:keepNext/>
            </w:pPr>
            <w:r>
              <w:t>Texte proposé par la Commission</w:t>
            </w:r>
          </w:p>
        </w:tc>
        <w:tc>
          <w:tcPr>
            <w:tcW w:w="4876" w:type="dxa"/>
            <w:hideMark/>
          </w:tcPr>
          <w:p w:rsidR="00AA5C01" w:rsidRPr="00B71C41" w:rsidRDefault="00EC37EF" w:rsidP="008A1C6E">
            <w:pPr>
              <w:pStyle w:val="ColumnHeading"/>
              <w:keepNext/>
            </w:pPr>
            <w:r>
              <w:t>Amendement</w:t>
            </w:r>
          </w:p>
        </w:tc>
      </w:tr>
      <w:tr w:rsidR="00B01527" w:rsidTr="008A1C6E">
        <w:trPr>
          <w:jc w:val="center"/>
        </w:trPr>
        <w:tc>
          <w:tcPr>
            <w:tcW w:w="4876" w:type="dxa"/>
            <w:hideMark/>
          </w:tcPr>
          <w:p w:rsidR="00AA5C01" w:rsidRPr="00B71C41" w:rsidRDefault="00EC37EF" w:rsidP="008A1C6E">
            <w:pPr>
              <w:pStyle w:val="Normal6"/>
            </w:pPr>
            <w:r>
              <w:t>Il s’applique jusqu’au 3 </w:t>
            </w:r>
            <w:r>
              <w:rPr>
                <w:b/>
                <w:i/>
              </w:rPr>
              <w:t>août 2026</w:t>
            </w:r>
            <w:r>
              <w:t>.</w:t>
            </w:r>
          </w:p>
        </w:tc>
        <w:tc>
          <w:tcPr>
            <w:tcW w:w="4876" w:type="dxa"/>
            <w:hideMark/>
          </w:tcPr>
          <w:p w:rsidR="00AA5C01" w:rsidRPr="00B71C41" w:rsidRDefault="00EC37EF" w:rsidP="008A1C6E">
            <w:pPr>
              <w:pStyle w:val="Normal6"/>
              <w:rPr>
                <w:szCs w:val="24"/>
              </w:rPr>
            </w:pPr>
            <w:r>
              <w:t>Il s’applique jusqu’au 3 </w:t>
            </w:r>
            <w:r>
              <w:rPr>
                <w:b/>
                <w:i/>
              </w:rPr>
              <w:t>mai 2025, date après laquelle il est définitivement frappé de caducité</w:t>
            </w:r>
            <w:r>
              <w:t>.</w:t>
            </w:r>
          </w:p>
        </w:tc>
      </w:tr>
    </w:tbl>
    <w:p w:rsidR="00AA5C01" w:rsidRPr="00B71C41" w:rsidRDefault="00EC37EF" w:rsidP="00AA5C01">
      <w:r>
        <w:rPr>
          <w:rStyle w:val="HideTWBExt"/>
        </w:rPr>
        <w:t>&lt;/Amend&gt;</w:t>
      </w:r>
    </w:p>
    <w:p w:rsidR="00AA5C01" w:rsidRPr="00B71C41" w:rsidRDefault="00EC37EF" w:rsidP="00AA5C01">
      <w:pPr>
        <w:pStyle w:val="AMNumberTabs0"/>
        <w:keepNext/>
      </w:pPr>
      <w:r>
        <w:rPr>
          <w:rStyle w:val="HideTWBExt"/>
          <w:b w:val="0"/>
          <w:lang w:val="en-GB"/>
        </w:rPr>
        <w:t>&lt;Amend&gt;</w:t>
      </w:r>
      <w:r>
        <w:t>Amendement</w:t>
      </w:r>
      <w:r>
        <w:tab/>
      </w:r>
      <w:r>
        <w:tab/>
      </w:r>
      <w:r>
        <w:rPr>
          <w:rStyle w:val="HideTWBExt"/>
          <w:b w:val="0"/>
          <w:lang w:val="en-GB"/>
        </w:rPr>
        <w:t>&lt;NumAm&gt;</w:t>
      </w:r>
      <w:r>
        <w:t>11</w:t>
      </w:r>
      <w:r>
        <w:rPr>
          <w:rStyle w:val="HideTWBExt"/>
          <w:b w:val="0"/>
          <w:lang w:val="en-GB"/>
        </w:rPr>
        <w:t>&lt;/NumAm&gt;</w:t>
      </w:r>
    </w:p>
    <w:p w:rsidR="00AA5C01" w:rsidRPr="00B71C41" w:rsidRDefault="00EC37EF" w:rsidP="00AA5C01">
      <w:pPr>
        <w:pStyle w:val="NormalBold12b"/>
        <w:keepNext/>
      </w:pPr>
      <w:r>
        <w:rPr>
          <w:rStyle w:val="HideTWBExt"/>
          <w:b w:val="0"/>
        </w:rPr>
        <w:t>&lt;DocAmend&gt;</w:t>
      </w:r>
      <w:r>
        <w:t>Proposition de règlement</w:t>
      </w:r>
      <w:r>
        <w:rPr>
          <w:rStyle w:val="HideTWBExt"/>
          <w:b w:val="0"/>
        </w:rPr>
        <w:t>&lt;/DocAmend&gt;</w:t>
      </w:r>
    </w:p>
    <w:p w:rsidR="00AA5C01" w:rsidRPr="00B71C41" w:rsidRDefault="00EC37EF" w:rsidP="00AA5C01">
      <w:pPr>
        <w:pStyle w:val="NormalBold"/>
      </w:pPr>
      <w:r>
        <w:rPr>
          <w:rStyle w:val="HideTWBExt"/>
          <w:b w:val="0"/>
        </w:rPr>
        <w:t>&lt;Article&gt;</w:t>
      </w:r>
      <w:r>
        <w:t>Annexe 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1527" w:rsidTr="008A1C6E">
        <w:trPr>
          <w:jc w:val="center"/>
        </w:trPr>
        <w:tc>
          <w:tcPr>
            <w:tcW w:w="9752" w:type="dxa"/>
            <w:gridSpan w:val="2"/>
          </w:tcPr>
          <w:p w:rsidR="00AA5C01" w:rsidRPr="00B71C41" w:rsidRDefault="00AA5C01" w:rsidP="008A1C6E">
            <w:pPr>
              <w:keepNext/>
            </w:pPr>
          </w:p>
        </w:tc>
      </w:tr>
      <w:tr w:rsidR="00B01527" w:rsidTr="008A1C6E">
        <w:trPr>
          <w:jc w:val="center"/>
        </w:trPr>
        <w:tc>
          <w:tcPr>
            <w:tcW w:w="4876" w:type="dxa"/>
            <w:hideMark/>
          </w:tcPr>
          <w:p w:rsidR="00AA5C01" w:rsidRPr="00B71C41" w:rsidRDefault="00EC37EF" w:rsidP="008A1C6E">
            <w:pPr>
              <w:pStyle w:val="ColumnHeading"/>
              <w:keepNext/>
            </w:pPr>
            <w:r>
              <w:t xml:space="preserve">Texte </w:t>
            </w:r>
            <w:r>
              <w:t>proposé par la Commission</w:t>
            </w:r>
          </w:p>
        </w:tc>
        <w:tc>
          <w:tcPr>
            <w:tcW w:w="4876" w:type="dxa"/>
            <w:hideMark/>
          </w:tcPr>
          <w:p w:rsidR="00AA5C01" w:rsidRPr="00B71C41" w:rsidRDefault="00EC37EF" w:rsidP="008A1C6E">
            <w:pPr>
              <w:pStyle w:val="ColumnHeading"/>
              <w:keepNext/>
            </w:pPr>
            <w:r>
              <w:t>Amendement</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ANNEXE I</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Modèle à l’usage des fournisseurs de services de communications interpersonnelles non fondés sur la numérotation</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PARTIE I</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REMARQUES GÉNÉRALES</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 xml:space="preserve">Conformément à l’article 3, paragraphe 1, point f), vii), </w:t>
            </w:r>
            <w:r>
              <w:rPr>
                <w:b/>
                <w:i/>
              </w:rPr>
              <w:t>du règlement (UE) 2021/1232, les fournisseurs de services de communications interpersonnelles non fondés sur la numérotation complètent le modèle figurant à la présente annexe.</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Le règlement prévoit les catégories de données suivantes:</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 xml:space="preserve">1) </w:t>
            </w:r>
            <w:r>
              <w:tab/>
            </w:r>
            <w:r>
              <w:rPr>
                <w:b/>
                <w:i/>
              </w:rPr>
              <w:t>le type et le</w:t>
            </w:r>
            <w:r>
              <w:rPr>
                <w:b/>
                <w:i/>
              </w:rPr>
              <w:t>s volumes de données traitées;</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EC37EF">
            <w:pPr>
              <w:pStyle w:val="Normal6"/>
              <w:rPr>
                <w:szCs w:val="24"/>
              </w:rPr>
            </w:pPr>
            <w:r>
              <w:rPr>
                <w:b/>
                <w:i/>
              </w:rPr>
              <w:t>2)</w:t>
            </w:r>
            <w:r>
              <w:tab/>
            </w:r>
            <w:r>
              <w:rPr>
                <w:b/>
                <w:i/>
              </w:rPr>
              <w:t>le motif spécifique invoqué pour le traitement en vertu du règlement (UE) 2016/679;</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 xml:space="preserve">3) </w:t>
            </w:r>
            <w:r>
              <w:tab/>
            </w:r>
            <w:r>
              <w:rPr>
                <w:b/>
                <w:i/>
              </w:rPr>
              <w:t xml:space="preserve">le motif invoqué pour les transferts de données à caractère personnel en dehors de l’Union en vertu du chapitre V du règlement </w:t>
            </w:r>
            <w:r>
              <w:rPr>
                <w:b/>
                <w:i/>
              </w:rPr>
              <w:t>(UE) 2016/679, le cas échéant;</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EC37EF">
            <w:pPr>
              <w:pStyle w:val="Normal6"/>
              <w:rPr>
                <w:szCs w:val="24"/>
              </w:rPr>
            </w:pPr>
            <w:r>
              <w:rPr>
                <w:b/>
                <w:i/>
              </w:rPr>
              <w:t>4)</w:t>
            </w:r>
            <w:r>
              <w:tab/>
            </w:r>
            <w:r>
              <w:rPr>
                <w:b/>
                <w:i/>
              </w:rPr>
              <w:t>le nombre de cas d’abus sexuels commis contre des enfants en ligne identifiés;</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 xml:space="preserve">5) </w:t>
            </w:r>
            <w:r>
              <w:tab/>
            </w:r>
            <w:r>
              <w:rPr>
                <w:b/>
                <w:i/>
              </w:rPr>
              <w:t xml:space="preserve">le nombre de cas dans lesquels un utilisateur a introduit une réclamation au moyen du mécanisme de recours interne ou auprès d’une </w:t>
            </w:r>
            <w:r>
              <w:rPr>
                <w:b/>
                <w:i/>
              </w:rPr>
              <w:t>autorité judiciaire et l’issue de ces réclamations;</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EC37EF">
            <w:pPr>
              <w:pStyle w:val="Normal6"/>
              <w:rPr>
                <w:szCs w:val="24"/>
              </w:rPr>
            </w:pPr>
            <w:r>
              <w:rPr>
                <w:b/>
                <w:i/>
              </w:rPr>
              <w:t>6)</w:t>
            </w:r>
            <w:r>
              <w:tab/>
            </w:r>
            <w:r>
              <w:rPr>
                <w:b/>
                <w:i/>
              </w:rPr>
              <w:t>le nombre et le ratio d’erreurs (faux positifs) des différentes technologies utilisées;</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EC37EF">
            <w:pPr>
              <w:pStyle w:val="Normal6"/>
              <w:rPr>
                <w:szCs w:val="24"/>
              </w:rPr>
            </w:pPr>
            <w:r>
              <w:rPr>
                <w:b/>
                <w:i/>
              </w:rPr>
              <w:t>7)</w:t>
            </w:r>
            <w:r>
              <w:tab/>
            </w:r>
            <w:r>
              <w:rPr>
                <w:b/>
                <w:i/>
              </w:rPr>
              <w:t>les mesures appliquées pour limiter le taux d’erreurs et le taux d’erreurs atteint;</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8A1C6E">
            <w:pPr>
              <w:pStyle w:val="Normal6"/>
              <w:rPr>
                <w:szCs w:val="24"/>
              </w:rPr>
            </w:pPr>
            <w:r>
              <w:rPr>
                <w:b/>
                <w:i/>
              </w:rPr>
              <w:t>8)</w:t>
            </w:r>
            <w:r>
              <w:tab/>
            </w:r>
            <w:r>
              <w:rPr>
                <w:b/>
                <w:i/>
              </w:rPr>
              <w:t>la politique de</w:t>
            </w:r>
            <w:r>
              <w:rPr>
                <w:b/>
                <w:i/>
              </w:rPr>
              <w:t xml:space="preserve"> conservation et les garanties en matière de protection des données appliquées en vertu du règlement (UE) 2016/679;</w:t>
            </w:r>
          </w:p>
        </w:tc>
      </w:tr>
      <w:tr w:rsidR="00B01527" w:rsidTr="008A1C6E">
        <w:trPr>
          <w:jc w:val="center"/>
        </w:trPr>
        <w:tc>
          <w:tcPr>
            <w:tcW w:w="4876" w:type="dxa"/>
          </w:tcPr>
          <w:p w:rsidR="00AA5C01" w:rsidRPr="00B71C41" w:rsidRDefault="00AA5C01" w:rsidP="008A1C6E">
            <w:pPr>
              <w:pStyle w:val="Normal6"/>
              <w:rPr>
                <w:lang w:val="en-GB"/>
              </w:rPr>
            </w:pPr>
          </w:p>
        </w:tc>
        <w:tc>
          <w:tcPr>
            <w:tcW w:w="4876" w:type="dxa"/>
            <w:hideMark/>
          </w:tcPr>
          <w:p w:rsidR="00AA5C01" w:rsidRPr="00B71C41" w:rsidRDefault="00EC37EF" w:rsidP="00EC37EF">
            <w:pPr>
              <w:pStyle w:val="Normal6"/>
              <w:rPr>
                <w:szCs w:val="24"/>
              </w:rPr>
            </w:pPr>
            <w:r>
              <w:rPr>
                <w:b/>
                <w:i/>
              </w:rPr>
              <w:t>9)</w:t>
            </w:r>
            <w:r>
              <w:tab/>
            </w:r>
            <w:r>
              <w:rPr>
                <w:b/>
                <w:i/>
              </w:rPr>
              <w:t>le nom des organismes agissant dans l’intérêt public contre les abus sexuels commis contre des enfants avec lesquels des données ont é</w:t>
            </w:r>
            <w:r>
              <w:rPr>
                <w:b/>
                <w:i/>
              </w:rPr>
              <w:t>té partagées en vertu du présent règlement;</w:t>
            </w:r>
          </w:p>
        </w:tc>
      </w:tr>
    </w:tbl>
    <w:p w:rsidR="00AA5C01" w:rsidRPr="00B71C41" w:rsidRDefault="00EC37EF" w:rsidP="00AA5C01">
      <w:pPr>
        <w:pStyle w:val="JustificationTitle"/>
        <w:rPr>
          <w:noProof w:val="0"/>
        </w:rPr>
      </w:pPr>
      <w:r>
        <w:rPr>
          <w:rStyle w:val="HideTWBExt"/>
          <w:i w:val="0"/>
          <w:lang w:val="en-GB"/>
        </w:rPr>
        <w:t>&lt;TitreJust&gt;</w:t>
      </w:r>
      <w:r>
        <w:t>Justification</w:t>
      </w:r>
      <w:r>
        <w:rPr>
          <w:rStyle w:val="HideTWBExt"/>
          <w:i w:val="0"/>
          <w:lang w:val="en-GB"/>
        </w:rPr>
        <w:t>&lt;/TitreJust&gt;</w:t>
      </w:r>
    </w:p>
    <w:p w:rsidR="00AA5C01" w:rsidRPr="00B71C41" w:rsidRDefault="00EC37EF" w:rsidP="00AA5C01">
      <w:pPr>
        <w:pStyle w:val="Normal12Italic"/>
        <w:rPr>
          <w:noProof w:val="0"/>
        </w:rPr>
      </w:pPr>
      <w:r>
        <w:t>Le règlement (UE) 2021/1232 ne comportant pas de modèle de déclaration, les fournisseurs ont communiqué différents types de données qui n’étaient pas forcément comparables en</w:t>
      </w:r>
      <w:r>
        <w:t>tre elles; il était donc nécessaire d’établir un modèle pour permettre aux fournisseurs de remplir leur obligation de déclaration conformément à l’article 3, paragraphe 1, point g), vii), du règlement (UE) 2021/1232.</w:t>
      </w:r>
    </w:p>
    <w:p w:rsidR="00AA5C01" w:rsidRPr="00B71C41" w:rsidRDefault="00EC37EF" w:rsidP="00AA5C01">
      <w:r>
        <w:rPr>
          <w:rStyle w:val="HideTWBExt"/>
        </w:rPr>
        <w:t>&lt;/Amend&gt;</w:t>
      </w:r>
    </w:p>
    <w:p w:rsidR="00AA5C01" w:rsidRPr="00B71C41" w:rsidRDefault="00EC37EF" w:rsidP="00AA5C01">
      <w:pPr>
        <w:pStyle w:val="AMNumberTabs0"/>
      </w:pPr>
      <w:r>
        <w:rPr>
          <w:rStyle w:val="HideTWBExt"/>
          <w:lang w:val="en-GB"/>
        </w:rPr>
        <w:lastRenderedPageBreak/>
        <w:t>&lt;Amend&gt;</w:t>
      </w:r>
      <w:r>
        <w:t>Amendement</w:t>
      </w:r>
      <w:r>
        <w:tab/>
      </w:r>
      <w:r>
        <w:tab/>
      </w:r>
      <w:r>
        <w:rPr>
          <w:rStyle w:val="HideTWBExt"/>
          <w:lang w:val="en-GB"/>
        </w:rPr>
        <w:t>&lt;NumAm&gt;</w:t>
      </w:r>
      <w:r>
        <w:t>12</w:t>
      </w:r>
      <w:r>
        <w:rPr>
          <w:rStyle w:val="HideTWBExt"/>
          <w:lang w:val="en-GB"/>
        </w:rPr>
        <w:t>&lt;/</w:t>
      </w:r>
      <w:r>
        <w:rPr>
          <w:rStyle w:val="HideTWBExt"/>
          <w:lang w:val="en-GB"/>
        </w:rPr>
        <w:t>NumAm&gt;</w:t>
      </w:r>
    </w:p>
    <w:p w:rsidR="00AA5C01" w:rsidRPr="00B71C41" w:rsidRDefault="00EC37EF" w:rsidP="00AA5C01">
      <w:pPr>
        <w:pStyle w:val="NormalBold12b"/>
        <w:keepNext/>
      </w:pPr>
      <w:r>
        <w:rPr>
          <w:rStyle w:val="HideTWBExt"/>
          <w:b w:val="0"/>
        </w:rPr>
        <w:t>&lt;DocAmend&gt;</w:t>
      </w:r>
      <w:r>
        <w:t>Proposition de règlement</w:t>
      </w:r>
      <w:r>
        <w:rPr>
          <w:rStyle w:val="HideTWBExt"/>
          <w:b w:val="0"/>
        </w:rPr>
        <w:t>&lt;/DocAmend&gt;</w:t>
      </w:r>
    </w:p>
    <w:p w:rsidR="00AA5C01" w:rsidRPr="001107EB" w:rsidRDefault="00EC37EF" w:rsidP="00AA5C01">
      <w:pPr>
        <w:pStyle w:val="NormalBold"/>
        <w:keepNext/>
      </w:pPr>
      <w:r>
        <w:rPr>
          <w:rStyle w:val="HideTWBExt"/>
          <w:b w:val="0"/>
        </w:rPr>
        <w:t>&lt;Article&gt;</w:t>
      </w:r>
      <w:r>
        <w:t>ANNEXE 1 ter (nouveau)</w:t>
      </w:r>
      <w:r>
        <w:rPr>
          <w:rStyle w:val="HideTWBExt"/>
          <w:b w:val="0"/>
        </w:rPr>
        <w:t>&lt;/Article&gt;</w:t>
      </w:r>
    </w:p>
    <w:tbl>
      <w:tblPr>
        <w:tblW w:w="5000" w:type="pct"/>
        <w:jc w:val="center"/>
        <w:tblCellMar>
          <w:left w:w="340" w:type="dxa"/>
          <w:right w:w="340" w:type="dxa"/>
        </w:tblCellMar>
        <w:tblLook w:val="0000" w:firstRow="0" w:lastRow="0" w:firstColumn="0" w:lastColumn="0" w:noHBand="0" w:noVBand="0"/>
      </w:tblPr>
      <w:tblGrid>
        <w:gridCol w:w="3239"/>
        <w:gridCol w:w="2881"/>
        <w:gridCol w:w="2950"/>
      </w:tblGrid>
      <w:tr w:rsidR="00B01527" w:rsidTr="008A1C6E">
        <w:trPr>
          <w:jc w:val="center"/>
        </w:trPr>
        <w:tc>
          <w:tcPr>
            <w:tcW w:w="5000" w:type="pct"/>
            <w:gridSpan w:val="3"/>
          </w:tcPr>
          <w:p w:rsidR="00AA5C01" w:rsidRPr="001107EB" w:rsidRDefault="00AA5C01" w:rsidP="008A1C6E">
            <w:pPr>
              <w:keepNext/>
            </w:pPr>
          </w:p>
        </w:tc>
      </w:tr>
      <w:tr w:rsidR="00B01527" w:rsidTr="008A1C6E">
        <w:trPr>
          <w:jc w:val="center"/>
        </w:trPr>
        <w:tc>
          <w:tcPr>
            <w:tcW w:w="5000" w:type="pct"/>
            <w:gridSpan w:val="3"/>
          </w:tcPr>
          <w:p w:rsidR="00AA5C01" w:rsidRPr="00B71C41" w:rsidRDefault="00EC37EF" w:rsidP="008A1C6E">
            <w:pPr>
              <w:pStyle w:val="AmColumnHeading"/>
              <w:keepNext/>
            </w:pPr>
            <w:r>
              <w:t>Texte proposé par la Commission</w:t>
            </w:r>
          </w:p>
        </w:tc>
      </w:tr>
      <w:tr w:rsidR="00B01527" w:rsidTr="008A1C6E">
        <w:trPr>
          <w:jc w:val="center"/>
        </w:trPr>
        <w:tc>
          <w:tcPr>
            <w:tcW w:w="5000" w:type="pct"/>
            <w:gridSpan w:val="3"/>
            <w:tcBorders>
              <w:bottom w:val="single" w:sz="4" w:space="0" w:color="auto"/>
            </w:tcBorders>
          </w:tcPr>
          <w:p w:rsidR="00AA5C01" w:rsidRPr="00B71C41" w:rsidRDefault="00EC37EF" w:rsidP="008A1C6E">
            <w:pPr>
              <w:pStyle w:val="Normal6a"/>
              <w:jc w:val="center"/>
            </w:pPr>
            <w:r>
              <w:t>Amendement</w:t>
            </w: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Normal6a"/>
              <w:jc w:val="center"/>
              <w:rPr>
                <w:i/>
                <w:szCs w:val="24"/>
              </w:rPr>
            </w:pPr>
            <w:r>
              <w:rPr>
                <w:b/>
                <w:i/>
              </w:rPr>
              <w:t>Catégorie au sens de l’article 3, paragraphe 1, point f), vii)</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Normal6a"/>
              <w:jc w:val="center"/>
              <w:rPr>
                <w:i/>
                <w:szCs w:val="24"/>
              </w:rPr>
            </w:pPr>
            <w:r>
              <w:rPr>
                <w:b/>
                <w:i/>
              </w:rPr>
              <w:t>Sous-catégorie</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Normal6a"/>
              <w:jc w:val="center"/>
              <w:rPr>
                <w:i/>
                <w:szCs w:val="24"/>
              </w:rPr>
            </w:pPr>
            <w:r>
              <w:rPr>
                <w:b/>
                <w:i/>
              </w:rPr>
              <w:t>Description</w:t>
            </w: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ind w:left="360" w:hanging="360"/>
              <w:rPr>
                <w:b/>
                <w:i/>
                <w:szCs w:val="24"/>
              </w:rPr>
            </w:pPr>
            <w:r>
              <w:rPr>
                <w:b/>
                <w:i/>
              </w:rPr>
              <w:t>1)</w:t>
            </w:r>
            <w:r>
              <w:rPr>
                <w:b/>
                <w:i/>
              </w:rPr>
              <w:tab/>
              <w:t xml:space="preserve">le type et les </w:t>
            </w:r>
            <w:r>
              <w:rPr>
                <w:b/>
                <w:i/>
              </w:rPr>
              <w:t>volumes de données traitées</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images provenant de l’Union</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images provenant du monde entier</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vidéos provenant de l’Union</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vidéos provenant du monde entier</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données relatives au trafic concernant les données relatives à l’utilisateur/à la personne</w:t>
            </w:r>
            <w:r>
              <w:rPr>
                <w:b/>
                <w:i/>
              </w:rPr>
              <w:t xml:space="preserve"> établissant un rapport/au compte</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données relatives au trafic concernant des métadonnées relatives au contenu/aux transactions</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données relatives au trafic concernant les données relatives à une victime potentielle</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données relatives au trafic conce</w:t>
            </w:r>
            <w:r>
              <w:rPr>
                <w:b/>
                <w:i/>
              </w:rPr>
              <w:t>rnant les données relatives aux abus</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autres indicateurs</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ind w:left="360" w:hanging="360"/>
              <w:rPr>
                <w:b/>
                <w:i/>
                <w:szCs w:val="24"/>
              </w:rPr>
            </w:pPr>
            <w:r>
              <w:rPr>
                <w:b/>
                <w:i/>
              </w:rPr>
              <w:t>2)</w:t>
            </w:r>
            <w:r>
              <w:rPr>
                <w:b/>
                <w:i/>
              </w:rPr>
              <w:tab/>
              <w:t>le motif spécifique invoqué pour le traitement en vertu du règlement (UE) 2016/679</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oj-normal"/>
              <w:spacing w:after="0" w:afterAutospacing="0"/>
              <w:ind w:left="360" w:hanging="360"/>
              <w:rPr>
                <w:b/>
                <w:i/>
              </w:rPr>
            </w:pPr>
            <w:r>
              <w:rPr>
                <w:b/>
                <w:i/>
              </w:rPr>
              <w:lastRenderedPageBreak/>
              <w:t>3)</w:t>
            </w:r>
            <w:r>
              <w:rPr>
                <w:b/>
                <w:i/>
              </w:rPr>
              <w:tab/>
              <w:t xml:space="preserve">le motif invoqué pour les transferts de données à caractère personnel en dehors de l’Union en vertu du </w:t>
            </w:r>
            <w:r>
              <w:rPr>
                <w:b/>
                <w:i/>
              </w:rPr>
              <w:t>chapitre V du règlement (UE) 2016/679, le cas échéant</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oj-normal"/>
              <w:spacing w:after="0" w:afterAutospacing="0"/>
              <w:ind w:left="360" w:hanging="360"/>
              <w:rPr>
                <w:b/>
                <w:i/>
              </w:rPr>
            </w:pPr>
            <w:r>
              <w:rPr>
                <w:b/>
                <w:i/>
              </w:rPr>
              <w:t>4)</w:t>
            </w:r>
            <w:r>
              <w:rPr>
                <w:b/>
                <w:i/>
              </w:rPr>
              <w:tab/>
              <w:t>le nombre de cas d’abus sexuels commis contre des enfants en ligne identifiés</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images provenant de l’Union</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images provenant du monde entier</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vidéos provenant de l’Union</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vidéos provenant</w:t>
            </w:r>
            <w:r>
              <w:rPr>
                <w:b/>
                <w:i/>
              </w:rPr>
              <w:t xml:space="preserve"> du monde entier</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 xml:space="preserve">comptes d’utilisateurs de l’Union concernés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 xml:space="preserve">comptes d’utilisateurs du monde entier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éléments de contenu signalés au centre national américain pour les enfants disparus et exploités (NCMEC)</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oj-normal"/>
              <w:spacing w:after="0" w:afterAutospacing="0"/>
              <w:ind w:left="360" w:hanging="360"/>
              <w:rPr>
                <w:b/>
                <w:i/>
              </w:rPr>
            </w:pPr>
            <w:r>
              <w:rPr>
                <w:b/>
                <w:i/>
              </w:rPr>
              <w:t>5)</w:t>
            </w:r>
            <w:r>
              <w:rPr>
                <w:b/>
                <w:i/>
              </w:rPr>
              <w:tab/>
              <w:t xml:space="preserve">le nombre de cas dans lesquels un </w:t>
            </w:r>
            <w:r>
              <w:rPr>
                <w:b/>
                <w:i/>
              </w:rPr>
              <w:t>utilisateur a introduit une réclamation au moyen du mécanisme de recours interne ou auprès d’une autorité judiciaire et l’issue de ces réclamations</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 xml:space="preserve">comptes de l’Union qui ont été restreints pour avoir partagé du matériel relatif à des abus sexuels sur </w:t>
            </w:r>
            <w:r>
              <w:rPr>
                <w:b/>
                <w:i/>
              </w:rPr>
              <w:t>enfants</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 xml:space="preserve">comptes de l’Union </w:t>
            </w:r>
            <w:r>
              <w:rPr>
                <w:b/>
                <w:i/>
              </w:rPr>
              <w:lastRenderedPageBreak/>
              <w:t>qui ont fait appel contre la restriction/la suppression</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 xml:space="preserve">comptes de l’Union qui ont introduit une réclamation au moyen du mécanisme interne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comptes de l’Union qui ont introduit une réclamation auprès de l’autorité judici</w:t>
            </w:r>
            <w:r>
              <w:rPr>
                <w:b/>
                <w:i/>
              </w:rPr>
              <w:t xml:space="preserve">aire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 xml:space="preserve">comptes de l’Union qui ont été rétablis après examen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oj-normal"/>
              <w:spacing w:after="0" w:afterAutospacing="0"/>
              <w:ind w:left="360" w:hanging="360"/>
              <w:rPr>
                <w:b/>
                <w:i/>
              </w:rPr>
            </w:pPr>
            <w:r>
              <w:rPr>
                <w:b/>
                <w:i/>
              </w:rPr>
              <w:t>6)</w:t>
            </w:r>
            <w:r>
              <w:rPr>
                <w:b/>
                <w:i/>
              </w:rPr>
              <w:tab/>
              <w:t>le nombre et le ratio d’erreurs (faux positifs) des différentes technologies utilisées</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oj-normal"/>
              <w:spacing w:after="0" w:afterAutospacing="0"/>
              <w:ind w:left="360" w:hanging="360"/>
              <w:rPr>
                <w:b/>
                <w:i/>
              </w:rPr>
            </w:pPr>
            <w:r>
              <w:rPr>
                <w:b/>
                <w:i/>
              </w:rPr>
              <w:t>7)</w:t>
            </w:r>
            <w:r>
              <w:rPr>
                <w:b/>
                <w:i/>
              </w:rPr>
              <w:tab/>
              <w:t>les mesures appliquées pour limiter le taux d’erreurs et le taux d’erreurs atteint</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technologies de correspondance de hachage («hash-matching»)</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contrôle et évaluation de la qualité des résultats obtenus par les outils de détection des abus sexuel commis contre des enfants</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 xml:space="preserve">examen et contrôle humains: les échantillons de contenus </w:t>
            </w:r>
            <w:r>
              <w:rPr>
                <w:b/>
                <w:i/>
              </w:rPr>
              <w:t xml:space="preserve">détectés comme étant du matériel relatif à des abus sexuels sur enfants par des technologies de correspondance de hachage sont vérifiés par des examinateurs </w:t>
            </w:r>
            <w:r>
              <w:rPr>
                <w:b/>
                <w:i/>
              </w:rPr>
              <w:lastRenderedPageBreak/>
              <w:t>humains/analystes formés</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 xml:space="preserve">signalement et examen des clusters de grand volume (Meta)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déploieme</w:t>
            </w:r>
            <w:r>
              <w:rPr>
                <w:b/>
                <w:i/>
              </w:rPr>
              <w:t>nt de nouvelles procédures d’examen manuel pour le contrôle continu de la qualité du hachage</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examinateurs humains suivant une solide formation spécialisée et supervisée pour apprendre à reconnaître du matériel relatif à des abus sexuels sur enfants, afi</w:t>
            </w:r>
            <w:r>
              <w:rPr>
                <w:b/>
                <w:i/>
              </w:rPr>
              <w:t>n de garantir l’exactitude des examens humains</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évaluation périodique du contrôle de qualité de l’examen humain et des avis rendus</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 w:val="22"/>
                <w:szCs w:val="22"/>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 xml:space="preserve">autres procédures de contrôle de qualité pour réduire les erreurs et les rectifier sans tarder, telles qu’une </w:t>
            </w:r>
            <w:r>
              <w:rPr>
                <w:b/>
                <w:i/>
              </w:rPr>
              <w:t xml:space="preserve">vérification indépendante du hachage (Google, LinkedIn) ou un examen humain de chaque cas inédit de matériel relatif à des abus sexuels sur enfant, avant son signalement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rPr>
                <w:b/>
                <w:i/>
                <w:szCs w:val="24"/>
              </w:rPr>
            </w:pPr>
            <w:r>
              <w:rPr>
                <w:b/>
                <w:i/>
              </w:rPr>
              <w:t xml:space="preserve">élaboration et révision régulière des politiques et des stratégies de mise en </w:t>
            </w:r>
            <w:r>
              <w:rPr>
                <w:b/>
                <w:i/>
              </w:rPr>
              <w:t xml:space="preserve">application par des </w:t>
            </w:r>
            <w:r>
              <w:rPr>
                <w:b/>
                <w:i/>
              </w:rPr>
              <w:lastRenderedPageBreak/>
              <w:t>experts formés à la question des abus sexuel commis contre des enfants en ligne</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 xml:space="preserve">collaboration avec le dispositif CyberTipline du NCMEC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 xml:space="preserve">autres indicateurs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oj-normal"/>
              <w:spacing w:after="0" w:afterAutospacing="0"/>
              <w:ind w:left="360" w:hanging="360"/>
              <w:rPr>
                <w:b/>
                <w:i/>
              </w:rPr>
            </w:pPr>
            <w:r>
              <w:rPr>
                <w:b/>
                <w:i/>
              </w:rPr>
              <w:t>8)</w:t>
            </w:r>
            <w:r>
              <w:rPr>
                <w:b/>
                <w:i/>
              </w:rPr>
              <w:tab/>
              <w:t xml:space="preserve">la politique de conservation et les garanties en matière de </w:t>
            </w:r>
            <w:r>
              <w:rPr>
                <w:b/>
                <w:i/>
              </w:rPr>
              <w:t>protection des données appliquées en vertu du règlement (UE) 2016/679</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 xml:space="preserve">durée de conservation par catégorie de données et par finalité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mesures visant à garantir la minimisation des données</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b/>
                <w:i/>
                <w:szCs w:val="24"/>
              </w:rPr>
            </w:pP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Default"/>
              <w:rPr>
                <w:b/>
                <w:i/>
              </w:rPr>
            </w:pPr>
            <w:r>
              <w:rPr>
                <w:b/>
                <w:i/>
              </w:rPr>
              <w:t xml:space="preserve">garanties de protection des données personnelles </w:t>
            </w: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pStyle w:val="oj-normal"/>
              <w:spacing w:after="0" w:afterAutospacing="0"/>
              <w:ind w:left="360" w:hanging="360"/>
              <w:rPr>
                <w:b/>
                <w:i/>
              </w:rPr>
            </w:pPr>
            <w:r>
              <w:rPr>
                <w:b/>
                <w:i/>
              </w:rPr>
              <w:t>9)</w:t>
            </w:r>
            <w:r>
              <w:rPr>
                <w:b/>
                <w:i/>
              </w:rPr>
              <w:tab/>
              <w:t xml:space="preserve">le </w:t>
            </w:r>
            <w:r>
              <w:rPr>
                <w:b/>
                <w:i/>
              </w:rPr>
              <w:t>nom des organismes agissant dans l’intérêt public contre les abus sexuels commis contre des enfants avec lesquels des données ont été partagées en vertu du présent règlement</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r w:rsidR="00B01527" w:rsidTr="008A1C6E">
        <w:trPr>
          <w:jc w:val="center"/>
        </w:trPr>
        <w:tc>
          <w:tcPr>
            <w:tcW w:w="1786" w:type="pct"/>
            <w:tcBorders>
              <w:top w:val="single" w:sz="4" w:space="0" w:color="auto"/>
              <w:left w:val="single" w:sz="4" w:space="0" w:color="auto"/>
              <w:bottom w:val="single" w:sz="4" w:space="0" w:color="auto"/>
              <w:right w:val="single" w:sz="4" w:space="0" w:color="auto"/>
            </w:tcBorders>
          </w:tcPr>
          <w:p w:rsidR="00AA5C01" w:rsidRPr="00B71C41" w:rsidRDefault="00EC37EF" w:rsidP="008A1C6E">
            <w:pPr>
              <w:ind w:left="360" w:hanging="360"/>
              <w:rPr>
                <w:b/>
                <w:i/>
                <w:szCs w:val="24"/>
              </w:rPr>
            </w:pPr>
            <w:r>
              <w:rPr>
                <w:b/>
                <w:i/>
              </w:rPr>
              <w:t>10)</w:t>
            </w:r>
            <w:r>
              <w:rPr>
                <w:b/>
                <w:i/>
              </w:rPr>
              <w:tab/>
              <w:t>non couvert par un mot-clé relevant des autres catégories</w:t>
            </w:r>
          </w:p>
        </w:tc>
        <w:tc>
          <w:tcPr>
            <w:tcW w:w="1588"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c>
          <w:tcPr>
            <w:tcW w:w="1626" w:type="pct"/>
            <w:tcBorders>
              <w:top w:val="single" w:sz="4" w:space="0" w:color="auto"/>
              <w:left w:val="single" w:sz="4" w:space="0" w:color="auto"/>
              <w:bottom w:val="single" w:sz="4" w:space="0" w:color="auto"/>
              <w:right w:val="single" w:sz="4" w:space="0" w:color="auto"/>
            </w:tcBorders>
          </w:tcPr>
          <w:p w:rsidR="00AA5C01" w:rsidRPr="00B71C41" w:rsidRDefault="00AA5C01" w:rsidP="008A1C6E">
            <w:pPr>
              <w:pStyle w:val="Normal6a"/>
              <w:rPr>
                <w:szCs w:val="24"/>
              </w:rPr>
            </w:pPr>
          </w:p>
        </w:tc>
      </w:tr>
    </w:tbl>
    <w:p w:rsidR="00AA5C01" w:rsidRPr="00B71C41" w:rsidRDefault="00EC37EF" w:rsidP="00AA5C01">
      <w:pPr>
        <w:rPr>
          <w:szCs w:val="24"/>
        </w:rPr>
      </w:pPr>
      <w:r>
        <w:rPr>
          <w:rStyle w:val="HideTWBExt"/>
          <w:rFonts w:ascii="Times New Roman" w:hAnsi="Times New Roman"/>
          <w:sz w:val="24"/>
        </w:rPr>
        <w:t>&lt;/Amend&gt;</w:t>
      </w:r>
    </w:p>
    <w:p w:rsidR="00AA5C01" w:rsidRPr="00B71C41" w:rsidRDefault="00AA5C01" w:rsidP="00AA5C01"/>
    <w:p w:rsidR="00AA5C01" w:rsidRPr="00B71C41" w:rsidRDefault="00AA5C01" w:rsidP="00AA5C01"/>
    <w:p w:rsidR="00AA5C01" w:rsidRPr="00B71C41" w:rsidRDefault="00EC37EF" w:rsidP="00AA5C01">
      <w:r>
        <w:rPr>
          <w:rStyle w:val="HideTWBExt"/>
        </w:rPr>
        <w:t>&lt;/R</w:t>
      </w:r>
      <w:r>
        <w:rPr>
          <w:rStyle w:val="HideTWBExt"/>
        </w:rPr>
        <w:t>epeatBlock-Amend&gt;</w:t>
      </w:r>
    </w:p>
    <w:p w:rsidR="00573F35" w:rsidRPr="00334C47" w:rsidRDefault="00573F35">
      <w:pPr>
        <w:widowControl/>
        <w:rPr>
          <w:rStyle w:val="HideTWBExt"/>
          <w:noProof w:val="0"/>
        </w:rPr>
        <w:sectPr w:rsidR="00573F35" w:rsidRPr="00334C47" w:rsidSect="00AA5C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765210" w:rsidRPr="00B71C41" w:rsidRDefault="00765210" w:rsidP="00765210">
      <w:pPr>
        <w:widowControl/>
        <w:rPr>
          <w:rStyle w:val="HideTWBExt"/>
          <w:noProof w:val="0"/>
        </w:rPr>
      </w:pPr>
    </w:p>
    <w:p w:rsidR="00765210" w:rsidRPr="00B71C41" w:rsidRDefault="00EC37EF" w:rsidP="00765210">
      <w:pPr>
        <w:pStyle w:val="PageHeading"/>
        <w:rPr>
          <w:noProof/>
        </w:rPr>
      </w:pPr>
      <w:bookmarkStart w:id="4" w:name="_Toc157692470"/>
      <w:bookmarkStart w:id="5" w:name="FootprintPageRR"/>
      <w:bookmarkStart w:id="6" w:name="_Toc158891027"/>
      <w:r>
        <w:t>ANNEXE: ENTITÉS OU PERSONNES</w:t>
      </w:r>
      <w:r>
        <w:br/>
        <w:t>DONT LA RAPPORTEURE A REÇU DES CONTRIBUTIONS</w:t>
      </w:r>
      <w:bookmarkEnd w:id="4"/>
      <w:bookmarkEnd w:id="6"/>
    </w:p>
    <w:p w:rsidR="00765210" w:rsidRPr="00B71C41" w:rsidRDefault="00EC37EF" w:rsidP="00765210">
      <w:pPr>
        <w:pStyle w:val="Normal24a"/>
      </w:pPr>
      <w:r>
        <w:rPr>
          <w:rStyle w:val="HideTWBExt"/>
        </w:rPr>
        <w:t>&lt;FootprintIntro&gt;</w:t>
      </w:r>
      <w:r>
        <w:t xml:space="preserve">Conformément à l’article 8 de l’annexe I du règlement intérieur, la rapporteure déclare avoir reçu des contributions des entités ou </w:t>
      </w:r>
      <w:r>
        <w:t>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01527" w:rsidTr="008A1C6E">
        <w:tc>
          <w:tcPr>
            <w:tcW w:w="9060" w:type="dxa"/>
            <w:shd w:val="clear" w:color="auto" w:fill="auto"/>
          </w:tcPr>
          <w:p w:rsidR="00765210" w:rsidRPr="00B71C41" w:rsidRDefault="00EC37EF" w:rsidP="008A1C6E">
            <w:pPr>
              <w:pStyle w:val="NormalBoldCenter"/>
            </w:pPr>
            <w:r>
              <w:t>Entité et/ou personne</w:t>
            </w:r>
          </w:p>
        </w:tc>
      </w:tr>
      <w:tr w:rsidR="00B01527" w:rsidTr="008A1C6E">
        <w:tc>
          <w:tcPr>
            <w:tcW w:w="9060" w:type="dxa"/>
            <w:shd w:val="clear" w:color="auto" w:fill="auto"/>
          </w:tcPr>
          <w:p w:rsidR="00765210" w:rsidRPr="00B71C41" w:rsidRDefault="00EC37EF" w:rsidP="008A1C6E">
            <w:pPr>
              <w:rPr>
                <w:b/>
              </w:rPr>
            </w:pPr>
            <w:r>
              <w:t>European Commission, DG Migration and Home Affairs</w:t>
            </w:r>
          </w:p>
        </w:tc>
      </w:tr>
      <w:tr w:rsidR="00B01527" w:rsidTr="008A1C6E">
        <w:tc>
          <w:tcPr>
            <w:tcW w:w="9060" w:type="dxa"/>
            <w:shd w:val="clear" w:color="auto" w:fill="auto"/>
          </w:tcPr>
          <w:p w:rsidR="00765210" w:rsidRPr="00B71C41" w:rsidRDefault="00EC37EF" w:rsidP="008A1C6E">
            <w:r>
              <w:t>Permanent Representation of Belgium</w:t>
            </w:r>
          </w:p>
        </w:tc>
      </w:tr>
      <w:tr w:rsidR="00B01527" w:rsidTr="008A1C6E">
        <w:tc>
          <w:tcPr>
            <w:tcW w:w="9060" w:type="dxa"/>
            <w:shd w:val="clear" w:color="auto" w:fill="auto"/>
          </w:tcPr>
          <w:p w:rsidR="00765210" w:rsidRPr="00B71C41" w:rsidRDefault="00EC37EF" w:rsidP="008A1C6E">
            <w:r>
              <w:t xml:space="preserve">Permanent Representation of </w:t>
            </w:r>
            <w:r>
              <w:t>Germany</w:t>
            </w:r>
          </w:p>
        </w:tc>
      </w:tr>
      <w:tr w:rsidR="00B01527" w:rsidTr="008A1C6E">
        <w:tc>
          <w:tcPr>
            <w:tcW w:w="9060" w:type="dxa"/>
            <w:shd w:val="clear" w:color="auto" w:fill="auto"/>
          </w:tcPr>
          <w:p w:rsidR="00765210" w:rsidRPr="00B71C41" w:rsidRDefault="00EC37EF" w:rsidP="008A1C6E">
            <w:r>
              <w:t>European Digital Rights</w:t>
            </w:r>
          </w:p>
        </w:tc>
      </w:tr>
      <w:tr w:rsidR="00B01527" w:rsidTr="008A1C6E">
        <w:tc>
          <w:tcPr>
            <w:tcW w:w="9060" w:type="dxa"/>
            <w:shd w:val="clear" w:color="auto" w:fill="auto"/>
          </w:tcPr>
          <w:p w:rsidR="00765210" w:rsidRPr="00B71C41" w:rsidRDefault="00EC37EF" w:rsidP="008A1C6E">
            <w:r>
              <w:t>Meta</w:t>
            </w:r>
          </w:p>
        </w:tc>
      </w:tr>
      <w:tr w:rsidR="00B01527" w:rsidTr="008A1C6E">
        <w:tc>
          <w:tcPr>
            <w:tcW w:w="9060" w:type="dxa"/>
            <w:shd w:val="clear" w:color="auto" w:fill="auto"/>
          </w:tcPr>
          <w:p w:rsidR="00765210" w:rsidRPr="00B71C41" w:rsidRDefault="00EC37EF" w:rsidP="008A1C6E">
            <w:r>
              <w:t>Microsoft</w:t>
            </w:r>
          </w:p>
        </w:tc>
      </w:tr>
    </w:tbl>
    <w:p w:rsidR="00765210" w:rsidRPr="00B71C41" w:rsidRDefault="00765210" w:rsidP="00765210"/>
    <w:p w:rsidR="00765210" w:rsidRPr="00B71C41" w:rsidRDefault="00EC37EF" w:rsidP="00765210">
      <w:pPr>
        <w:rPr>
          <w:szCs w:val="24"/>
        </w:rPr>
      </w:pPr>
      <w:r>
        <w:t>La liste qui précède est établie sous la responsabilité exclusive de la rapporteure.</w:t>
      </w:r>
    </w:p>
    <w:p w:rsidR="00765210" w:rsidRPr="00B71C41" w:rsidRDefault="00765210" w:rsidP="00765210"/>
    <w:bookmarkEnd w:id="5"/>
    <w:p w:rsidR="00C62471" w:rsidRPr="00C62471" w:rsidRDefault="00EC37EF" w:rsidP="00C62471">
      <w:r>
        <w:br w:type="page"/>
      </w:r>
    </w:p>
    <w:p w:rsidR="00C62471" w:rsidRDefault="00EC37EF" w:rsidP="00C62471">
      <w:pPr>
        <w:pStyle w:val="PageHeading"/>
      </w:pPr>
      <w:bookmarkStart w:id="7" w:name="ProcPageRR"/>
      <w:bookmarkStart w:id="8" w:name="_Toc158891028"/>
      <w:r>
        <w:lastRenderedPageBreak/>
        <w:t>PROCÉDURE DE LA COMMISSION COMPÉTENTE AU FOND</w:t>
      </w:r>
      <w:bookmarkEnd w:id="8"/>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015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 xml:space="preserve">Modification du règlement (UE) 2021/1232 du Parlement européen </w:t>
            </w:r>
            <w:r>
              <w:rPr>
                <w:color w:val="000000"/>
                <w:sz w:val="20"/>
              </w:rPr>
              <w:t>et du Conseil relatif à une dérogation temporaire à certaines dispositions de la directive 2002/58/CE aux fins de la lutte contre les abus sexuels commis contre des enfants en ligne</w:t>
            </w:r>
          </w:p>
        </w:tc>
      </w:tr>
      <w:tr w:rsidR="00B0152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COM(2023)0777 – C9-0437/2023 – 2023/0452(COD)</w:t>
            </w:r>
          </w:p>
        </w:tc>
      </w:tr>
      <w:tr w:rsidR="00B015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Date de la prés</w:t>
            </w:r>
            <w:r>
              <w:rPr>
                <w:b/>
                <w:color w:val="000000"/>
                <w:sz w:val="20"/>
              </w:rPr>
              <w:t>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r>
      <w:tr w:rsidR="00B0152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Commission compétente au fond</w:t>
            </w:r>
          </w:p>
          <w:p w:rsidR="00C62471" w:rsidRDefault="00EC37EF">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LIBE</w:t>
            </w:r>
          </w:p>
          <w:p w:rsidR="00C62471" w:rsidRDefault="00EC37EF">
            <w:pPr>
              <w:autoSpaceDE w:val="0"/>
              <w:autoSpaceDN w:val="0"/>
              <w:adjustRightInd w:val="0"/>
              <w:rPr>
                <w:color w:val="000000"/>
                <w:sz w:val="20"/>
              </w:rPr>
            </w:pPr>
            <w:r>
              <w:rPr>
                <w:color w:val="000000"/>
                <w:sz w:val="20"/>
              </w:rPr>
              <w:t>15.1.2024</w:t>
            </w:r>
          </w:p>
        </w:tc>
        <w:tc>
          <w:tcPr>
            <w:tcW w:w="1474" w:type="dxa"/>
            <w:tcBorders>
              <w:top w:val="nil"/>
              <w:left w:val="nil"/>
              <w:bottom w:val="single" w:sz="8" w:space="0" w:color="000000"/>
              <w:right w:val="nil"/>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r>
      <w:tr w:rsidR="00B015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Commissions saisies pour avis</w:t>
            </w:r>
          </w:p>
          <w:p w:rsidR="00C62471" w:rsidRDefault="00EC37EF">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IMCO</w:t>
            </w:r>
          </w:p>
          <w:p w:rsidR="00C62471" w:rsidRDefault="00EC37EF">
            <w:pPr>
              <w:autoSpaceDE w:val="0"/>
              <w:autoSpaceDN w:val="0"/>
              <w:adjustRightInd w:val="0"/>
              <w:rPr>
                <w:color w:val="000000"/>
                <w:sz w:val="20"/>
              </w:rPr>
            </w:pPr>
            <w:r>
              <w:rPr>
                <w:color w:val="000000"/>
                <w:sz w:val="20"/>
              </w:rPr>
              <w:t>15.1.2024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CULT</w:t>
            </w:r>
          </w:p>
          <w:p w:rsidR="00C62471" w:rsidRDefault="00EC37EF">
            <w:pPr>
              <w:autoSpaceDE w:val="0"/>
              <w:autoSpaceDN w:val="0"/>
              <w:adjustRightInd w:val="0"/>
              <w:rPr>
                <w:color w:val="000000"/>
                <w:sz w:val="20"/>
              </w:rPr>
            </w:pPr>
            <w:r>
              <w:rPr>
                <w:color w:val="000000"/>
                <w:sz w:val="20"/>
              </w:rPr>
              <w:t>15.1.2024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FEMM</w:t>
            </w:r>
          </w:p>
          <w:p w:rsidR="00C62471" w:rsidRDefault="00EC37EF">
            <w:pPr>
              <w:autoSpaceDE w:val="0"/>
              <w:autoSpaceDN w:val="0"/>
              <w:adjustRightInd w:val="0"/>
              <w:rPr>
                <w:color w:val="000000"/>
                <w:sz w:val="20"/>
              </w:rPr>
            </w:pPr>
            <w:r>
              <w:rPr>
                <w:color w:val="000000"/>
                <w:sz w:val="20"/>
              </w:rPr>
              <w:t>15.1.2024</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r>
      <w:tr w:rsidR="00B0152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Avis non émis</w:t>
            </w:r>
          </w:p>
          <w:p w:rsidR="00C62471" w:rsidRDefault="00EC37EF">
            <w:pPr>
              <w:autoSpaceDE w:val="0"/>
              <w:autoSpaceDN w:val="0"/>
              <w:adjustRightInd w:val="0"/>
              <w:rPr>
                <w:color w:val="000000"/>
                <w:sz w:val="20"/>
              </w:rPr>
            </w:pPr>
            <w:r>
              <w:rPr>
                <w:color w:val="000000"/>
                <w:sz w:val="20"/>
              </w:rPr>
              <w:t xml:space="preserve">       Date de </w:t>
            </w:r>
            <w:r>
              <w:rPr>
                <w:color w:val="000000"/>
                <w:sz w:val="20"/>
              </w:rPr>
              <w:t>la décision</w:t>
            </w:r>
          </w:p>
        </w:tc>
        <w:tc>
          <w:tcPr>
            <w:tcW w:w="1530" w:type="dxa"/>
            <w:tcBorders>
              <w:top w:val="nil"/>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IMCO</w:t>
            </w:r>
          </w:p>
          <w:p w:rsidR="00C62471" w:rsidRDefault="00EC37EF">
            <w:pPr>
              <w:autoSpaceDE w:val="0"/>
              <w:autoSpaceDN w:val="0"/>
              <w:adjustRightInd w:val="0"/>
              <w:rPr>
                <w:color w:val="000000"/>
                <w:sz w:val="20"/>
              </w:rPr>
            </w:pPr>
            <w:r>
              <w:rPr>
                <w:color w:val="000000"/>
                <w:sz w:val="20"/>
              </w:rPr>
              <w:t>24.1.2024</w:t>
            </w:r>
          </w:p>
        </w:tc>
        <w:tc>
          <w:tcPr>
            <w:tcW w:w="1474" w:type="dxa"/>
            <w:tcBorders>
              <w:top w:val="nil"/>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CULT</w:t>
            </w:r>
          </w:p>
          <w:p w:rsidR="00C62471" w:rsidRDefault="00EC37EF">
            <w:pPr>
              <w:autoSpaceDE w:val="0"/>
              <w:autoSpaceDN w:val="0"/>
              <w:adjustRightInd w:val="0"/>
              <w:rPr>
                <w:color w:val="000000"/>
                <w:sz w:val="20"/>
              </w:rPr>
            </w:pPr>
            <w:r>
              <w:rPr>
                <w:color w:val="000000"/>
                <w:sz w:val="20"/>
              </w:rPr>
              <w:t>11.1.2024</w:t>
            </w:r>
          </w:p>
        </w:tc>
        <w:tc>
          <w:tcPr>
            <w:tcW w:w="1474" w:type="dxa"/>
            <w:tcBorders>
              <w:top w:val="nil"/>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FEMM</w:t>
            </w:r>
          </w:p>
          <w:p w:rsidR="00C62471" w:rsidRDefault="00EC37EF">
            <w:pPr>
              <w:autoSpaceDE w:val="0"/>
              <w:autoSpaceDN w:val="0"/>
              <w:adjustRightInd w:val="0"/>
              <w:rPr>
                <w:color w:val="000000"/>
                <w:sz w:val="20"/>
              </w:rPr>
            </w:pPr>
            <w:r>
              <w:rPr>
                <w:color w:val="000000"/>
                <w:sz w:val="20"/>
              </w:rPr>
              <w:t>14.12.2023</w:t>
            </w: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r>
      <w:tr w:rsidR="00B015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Rapporteurs</w:t>
            </w:r>
          </w:p>
          <w:p w:rsidR="00C62471" w:rsidRDefault="00EC37EF">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Birgit Sippel</w:t>
            </w:r>
          </w:p>
          <w:p w:rsidR="00C62471" w:rsidRDefault="00EC37EF">
            <w:pPr>
              <w:autoSpaceDE w:val="0"/>
              <w:autoSpaceDN w:val="0"/>
              <w:adjustRightInd w:val="0"/>
              <w:rPr>
                <w:color w:val="000000"/>
                <w:sz w:val="20"/>
              </w:rPr>
            </w:pPr>
            <w:r>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r>
      <w:tr w:rsidR="00B015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31.1.2024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2471" w:rsidRDefault="00C62471">
            <w:pPr>
              <w:autoSpaceDE w:val="0"/>
              <w:autoSpaceDN w:val="0"/>
              <w:adjustRightInd w:val="0"/>
              <w:rPr>
                <w:rFonts w:ascii="sans-serif" w:hAnsi="sans-serif" w:cs="sans-serif"/>
                <w:color w:val="000000"/>
                <w:szCs w:val="24"/>
              </w:rPr>
            </w:pPr>
          </w:p>
        </w:tc>
      </w:tr>
      <w:tr w:rsidR="00B015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w:t>
            </w:r>
          </w:p>
          <w:p w:rsidR="00C62471" w:rsidRDefault="00EC37EF">
            <w:pPr>
              <w:autoSpaceDE w:val="0"/>
              <w:autoSpaceDN w:val="0"/>
              <w:adjustRightInd w:val="0"/>
              <w:rPr>
                <w:color w:val="000000"/>
                <w:sz w:val="20"/>
              </w:rPr>
            </w:pPr>
            <w:r>
              <w:rPr>
                <w:color w:val="000000"/>
                <w:sz w:val="20"/>
              </w:rPr>
              <w:t>–:</w:t>
            </w:r>
          </w:p>
          <w:p w:rsidR="00C62471" w:rsidRDefault="00EC37E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43</w:t>
            </w:r>
          </w:p>
          <w:p w:rsidR="00C62471" w:rsidRDefault="00EC37EF">
            <w:pPr>
              <w:autoSpaceDE w:val="0"/>
              <w:autoSpaceDN w:val="0"/>
              <w:adjustRightInd w:val="0"/>
              <w:rPr>
                <w:color w:val="000000"/>
                <w:sz w:val="20"/>
              </w:rPr>
            </w:pPr>
            <w:r>
              <w:rPr>
                <w:color w:val="000000"/>
                <w:sz w:val="20"/>
              </w:rPr>
              <w:t>19</w:t>
            </w:r>
          </w:p>
          <w:p w:rsidR="00C62471" w:rsidRDefault="00EC37EF">
            <w:pPr>
              <w:autoSpaceDE w:val="0"/>
              <w:autoSpaceDN w:val="0"/>
              <w:adjustRightInd w:val="0"/>
              <w:rPr>
                <w:color w:val="000000"/>
                <w:sz w:val="20"/>
              </w:rPr>
            </w:pPr>
            <w:r>
              <w:rPr>
                <w:color w:val="000000"/>
                <w:sz w:val="20"/>
              </w:rPr>
              <w:t>4</w:t>
            </w:r>
          </w:p>
        </w:tc>
      </w:tr>
      <w:tr w:rsidR="00B0152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 xml:space="preserve">Katarina </w:t>
            </w:r>
            <w:r>
              <w:rPr>
                <w:color w:val="000000"/>
                <w:sz w:val="20"/>
              </w:rPr>
              <w:t>Barley, Pietro Bartolo, Theresa Bielowski, Vladimír Bilčík, Karolin Braunsberger-Reinhold, Patrick Breyer, Saskia Bricmont, Annika Bruna, Jorge Buxadé Villalba, Damien Carême, Patricia Chagnon, Clare Daly, Lena Düpont, Lucia Ďuriš Nicholsonová, Cornelia Er</w:t>
            </w:r>
            <w:r>
              <w:rPr>
                <w:color w:val="000000"/>
                <w:sz w:val="20"/>
              </w:rPr>
              <w:t>nst, Nicolaus Fest, Sylvie Guillaume, Andrzej Halicki, Sophia in ‘t Veld, Marina Kaljurand, Assita Kanko, Moritz Körner, Jeroen Lenaers, Juan Fernando López Aguilar, Nuno Melo, Nadine Morano, Javier Moreno Sánchez, Maite Pagazaurtundúa, Paulo Rangel, Karlo</w:t>
            </w:r>
            <w:r>
              <w:rPr>
                <w:color w:val="000000"/>
                <w:sz w:val="20"/>
              </w:rPr>
              <w:t xml:space="preserve"> Ressler, Diana Riba i Giner, Birgit Sippel, Martin Sonneborn, Tineke Strik, Ramona Strugariu, Annalisa Tardino, Tomas Tobé, Elena Yoncheva</w:t>
            </w:r>
          </w:p>
        </w:tc>
      </w:tr>
      <w:tr w:rsidR="00B0152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 xml:space="preserve">Delara Burkhardt, Susanna Ceccardi, Gwendoline Delbos-Corfield, Daniel </w:t>
            </w:r>
            <w:r>
              <w:rPr>
                <w:color w:val="000000"/>
                <w:sz w:val="20"/>
              </w:rPr>
              <w:t>Freund, José Gusmão, Beata Kempa, Jaak Madison, Philippe Olivier, Anne-Sophie Pelletier, Paul Tang, Róża Thun und Hohenstein, Loránt Vincze, Petar Vitanov, Juan Ignacio Zoido Álvarez</w:t>
            </w:r>
          </w:p>
        </w:tc>
      </w:tr>
      <w:tr w:rsidR="00B0152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 xml:space="preserve">Isabel </w:t>
            </w:r>
            <w:r>
              <w:rPr>
                <w:color w:val="000000"/>
                <w:sz w:val="20"/>
              </w:rPr>
              <w:t>Benjumea Benjumea, Ana Collado Jiménez, Margarita de la Pisa Carrión, Emmanouil Fragkos, José Manuel García-Margallo y Marfil, Vlad Gheorghe, Svenja Hahn, Petra Kammerevert, Miapetra Kumpula-Natri, Antonio López-Istúriz White, Francisco José Millán Mon, Al</w:t>
            </w:r>
            <w:r>
              <w:rPr>
                <w:color w:val="000000"/>
                <w:sz w:val="20"/>
              </w:rPr>
              <w:t>in Mituța, Dolors Montserrat, Hermann Tertsch</w:t>
            </w:r>
          </w:p>
        </w:tc>
      </w:tr>
      <w:tr w:rsidR="00B0152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2471" w:rsidRDefault="00EC37EF">
            <w:pPr>
              <w:autoSpaceDE w:val="0"/>
              <w:autoSpaceDN w:val="0"/>
              <w:adjustRightInd w:val="0"/>
              <w:rPr>
                <w:color w:val="000000"/>
                <w:sz w:val="20"/>
              </w:rPr>
            </w:pPr>
            <w:r>
              <w:rPr>
                <w:color w:val="000000"/>
                <w:sz w:val="20"/>
              </w:rPr>
              <w:t>1.2.2024</w:t>
            </w:r>
          </w:p>
        </w:tc>
      </w:tr>
    </w:tbl>
    <w:p w:rsidR="00C62471" w:rsidRDefault="00C62471"/>
    <w:bookmarkEnd w:id="7"/>
    <w:p w:rsidR="00AA5C01" w:rsidRDefault="00AA5C01" w:rsidP="00AA5C01">
      <w:pPr>
        <w:sectPr w:rsidR="00AA5C01" w:rsidSect="00AA5C0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A5C01" w:rsidRPr="00AA5C01" w:rsidRDefault="00AA5C01" w:rsidP="00AA5C01"/>
    <w:p w:rsidR="00AA5C01" w:rsidRPr="0099178F" w:rsidRDefault="00EC37EF" w:rsidP="008B71C9">
      <w:pPr>
        <w:pStyle w:val="PageHeading"/>
      </w:pPr>
      <w:bookmarkStart w:id="9" w:name="RollCallPageRR"/>
      <w:bookmarkStart w:id="10" w:name="_Toc158891029"/>
      <w:r>
        <w:t>VOTE FINAL PAR APPEL NOMINAL</w:t>
      </w:r>
      <w:r>
        <w:br/>
        <w:t>EN COMMISSION COMPÉTENTE AU FOND</w:t>
      </w:r>
      <w:bookmarkEnd w:id="1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1527" w:rsidTr="008A1C6E">
        <w:trPr>
          <w:cantSplit/>
        </w:trPr>
        <w:tc>
          <w:tcPr>
            <w:tcW w:w="1701" w:type="dxa"/>
            <w:shd w:val="pct10" w:color="000000" w:fill="FFFFFF"/>
            <w:vAlign w:val="center"/>
          </w:tcPr>
          <w:p w:rsidR="00AA5C01" w:rsidRPr="00B71C41" w:rsidRDefault="00EC37EF" w:rsidP="008A1C6E">
            <w:pPr>
              <w:pStyle w:val="RollCallVotes"/>
            </w:pPr>
            <w:r>
              <w:t>43</w:t>
            </w:r>
          </w:p>
        </w:tc>
        <w:tc>
          <w:tcPr>
            <w:tcW w:w="7371" w:type="dxa"/>
            <w:shd w:val="pct10" w:color="000000" w:fill="FFFFFF"/>
          </w:tcPr>
          <w:p w:rsidR="00AA5C01" w:rsidRPr="00B71C41" w:rsidRDefault="00EC37EF" w:rsidP="008A1C6E">
            <w:pPr>
              <w:pStyle w:val="RollCallSymbols14pt"/>
            </w:pPr>
            <w:r>
              <w:t>+</w:t>
            </w:r>
          </w:p>
        </w:tc>
      </w:tr>
      <w:tr w:rsidR="00B01527" w:rsidTr="008A1C6E">
        <w:trPr>
          <w:cantSplit/>
        </w:trPr>
        <w:tc>
          <w:tcPr>
            <w:tcW w:w="1701" w:type="dxa"/>
            <w:shd w:val="clear" w:color="auto" w:fill="FFFFFF"/>
          </w:tcPr>
          <w:p w:rsidR="00AA5C01" w:rsidRPr="00B71C41" w:rsidRDefault="00EC37EF" w:rsidP="008A1C6E">
            <w:pPr>
              <w:pStyle w:val="RollCallTable"/>
            </w:pPr>
            <w:r>
              <w:t>ECR</w:t>
            </w:r>
          </w:p>
        </w:tc>
        <w:tc>
          <w:tcPr>
            <w:tcW w:w="7371" w:type="dxa"/>
            <w:shd w:val="clear" w:color="auto" w:fill="FFFFFF"/>
          </w:tcPr>
          <w:p w:rsidR="00AA5C01" w:rsidRPr="00B71C41" w:rsidRDefault="00EC37EF" w:rsidP="008A1C6E">
            <w:pPr>
              <w:pStyle w:val="RollCallTable"/>
            </w:pPr>
            <w:r>
              <w:t>Jorge Buxadé Villalba, Emmanouil Fragkos, Assita Kanko, Beata Kempa, Margarita de</w:t>
            </w:r>
            <w:r>
              <w:t xml:space="preserve"> la Pisa Carrión, Hermann Tertsch</w:t>
            </w:r>
          </w:p>
        </w:tc>
      </w:tr>
      <w:tr w:rsidR="00B01527" w:rsidTr="008A1C6E">
        <w:trPr>
          <w:cantSplit/>
        </w:trPr>
        <w:tc>
          <w:tcPr>
            <w:tcW w:w="1701" w:type="dxa"/>
            <w:shd w:val="clear" w:color="auto" w:fill="FFFFFF"/>
          </w:tcPr>
          <w:p w:rsidR="00AA5C01" w:rsidRPr="00B71C41" w:rsidRDefault="00EC37EF" w:rsidP="008A1C6E">
            <w:pPr>
              <w:pStyle w:val="RollCallTable"/>
            </w:pPr>
            <w:r>
              <w:t>ID</w:t>
            </w:r>
          </w:p>
        </w:tc>
        <w:tc>
          <w:tcPr>
            <w:tcW w:w="7371" w:type="dxa"/>
            <w:shd w:val="clear" w:color="auto" w:fill="FFFFFF"/>
          </w:tcPr>
          <w:p w:rsidR="00AA5C01" w:rsidRPr="00B71C41" w:rsidRDefault="00EC37EF" w:rsidP="008A1C6E">
            <w:pPr>
              <w:pStyle w:val="RollCallTable"/>
            </w:pPr>
            <w:r>
              <w:t>Annika Bruna, Patricia Chagnon, Philippe Olivier</w:t>
            </w:r>
          </w:p>
        </w:tc>
      </w:tr>
      <w:tr w:rsidR="00B01527" w:rsidTr="008A1C6E">
        <w:trPr>
          <w:cantSplit/>
        </w:trPr>
        <w:tc>
          <w:tcPr>
            <w:tcW w:w="1701" w:type="dxa"/>
            <w:shd w:val="clear" w:color="auto" w:fill="FFFFFF"/>
          </w:tcPr>
          <w:p w:rsidR="00AA5C01" w:rsidRPr="00B71C41" w:rsidRDefault="00EC37EF" w:rsidP="008A1C6E">
            <w:pPr>
              <w:pStyle w:val="RollCallTable"/>
            </w:pPr>
            <w:r>
              <w:t>PPE</w:t>
            </w:r>
          </w:p>
        </w:tc>
        <w:tc>
          <w:tcPr>
            <w:tcW w:w="7371" w:type="dxa"/>
            <w:shd w:val="clear" w:color="auto" w:fill="FFFFFF"/>
          </w:tcPr>
          <w:p w:rsidR="00AA5C01" w:rsidRPr="00B71C41" w:rsidRDefault="00EC37EF" w:rsidP="008A1C6E">
            <w:pPr>
              <w:pStyle w:val="RollCallTable"/>
            </w:pPr>
            <w:r>
              <w:t xml:space="preserve">Isabel Benjumea Benjumea, Vladimír Bilčík, Karolin Braunsberger-Reinhold, Ana Collado Jiménez, Lena Düpont, José Manuel García-Margallo y Marfil, Andrzej Halicki, </w:t>
            </w:r>
            <w:r>
              <w:t>Jeroen Lenaers, Antonio López-Istúriz White, Nuno Melo, Francisco José Millán Mon, Dolors Montserrat, Nadine Morano, Paulo Rangel, Karlo Ressler, Tomas Tobé, Loránt Vincze, Juan Ignacio Zoido Álvarez</w:t>
            </w:r>
          </w:p>
        </w:tc>
      </w:tr>
      <w:tr w:rsidR="00B01527" w:rsidTr="008A1C6E">
        <w:trPr>
          <w:cantSplit/>
        </w:trPr>
        <w:tc>
          <w:tcPr>
            <w:tcW w:w="1701" w:type="dxa"/>
            <w:shd w:val="clear" w:color="auto" w:fill="FFFFFF"/>
          </w:tcPr>
          <w:p w:rsidR="00AA5C01" w:rsidRPr="00B71C41" w:rsidRDefault="00EC37EF" w:rsidP="008A1C6E">
            <w:pPr>
              <w:pStyle w:val="RollCallTable"/>
            </w:pPr>
            <w:r>
              <w:t>Renew</w:t>
            </w:r>
          </w:p>
        </w:tc>
        <w:tc>
          <w:tcPr>
            <w:tcW w:w="7371" w:type="dxa"/>
            <w:shd w:val="clear" w:color="auto" w:fill="FFFFFF"/>
          </w:tcPr>
          <w:p w:rsidR="00AA5C01" w:rsidRPr="00B71C41" w:rsidRDefault="00EC37EF" w:rsidP="008A1C6E">
            <w:pPr>
              <w:pStyle w:val="RollCallTable"/>
            </w:pPr>
            <w:r>
              <w:t>Lucia Ďuriš Nicholsonová, Vlad Gheorghe, Alin Mit</w:t>
            </w:r>
            <w:r>
              <w:t>uța, Maite Pagazaurtundúa, Ramona Strugariu</w:t>
            </w:r>
          </w:p>
        </w:tc>
      </w:tr>
      <w:tr w:rsidR="00B01527" w:rsidTr="008A1C6E">
        <w:trPr>
          <w:cantSplit/>
        </w:trPr>
        <w:tc>
          <w:tcPr>
            <w:tcW w:w="1701" w:type="dxa"/>
            <w:shd w:val="clear" w:color="auto" w:fill="FFFFFF"/>
          </w:tcPr>
          <w:p w:rsidR="00AA5C01" w:rsidRPr="00B71C41" w:rsidRDefault="00EC37EF" w:rsidP="008A1C6E">
            <w:pPr>
              <w:pStyle w:val="RollCallTable"/>
            </w:pPr>
            <w:r>
              <w:t>S&amp;D</w:t>
            </w:r>
          </w:p>
        </w:tc>
        <w:tc>
          <w:tcPr>
            <w:tcW w:w="7371" w:type="dxa"/>
            <w:shd w:val="clear" w:color="auto" w:fill="FFFFFF"/>
          </w:tcPr>
          <w:p w:rsidR="00AA5C01" w:rsidRPr="00B71C41" w:rsidRDefault="00EC37EF" w:rsidP="008A1C6E">
            <w:pPr>
              <w:pStyle w:val="RollCallTable"/>
            </w:pPr>
            <w:r>
              <w:t>Katarina Barley, Pietro Bartolo, Theresa Bielowski, Sylvie Guillaume, Marina Kaljurand, Miapetra Kumpula-Natri, Juan Fernando López Aguilar, Javier Moreno Sánchez, Birgit Sippel, Petar Vitanov, Elena Yonchev</w:t>
            </w:r>
            <w:r>
              <w:t>a</w:t>
            </w:r>
          </w:p>
        </w:tc>
      </w:tr>
    </w:tbl>
    <w:p w:rsidR="00AA5C01" w:rsidRPr="00B71C41" w:rsidRDefault="00AA5C01" w:rsidP="00AA5C0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1527" w:rsidTr="008A1C6E">
        <w:trPr>
          <w:cantSplit/>
        </w:trPr>
        <w:tc>
          <w:tcPr>
            <w:tcW w:w="1701" w:type="dxa"/>
            <w:shd w:val="pct10" w:color="000000" w:fill="FFFFFF"/>
            <w:vAlign w:val="center"/>
          </w:tcPr>
          <w:p w:rsidR="00AA5C01" w:rsidRPr="00B71C41" w:rsidRDefault="00EC37EF" w:rsidP="008A1C6E">
            <w:pPr>
              <w:pStyle w:val="RollCallVotes"/>
            </w:pPr>
            <w:r>
              <w:t>19</w:t>
            </w:r>
          </w:p>
        </w:tc>
        <w:tc>
          <w:tcPr>
            <w:tcW w:w="7371" w:type="dxa"/>
            <w:shd w:val="pct10" w:color="000000" w:fill="FFFFFF"/>
          </w:tcPr>
          <w:p w:rsidR="00AA5C01" w:rsidRPr="00B71C41" w:rsidRDefault="00EC37EF" w:rsidP="008A1C6E">
            <w:pPr>
              <w:pStyle w:val="RollCallSymbols14pt"/>
            </w:pPr>
            <w:r>
              <w:t>-</w:t>
            </w:r>
          </w:p>
        </w:tc>
      </w:tr>
      <w:tr w:rsidR="00B01527" w:rsidTr="008A1C6E">
        <w:trPr>
          <w:cantSplit/>
        </w:trPr>
        <w:tc>
          <w:tcPr>
            <w:tcW w:w="1701" w:type="dxa"/>
            <w:shd w:val="clear" w:color="auto" w:fill="FFFFFF"/>
          </w:tcPr>
          <w:p w:rsidR="00AA5C01" w:rsidRPr="00B71C41" w:rsidRDefault="00EC37EF" w:rsidP="008A1C6E">
            <w:pPr>
              <w:pStyle w:val="RollCallTable"/>
            </w:pPr>
            <w:r>
              <w:t>ID</w:t>
            </w:r>
          </w:p>
        </w:tc>
        <w:tc>
          <w:tcPr>
            <w:tcW w:w="7371" w:type="dxa"/>
            <w:shd w:val="clear" w:color="auto" w:fill="FFFFFF"/>
          </w:tcPr>
          <w:p w:rsidR="00AA5C01" w:rsidRPr="00B71C41" w:rsidRDefault="00EC37EF" w:rsidP="008A1C6E">
            <w:pPr>
              <w:pStyle w:val="RollCallTable"/>
            </w:pPr>
            <w:r>
              <w:t>Nicolaus Fest</w:t>
            </w:r>
          </w:p>
        </w:tc>
      </w:tr>
      <w:tr w:rsidR="00B01527" w:rsidTr="008A1C6E">
        <w:trPr>
          <w:cantSplit/>
        </w:trPr>
        <w:tc>
          <w:tcPr>
            <w:tcW w:w="1701" w:type="dxa"/>
            <w:shd w:val="clear" w:color="auto" w:fill="FFFFFF"/>
          </w:tcPr>
          <w:p w:rsidR="00AA5C01" w:rsidRPr="00B71C41" w:rsidRDefault="00EC37EF" w:rsidP="008A1C6E">
            <w:pPr>
              <w:pStyle w:val="RollCallTable"/>
            </w:pPr>
            <w:r>
              <w:t>NI</w:t>
            </w:r>
          </w:p>
        </w:tc>
        <w:tc>
          <w:tcPr>
            <w:tcW w:w="7371" w:type="dxa"/>
            <w:shd w:val="clear" w:color="auto" w:fill="FFFFFF"/>
          </w:tcPr>
          <w:p w:rsidR="00AA5C01" w:rsidRPr="00B71C41" w:rsidRDefault="00EC37EF" w:rsidP="008A1C6E">
            <w:pPr>
              <w:pStyle w:val="RollCallTable"/>
            </w:pPr>
            <w:r>
              <w:t>Martin Sonneborn</w:t>
            </w:r>
          </w:p>
        </w:tc>
      </w:tr>
      <w:tr w:rsidR="00B01527" w:rsidTr="008A1C6E">
        <w:trPr>
          <w:cantSplit/>
        </w:trPr>
        <w:tc>
          <w:tcPr>
            <w:tcW w:w="1701" w:type="dxa"/>
            <w:shd w:val="clear" w:color="auto" w:fill="FFFFFF"/>
          </w:tcPr>
          <w:p w:rsidR="00AA5C01" w:rsidRPr="00B71C41" w:rsidRDefault="00EC37EF" w:rsidP="008A1C6E">
            <w:pPr>
              <w:pStyle w:val="RollCallTable"/>
            </w:pPr>
            <w:r>
              <w:t>Renew</w:t>
            </w:r>
          </w:p>
        </w:tc>
        <w:tc>
          <w:tcPr>
            <w:tcW w:w="7371" w:type="dxa"/>
            <w:shd w:val="clear" w:color="auto" w:fill="FFFFFF"/>
          </w:tcPr>
          <w:p w:rsidR="00AA5C01" w:rsidRPr="001107EB" w:rsidRDefault="00EC37EF" w:rsidP="008A1C6E">
            <w:pPr>
              <w:pStyle w:val="RollCallTable"/>
            </w:pPr>
            <w:r>
              <w:t>Svenja Hahn, Sophia in 't Veld, Moritz Körner, Róża Thun und Hohenstein</w:t>
            </w:r>
          </w:p>
        </w:tc>
      </w:tr>
      <w:tr w:rsidR="00B01527" w:rsidTr="008A1C6E">
        <w:trPr>
          <w:cantSplit/>
        </w:trPr>
        <w:tc>
          <w:tcPr>
            <w:tcW w:w="1701" w:type="dxa"/>
            <w:shd w:val="clear" w:color="auto" w:fill="FFFFFF"/>
          </w:tcPr>
          <w:p w:rsidR="00AA5C01" w:rsidRPr="00B71C41" w:rsidRDefault="00EC37EF" w:rsidP="008A1C6E">
            <w:pPr>
              <w:pStyle w:val="RollCallTable"/>
            </w:pPr>
            <w:r>
              <w:t>S&amp;D</w:t>
            </w:r>
          </w:p>
        </w:tc>
        <w:tc>
          <w:tcPr>
            <w:tcW w:w="7371" w:type="dxa"/>
            <w:shd w:val="clear" w:color="auto" w:fill="FFFFFF"/>
          </w:tcPr>
          <w:p w:rsidR="00AA5C01" w:rsidRPr="00B71C41" w:rsidRDefault="00EC37EF" w:rsidP="008A1C6E">
            <w:pPr>
              <w:pStyle w:val="RollCallTable"/>
            </w:pPr>
            <w:r>
              <w:t>Petra Kammerevert, Paul Tang</w:t>
            </w:r>
          </w:p>
        </w:tc>
      </w:tr>
      <w:tr w:rsidR="00B01527" w:rsidTr="008A1C6E">
        <w:trPr>
          <w:cantSplit/>
        </w:trPr>
        <w:tc>
          <w:tcPr>
            <w:tcW w:w="1701" w:type="dxa"/>
            <w:shd w:val="clear" w:color="auto" w:fill="FFFFFF"/>
          </w:tcPr>
          <w:p w:rsidR="00AA5C01" w:rsidRPr="00B71C41" w:rsidRDefault="00EC37EF" w:rsidP="008A1C6E">
            <w:pPr>
              <w:pStyle w:val="RollCallTable"/>
            </w:pPr>
            <w:r>
              <w:t>The Left</w:t>
            </w:r>
          </w:p>
        </w:tc>
        <w:tc>
          <w:tcPr>
            <w:tcW w:w="7371" w:type="dxa"/>
            <w:shd w:val="clear" w:color="auto" w:fill="FFFFFF"/>
          </w:tcPr>
          <w:p w:rsidR="00AA5C01" w:rsidRPr="00B71C41" w:rsidRDefault="00EC37EF" w:rsidP="008A1C6E">
            <w:pPr>
              <w:pStyle w:val="RollCallTable"/>
            </w:pPr>
            <w:r>
              <w:t>Clare Daly, Cornelia Ernst, José Gusmão, Anne-Sophie Pelletier</w:t>
            </w:r>
          </w:p>
        </w:tc>
      </w:tr>
      <w:tr w:rsidR="00B01527" w:rsidTr="008A1C6E">
        <w:trPr>
          <w:cantSplit/>
        </w:trPr>
        <w:tc>
          <w:tcPr>
            <w:tcW w:w="1701" w:type="dxa"/>
            <w:shd w:val="clear" w:color="auto" w:fill="FFFFFF"/>
          </w:tcPr>
          <w:p w:rsidR="00AA5C01" w:rsidRPr="00B71C41" w:rsidRDefault="00EC37EF" w:rsidP="008A1C6E">
            <w:pPr>
              <w:pStyle w:val="RollCallTable"/>
            </w:pPr>
            <w:r>
              <w:t>Verts/ALE</w:t>
            </w:r>
          </w:p>
        </w:tc>
        <w:tc>
          <w:tcPr>
            <w:tcW w:w="7371" w:type="dxa"/>
            <w:shd w:val="clear" w:color="auto" w:fill="FFFFFF"/>
          </w:tcPr>
          <w:p w:rsidR="00AA5C01" w:rsidRPr="00B71C41" w:rsidRDefault="00EC37EF" w:rsidP="008A1C6E">
            <w:pPr>
              <w:pStyle w:val="RollCallTable"/>
            </w:pPr>
            <w:r>
              <w:t xml:space="preserve">Patrick </w:t>
            </w:r>
            <w:r>
              <w:t>Breyer, Saskia Bricmont, Damien Carême, Gwendoline Delbos-Corfield, Daniel Freund, Diana Riba i Giner, Tineke Strik</w:t>
            </w:r>
          </w:p>
        </w:tc>
      </w:tr>
    </w:tbl>
    <w:p w:rsidR="00AA5C01" w:rsidRPr="00B71C41" w:rsidRDefault="00AA5C01" w:rsidP="00AA5C01"/>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1527" w:rsidTr="008A1C6E">
        <w:trPr>
          <w:cantSplit/>
        </w:trPr>
        <w:tc>
          <w:tcPr>
            <w:tcW w:w="1701" w:type="dxa"/>
            <w:shd w:val="pct10" w:color="000000" w:fill="FFFFFF"/>
            <w:vAlign w:val="center"/>
          </w:tcPr>
          <w:p w:rsidR="00AA5C01" w:rsidRPr="00B71C41" w:rsidRDefault="00EC37EF" w:rsidP="008A1C6E">
            <w:pPr>
              <w:pStyle w:val="RollCallVotes"/>
            </w:pPr>
            <w:r>
              <w:t>4</w:t>
            </w:r>
          </w:p>
        </w:tc>
        <w:tc>
          <w:tcPr>
            <w:tcW w:w="7371" w:type="dxa"/>
            <w:shd w:val="pct10" w:color="000000" w:fill="FFFFFF"/>
          </w:tcPr>
          <w:p w:rsidR="00AA5C01" w:rsidRPr="00B71C41" w:rsidRDefault="00EC37EF" w:rsidP="008A1C6E">
            <w:pPr>
              <w:pStyle w:val="RollCallSymbols14pt"/>
            </w:pPr>
            <w:r>
              <w:t>0</w:t>
            </w:r>
          </w:p>
        </w:tc>
      </w:tr>
      <w:tr w:rsidR="00B01527" w:rsidTr="008A1C6E">
        <w:trPr>
          <w:cantSplit/>
        </w:trPr>
        <w:tc>
          <w:tcPr>
            <w:tcW w:w="1701" w:type="dxa"/>
            <w:shd w:val="clear" w:color="auto" w:fill="FFFFFF"/>
          </w:tcPr>
          <w:p w:rsidR="00AA5C01" w:rsidRPr="00B71C41" w:rsidRDefault="00EC37EF" w:rsidP="008A1C6E">
            <w:pPr>
              <w:pStyle w:val="RollCallTable"/>
            </w:pPr>
            <w:r>
              <w:t>ID</w:t>
            </w:r>
          </w:p>
        </w:tc>
        <w:tc>
          <w:tcPr>
            <w:tcW w:w="7371" w:type="dxa"/>
            <w:shd w:val="clear" w:color="auto" w:fill="FFFFFF"/>
          </w:tcPr>
          <w:p w:rsidR="00AA5C01" w:rsidRPr="001107EB" w:rsidRDefault="00EC37EF" w:rsidP="008A1C6E">
            <w:pPr>
              <w:pStyle w:val="RollCallTable"/>
            </w:pPr>
            <w:r>
              <w:t>Susanna Ceccardi, Jaak Madison, Annalisa Tardino</w:t>
            </w:r>
          </w:p>
        </w:tc>
      </w:tr>
      <w:tr w:rsidR="00B01527" w:rsidTr="008A1C6E">
        <w:trPr>
          <w:cantSplit/>
        </w:trPr>
        <w:tc>
          <w:tcPr>
            <w:tcW w:w="1701" w:type="dxa"/>
            <w:shd w:val="clear" w:color="auto" w:fill="FFFFFF"/>
          </w:tcPr>
          <w:p w:rsidR="00AA5C01" w:rsidRPr="00B71C41" w:rsidRDefault="00EC37EF" w:rsidP="008A1C6E">
            <w:pPr>
              <w:pStyle w:val="RollCallTable"/>
            </w:pPr>
            <w:r>
              <w:t>S&amp;D</w:t>
            </w:r>
          </w:p>
        </w:tc>
        <w:tc>
          <w:tcPr>
            <w:tcW w:w="7371" w:type="dxa"/>
            <w:shd w:val="clear" w:color="auto" w:fill="FFFFFF"/>
          </w:tcPr>
          <w:p w:rsidR="00AA5C01" w:rsidRPr="00B71C41" w:rsidRDefault="00EC37EF" w:rsidP="008A1C6E">
            <w:pPr>
              <w:pStyle w:val="RollCallTable"/>
            </w:pPr>
            <w:r>
              <w:t>Delara Burkhardt</w:t>
            </w:r>
          </w:p>
        </w:tc>
      </w:tr>
    </w:tbl>
    <w:p w:rsidR="00AA5C01" w:rsidRDefault="00AA5C01" w:rsidP="00147FBF">
      <w:pPr>
        <w:pStyle w:val="Normal12a"/>
      </w:pPr>
    </w:p>
    <w:p w:rsidR="00AA5C01" w:rsidRDefault="00EC37EF" w:rsidP="00B735E3">
      <w:r>
        <w:t>Légende des signes utilisés:</w:t>
      </w:r>
    </w:p>
    <w:p w:rsidR="00AA5C01" w:rsidRDefault="00EC37EF" w:rsidP="001C6342">
      <w:pPr>
        <w:pStyle w:val="RollCallTabs"/>
      </w:pPr>
      <w:r>
        <w:t>+</w:t>
      </w:r>
      <w:r>
        <w:tab/>
        <w:t>:</w:t>
      </w:r>
      <w:r>
        <w:tab/>
        <w:t>pour</w:t>
      </w:r>
    </w:p>
    <w:p w:rsidR="00AA5C01" w:rsidRDefault="00EC37EF" w:rsidP="001C6342">
      <w:pPr>
        <w:pStyle w:val="RollCallTabs"/>
      </w:pPr>
      <w:r>
        <w:t>-</w:t>
      </w:r>
      <w:r>
        <w:tab/>
        <w:t>:</w:t>
      </w:r>
      <w:r>
        <w:tab/>
        <w:t>contre</w:t>
      </w:r>
    </w:p>
    <w:p w:rsidR="00AA5C01" w:rsidRDefault="00EC37EF" w:rsidP="001C6342">
      <w:pPr>
        <w:pStyle w:val="RollCallTabs"/>
      </w:pPr>
      <w:r>
        <w:t>0</w:t>
      </w:r>
      <w:r>
        <w:tab/>
        <w:t>:</w:t>
      </w:r>
      <w:r>
        <w:tab/>
      </w:r>
      <w:r>
        <w:t>abstention</w:t>
      </w:r>
    </w:p>
    <w:p w:rsidR="00AA5C01" w:rsidRDefault="00AA5C01" w:rsidP="00AD5932"/>
    <w:bookmarkEnd w:id="9"/>
    <w:p w:rsidR="002669B6" w:rsidRPr="00AA5C01" w:rsidRDefault="002669B6" w:rsidP="00AA5C01"/>
    <w:sectPr w:rsidR="002669B6" w:rsidRPr="00AA5C01" w:rsidSect="00AA5C0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C37EF">
      <w:r>
        <w:separator/>
      </w:r>
    </w:p>
  </w:endnote>
  <w:endnote w:type="continuationSeparator" w:id="0">
    <w:p w:rsidR="00000000" w:rsidRDefault="00EC3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71" w:rsidRDefault="00EC37EF" w:rsidP="00C62471">
    <w:pPr>
      <w:pStyle w:val="EPFooter"/>
    </w:pPr>
    <w:r>
      <w:t>PE</w:t>
    </w:r>
    <w:r w:rsidRPr="00C62471">
      <w:rPr>
        <w:rStyle w:val="HideTWBExt"/>
      </w:rPr>
      <w:t>&lt;NoPE&gt;</w:t>
    </w:r>
    <w:r>
      <w:t>758.054</w:t>
    </w:r>
    <w:r w:rsidRPr="00C62471">
      <w:rPr>
        <w:rStyle w:val="HideTWBExt"/>
      </w:rPr>
      <w:t>&lt;/NoPE&gt;&lt;Version&gt;</w:t>
    </w:r>
    <w:r>
      <w:t>v02-00</w:t>
    </w:r>
    <w:r w:rsidRPr="00C62471">
      <w:rPr>
        <w:rStyle w:val="HideTWBExt"/>
      </w:rPr>
      <w:t>&lt;/Version&gt;</w:t>
    </w:r>
    <w:r>
      <w:tab/>
    </w:r>
    <w:r>
      <w:fldChar w:fldCharType="begin"/>
    </w:r>
    <w:r>
      <w:instrText xml:space="preserve"> PAGE  \* MERGEFORMAT </w:instrText>
    </w:r>
    <w:r>
      <w:fldChar w:fldCharType="separate"/>
    </w:r>
    <w:r>
      <w:rPr>
        <w:noProof/>
      </w:rPr>
      <w:t>14</w:t>
    </w:r>
    <w:r>
      <w:fldChar w:fldCharType="end"/>
    </w:r>
    <w:r>
      <w:t>/</w:t>
    </w:r>
    <w:fldSimple w:instr=" NUMPAGES  \* MERGEFORMAT ">
      <w:r>
        <w:rPr>
          <w:noProof/>
        </w:rPr>
        <w:t>20</w:t>
      </w:r>
    </w:fldSimple>
    <w:r>
      <w:tab/>
    </w:r>
    <w:r w:rsidRPr="00C62471">
      <w:rPr>
        <w:rStyle w:val="HideTWBExt"/>
      </w:rPr>
      <w:t>&lt;PathFdR&gt;</w:t>
    </w:r>
    <w:r>
      <w:t>RR\1295854FR.docx</w:t>
    </w:r>
    <w:r w:rsidRPr="00C62471">
      <w:rPr>
        <w:rStyle w:val="HideTWBExt"/>
      </w:rPr>
      <w:t>&lt;/PathFdR&gt;</w:t>
    </w:r>
  </w:p>
  <w:p w:rsidR="000F3C84" w:rsidRPr="00334C47" w:rsidRDefault="00EC37EF" w:rsidP="00C62471">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71" w:rsidRDefault="00EC37EF" w:rsidP="00C62471">
    <w:pPr>
      <w:pStyle w:val="EPFooter"/>
    </w:pPr>
    <w:r w:rsidRPr="00C62471">
      <w:rPr>
        <w:rStyle w:val="HideTWBExt"/>
      </w:rPr>
      <w:t>&lt;PathFdR&gt;</w:t>
    </w:r>
    <w:r>
      <w:t>RR\1295854FR.docx</w:t>
    </w:r>
    <w:r w:rsidRPr="00C62471">
      <w:rPr>
        <w:rStyle w:val="HideTWBExt"/>
      </w:rPr>
      <w:t>&lt;/PathFdR&gt;</w:t>
    </w:r>
    <w:r>
      <w:tab/>
    </w:r>
    <w:r>
      <w:fldChar w:fldCharType="begin"/>
    </w:r>
    <w:r>
      <w:instrText xml:space="preserve"> PAGE  \* MERGEFORMAT </w:instrText>
    </w:r>
    <w:r>
      <w:fldChar w:fldCharType="separate"/>
    </w:r>
    <w:r>
      <w:rPr>
        <w:noProof/>
      </w:rPr>
      <w:t>13</w:t>
    </w:r>
    <w:r>
      <w:fldChar w:fldCharType="end"/>
    </w:r>
    <w:r>
      <w:t>/</w:t>
    </w:r>
    <w:fldSimple w:instr=" NUMPAGES  \* MERGEFORMAT ">
      <w:r>
        <w:rPr>
          <w:noProof/>
        </w:rPr>
        <w:t>20</w:t>
      </w:r>
    </w:fldSimple>
    <w:r>
      <w:tab/>
      <w:t>PE</w:t>
    </w:r>
    <w:r w:rsidRPr="00C62471">
      <w:rPr>
        <w:rStyle w:val="HideTWBExt"/>
      </w:rPr>
      <w:t>&lt;NoPE&gt;</w:t>
    </w:r>
    <w:r>
      <w:t>758.054</w:t>
    </w:r>
    <w:r w:rsidRPr="00C62471">
      <w:rPr>
        <w:rStyle w:val="HideTWBExt"/>
      </w:rPr>
      <w:t>&lt;/NoPE&gt;&lt;Version&gt;</w:t>
    </w:r>
    <w:r>
      <w:t>v02-00</w:t>
    </w:r>
    <w:r w:rsidRPr="00C62471">
      <w:rPr>
        <w:rStyle w:val="HideTWBExt"/>
      </w:rPr>
      <w:t>&lt;/Version&gt;</w:t>
    </w:r>
  </w:p>
  <w:p w:rsidR="000F3C84" w:rsidRPr="00334C47" w:rsidRDefault="00EC37EF" w:rsidP="00C62471">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471" w:rsidRDefault="00EC37EF" w:rsidP="00C62471">
    <w:pPr>
      <w:pStyle w:val="EPFooter"/>
    </w:pPr>
    <w:r w:rsidRPr="00C62471">
      <w:rPr>
        <w:rStyle w:val="HideTWBExt"/>
      </w:rPr>
      <w:t>&lt;PathFdR&gt;</w:t>
    </w:r>
    <w:r>
      <w:t>RR\1295854FR.docx</w:t>
    </w:r>
    <w:r w:rsidRPr="00C62471">
      <w:rPr>
        <w:rStyle w:val="HideTWBExt"/>
      </w:rPr>
      <w:t>&lt;/PathFdR&gt;</w:t>
    </w:r>
    <w:r>
      <w:tab/>
    </w:r>
    <w:r>
      <w:tab/>
      <w:t>PE</w:t>
    </w:r>
    <w:r w:rsidRPr="00C62471">
      <w:rPr>
        <w:rStyle w:val="HideTWBExt"/>
      </w:rPr>
      <w:t>&lt;NoPE&gt;</w:t>
    </w:r>
    <w:r>
      <w:t>758.054</w:t>
    </w:r>
    <w:r w:rsidRPr="00C62471">
      <w:rPr>
        <w:rStyle w:val="HideTWBExt"/>
      </w:rPr>
      <w:t>&lt;/NoPE&gt;&lt;Version&gt;</w:t>
    </w:r>
    <w:r>
      <w:t>v02-00</w:t>
    </w:r>
    <w:r w:rsidRPr="00C62471">
      <w:rPr>
        <w:rStyle w:val="HideTWBExt"/>
      </w:rPr>
      <w:t>&lt;/Version&gt;</w:t>
    </w:r>
  </w:p>
  <w:p w:rsidR="000F3C84" w:rsidRPr="00334C47" w:rsidRDefault="00EC37EF" w:rsidP="00C62471">
    <w:pPr>
      <w:pStyle w:val="EPFooter2"/>
    </w:pPr>
    <w:r>
      <w:t>FR</w:t>
    </w:r>
    <w:r>
      <w:tab/>
    </w:r>
    <w:r w:rsidRPr="00C62471">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C37EF">
      <w:r>
        <w:separator/>
      </w:r>
    </w:p>
  </w:footnote>
  <w:footnote w:type="continuationSeparator" w:id="0">
    <w:p w:rsidR="00000000" w:rsidRDefault="00EC3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C01" w:rsidRDefault="00AA5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C01" w:rsidRDefault="00AA5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C01" w:rsidRDefault="00AA5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A3234C2"/>
    <w:multiLevelType w:val="hybridMultilevel"/>
    <w:tmpl w:val="C67C0ECA"/>
    <w:lvl w:ilvl="0" w:tplc="B26EB4EA">
      <w:start w:val="1"/>
      <w:numFmt w:val="decimal"/>
      <w:lvlText w:val="%1)"/>
      <w:lvlJc w:val="left"/>
      <w:pPr>
        <w:ind w:left="720" w:hanging="360"/>
      </w:pPr>
      <w:rPr>
        <w:rFonts w:hint="default"/>
      </w:rPr>
    </w:lvl>
    <w:lvl w:ilvl="1" w:tplc="EB4E8C52" w:tentative="1">
      <w:start w:val="1"/>
      <w:numFmt w:val="lowerLetter"/>
      <w:lvlText w:val="%2."/>
      <w:lvlJc w:val="left"/>
      <w:pPr>
        <w:ind w:left="1440" w:hanging="360"/>
      </w:pPr>
    </w:lvl>
    <w:lvl w:ilvl="2" w:tplc="8CF879D6" w:tentative="1">
      <w:start w:val="1"/>
      <w:numFmt w:val="lowerRoman"/>
      <w:lvlText w:val="%3."/>
      <w:lvlJc w:val="right"/>
      <w:pPr>
        <w:ind w:left="2160" w:hanging="180"/>
      </w:pPr>
    </w:lvl>
    <w:lvl w:ilvl="3" w:tplc="9E8CCBA6" w:tentative="1">
      <w:start w:val="1"/>
      <w:numFmt w:val="decimal"/>
      <w:lvlText w:val="%4."/>
      <w:lvlJc w:val="left"/>
      <w:pPr>
        <w:ind w:left="2880" w:hanging="360"/>
      </w:pPr>
    </w:lvl>
    <w:lvl w:ilvl="4" w:tplc="5276ED46" w:tentative="1">
      <w:start w:val="1"/>
      <w:numFmt w:val="lowerLetter"/>
      <w:lvlText w:val="%5."/>
      <w:lvlJc w:val="left"/>
      <w:pPr>
        <w:ind w:left="3600" w:hanging="360"/>
      </w:pPr>
    </w:lvl>
    <w:lvl w:ilvl="5" w:tplc="3C16A784" w:tentative="1">
      <w:start w:val="1"/>
      <w:numFmt w:val="lowerRoman"/>
      <w:lvlText w:val="%6."/>
      <w:lvlJc w:val="right"/>
      <w:pPr>
        <w:ind w:left="4320" w:hanging="180"/>
      </w:pPr>
    </w:lvl>
    <w:lvl w:ilvl="6" w:tplc="FE8A9944" w:tentative="1">
      <w:start w:val="1"/>
      <w:numFmt w:val="decimal"/>
      <w:lvlText w:val="%7."/>
      <w:lvlJc w:val="left"/>
      <w:pPr>
        <w:ind w:left="5040" w:hanging="360"/>
      </w:pPr>
    </w:lvl>
    <w:lvl w:ilvl="7" w:tplc="6728CDDE" w:tentative="1">
      <w:start w:val="1"/>
      <w:numFmt w:val="lowerLetter"/>
      <w:lvlText w:val="%8."/>
      <w:lvlJc w:val="left"/>
      <w:pPr>
        <w:ind w:left="5760" w:hanging="360"/>
      </w:pPr>
    </w:lvl>
    <w:lvl w:ilvl="8" w:tplc="60C4C95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MNU" w:val=" 2"/>
    <w:docVar w:name="CJMNU" w:val="1"/>
    <w:docVar w:name="COMKEY" w:val="LIBE"/>
    <w:docVar w:name="CONTRIBUTIONMNU" w:val=" 1"/>
    <w:docVar w:name="CopyToNetwork" w:val="-1"/>
    <w:docVar w:name="CVar" w:val="1"/>
    <w:docVar w:name="DOCMNU" w:val=" 1"/>
    <w:docVar w:name="EPSTATMNU" w:val=" 5"/>
    <w:docVar w:name="iNoAmend" w:val="1"/>
    <w:docVar w:name="INSTITUTIONSMNU" w:val=" 1"/>
    <w:docVar w:name="JURI1MNU" w:val=" 1"/>
    <w:docVar w:name="JURI2MNU" w:val=" 1"/>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40212 HideTWBExt;}{\*\cs18 \additive \v\f1\fs20\cf15 _x000d__x000a_\spriority0 \styrsid10240212 HideTWBInt;}{\s19\ql \li0\ri0\sa120\nowidctlpar\wrapdefault\aspalpha\aspnum\faauto\adjustright\rin0\lin0\itap0 \rtlch\fcs1 \af0\afs20\alang1025 \ltrch\fcs0 \fs24\lang2057\langfe2057\cgrid\langnp2057\langfenp2057 _x000d__x000a_\sbasedon0 \snext19 \spriority0 \styrsid10240212 Normal6a;}{\s20\ql \li0\ri0\nowidctlpar\wrapdefault\aspalpha\aspnum\faauto\adjustright\rin0\lin0\itap0 \rtlch\fcs1 \af0\afs20\alang1025 \ltrch\fcs0 \b\fs24\lang2057\langfe2057\cgrid\langnp2057\langfenp2057 _x000d__x000a_\sbasedon0 \snext20 \spriority0 \styrsid10240212 NormalBold;}{\s21\ql \li0\ri0\sa240\nowidctlpar\wrapdefault\aspalpha\aspnum\faauto\adjustright\rin0\lin0\itap0 \rtlch\fcs1 \af0\afs20\alang1025 \ltrch\fcs0 _x000d__x000a_\i\fs24\lang2057\langfe2057\cgrid\langnp2057\langfenp2057 \sbasedon0 \snext21 \spriority0 \styrsid10240212 AmJustText;}{\s22\qc \li0\ri0\sb240\sa240\nowidctlpar\wrapdefault\aspalpha\aspnum\faauto\adjustright\rin0\lin0\itap0 \rtlch\fcs1 _x000d__x000a_\af0\afs20\alang1025 \ltrch\fcs0 \i\fs24\lang2057\langfe2057\cgrid\langnp2057\langfenp2057 \sbasedon0 \snext22 \spriority0 \styrsid10240212 AmCrossRef;}{_x000d__x000a_\s23\qc \li0\ri0\sb240\sa240\keepn\nowidctlpar\wrapdefault\aspalpha\aspnum\faauto\adjustright\rin0\lin0\itap0 \rtlch\fcs1 \af0\afs20\alang1025 \ltrch\fcs0 \i\fs24\lang2057\langfe2057\cgrid\langnp2057\langfenp2057 _x000d__x000a_\sbasedon0 \snext21 \spriority0 \styrsid10240212 AmJustTitle;}{\s24\qc \li0\ri0\sa240\nowidctlpar\wrapdefault\aspalpha\aspnum\faauto\adjustright\rin0\lin0\itap0 \rtlch\fcs1 \af0\afs20\alang1025 \ltrch\fcs0 _x000d__x000a_\i\fs24\lang2057\langfe2057\cgrid\langnp2057\langfenp2057 \sbasedon0 \snext24 \spriority0 \styrsid1024021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240212 AmNumberTabs;}{\s26\ql \li0\ri0\sb240\nowidctlpar\wrapdefault\aspalpha\aspnum\faauto\adjustright\rin0\lin0\itap0 \rtlch\fcs1 _x000d__x000a_\af0\afs20\alang1025 \ltrch\fcs0 \b\fs24\lang2057\langfe2057\cgrid\langnp2057\langfenp2057 \sbasedon0 \snext26 \spriority0 \styrsid10240212 NormalBold12b;}}{\*\rsidtbl \rsid24658\rsid223860\rsid735077\rsid1718133\rsid2892074\rsid3565327\rsid4666813_x000d__x000a_\rsid6641733\rsid7823322\rsid9636012\rsid10240212\rsid10377208\rsid11215221\rsid11549030\rsid12154954\rsid12921339\rsid14382809\rsid14424199\rsid15204470\rsid15285974\rsid15950462\rsid16324206\rsid16662270}{\mmathPr\mmathFont34\mbrkBin0\mbrkBinSub0_x000d__x000a_\msmallFrac0\mdispDef1\mlMargin0\mrMargin0\mdefJc1\mwrapIndent1440\mintLim0\mnaryLim1}{\info{\author BIASIA BERTI Clara}{\operator BIASIA BERTI Clara}{\creatim\yr2024\mo2\dy6\hr14\min19}{\revtim\yr2024\mo2\dy6\hr14\min19}{\version1}{\edmins0}{\nofpages1}_x000d__x000a_{\nofwords93}{\nofchars537}{\nofcharsws62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40212\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12921339 \chftnsep _x000d__x000a_\par }}{\*\ftnsepc \ltrpar \pard\plain \ltrpar\ql \li0\ri0\widctlpar\wrapdefault\aspalpha\aspnum\faauto\adjustright\rin0\lin0\itap0 \rtlch\fcs1 \af0\afs20\alang1025 \ltrch\fcs0 \fs24\lang2057\langfe2057\cgrid\langnp2057\langfenp2057 {\rtlch\fcs1 \af0 _x000d__x000a_\ltrch\fcs0 \insrsid12921339 \chftnsepc _x000d__x000a_\par }}{\*\aftnsep \ltrpar \pard\plain \ltrpar\ql \li0\ri0\widctlpar\wrapdefault\aspalpha\aspnum\faauto\adjustright\rin0\lin0\itap0 \rtlch\fcs1 \af0\afs20\alang1025 \ltrch\fcs0 \fs24\lang2057\langfe2057\cgrid\langnp2057\langfenp2057 {\rtlch\fcs1 \af0 _x000d__x000a_\ltrch\fcs0 \insrsid12921339 \chftnsep _x000d__x000a_\par }}{\*\aftnsepc \ltrpar \pard\plain \ltrpar\ql \li0\ri0\widctlpar\wrapdefault\aspalpha\aspnum\faauto\adjustright\rin0\lin0\itap0 \rtlch\fcs1 \af0\afs20\alang1025 \ltrch\fcs0 \fs24\lang2057\langfe2057\cgrid\langnp2057\langfenp2057 {\rtlch\fcs1 \af0 _x000d__x000a_\ltrch\fcs0 \insrsid129213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240212 \rtlch\fcs1 _x000d__x000a_\af0\afs20\alang1025 \ltrch\fcs0 \b\fs24\lang2057\langfe2057\cgrid\langnp2057\langfenp2057 {\rtlch\fcs1 \af0 \ltrch\fcs0 \cs17\b0\v\fs20\cf9\lang1024\langfe1024\loch\af1\hich\af1\dbch\af31501\noproof\insrsid10240212\charrsid16087368 {\*\bkmkstart restart}_x000d__x000a_\hich\af1\dbch\af31501\loch\f1 &lt;Amend&gt;}{\rtlch\fcs1 \af0 \ltrch\fcs0 \insrsid10240212\charrsid16087368 Amendment\tab \tab }{\rtlch\fcs1 \af0 \ltrch\fcs0 _x000d__x000a_\cs17\b0\v\fs20\cf9\lang1024\langfe1024\loch\af1\hich\af1\dbch\af31501\noproof\insrsid10240212\charrsid16087368 \hich\af1\dbch\af31501\loch\f1 &lt;NumAm&gt;}{\rtlch\fcs1 \af0 \ltrch\fcs0 \insrsid10240212\charrsid16087368 #}{\rtlch\fcs1 \af1 \ltrch\fcs0 _x000d__x000a_\cs18\v\f1\fs20\cf15\insrsid10240212\charrsid16087368 ENMIENDA@NRAM@}{\rtlch\fcs1 \af0 \ltrch\fcs0 \insrsid10240212\charrsid16087368 #}{\rtlch\fcs1 \af0 \ltrch\fcs0 _x000d__x000a_\cs17\b0\v\fs20\cf9\lang1024\langfe1024\loch\af1\hich\af1\dbch\af31501\noproof\insrsid10240212\charrsid16087368 \hich\af1\dbch\af31501\loch\f1 &lt;/NumAm&gt;}{\rtlch\fcs1 \af0 \ltrch\fcs0 \insrsid10240212\charrsid16087368 _x000d__x000a_\par }\pard\plain \ltrpar\s26\ql \li0\ri0\sb240\keepn\nowidctlpar\wrapdefault\aspalpha\aspnum\faauto\adjustright\rin0\lin0\itap0\pararsid10240212 \rtlch\fcs1 \af0\afs20\alang1025 \ltrch\fcs0 \b\fs24\lang2057\langfe2057\cgrid\langnp2057\langfenp2057 {_x000d__x000a_\rtlch\fcs1 \af0 \ltrch\fcs0 \cs17\b0\v\fs20\cf9\lang1024\langfe1024\loch\af1\hich\af1\dbch\af31501\noproof\insrsid10240212\charrsid16087368 \hich\af1\dbch\af31501\loch\f1 &lt;DocAmend&gt;}{\rtlch\fcs1 \af0 \ltrch\fcs0 \insrsid10240212\charrsid16087368 _x000d__x000a_Proposal for a #}{\rtlch\fcs1 \af1 \ltrch\fcs0 \cs18\v\f1\fs20\cf15\insrsid10240212\charrsid16087368 MNU[DOC1][DOC2][DOC3]@DOCMSG@DOCMNU}{\rtlch\fcs1 \af0 \ltrch\fcs0 \insrsid10240212\charrsid16087368 ##}{\rtlch\fcs1 \af1 \ltrch\fcs0 _x000d__x000a_\cs18\v\f1\fs20\cf15\insrsid10240212\charrsid16087368 MNU[AMACTYES][NOTAPP]@CHOICE@AMACTMNU}{\rtlch\fcs1 \af0 \ltrch\fcs0 \insrsid10240212\charrsid16087368 #}{\rtlch\fcs1 \af0 \ltrch\fcs0 _x000d__x000a_\cs17\b0\v\fs20\cf9\lang1024\langfe1024\loch\af1\hich\af1\dbch\af31501\noproof\insrsid10240212\charrsid16087368 \hich\af1\dbch\af31501\loch\f1 &lt;/DocAmend&gt;}{\rtlch\fcs1 \af0 \ltrch\fcs0 \insrsid10240212\charrsid16087368 _x000d__x000a_\par }\pard\plain \ltrpar\s20\ql \li0\ri0\keepn\nowidctlpar\wrapdefault\aspalpha\aspnum\faauto\adjustright\rin0\lin0\itap0\pararsid10240212 \rtlch\fcs1 \af0\afs20\alang1025 \ltrch\fcs0 \b\fs24\lang2057\langfe2057\cgrid\langnp2057\langfenp2057 {\rtlch\fcs1 _x000d__x000a_\af0 \ltrch\fcs0 \cs17\b0\v\fs20\cf9\lang1024\langfe1024\loch\af1\hich\af1\dbch\af31501\noproof\insrsid10240212\charrsid16087368 \hich\af1\dbch\af31501\loch\f1 &lt;Article&gt;}{\rtlch\fcs1 \af0 \ltrch\fcs0 \insrsid10240212\charrsid16087368 #}{\rtlch\fcs1 \af1 _x000d__x000a_\ltrch\fcs0 \cs18\v\f1\fs20\cf15\insrsid10240212\charrsid16087368 MNU[AMACTPARTYES][AMACTPARTNO]@CHOICE@AMACTMNU}{\rtlch\fcs1 \af0 \ltrch\fcs0 \insrsid10240212\charrsid16087368 #}{\rtlch\fcs1 \af0 \ltrch\fcs0 _x000d__x000a_\cs17\b0\v\fs20\cf9\lang1024\langfe1024\loch\af1\hich\af1\dbch\af31501\noproof\insrsid10240212\charrsid16087368 \hich\af1\dbch\af31501\loch\f1 &lt;/Article&gt;}{\rtlch\fcs1 \af0 \ltrch\fcs0 \insrsid10240212\charrsid16087368 _x000d__x000a_\par }\pard\plain \ltrpar\ql \li0\ri0\keepn\widctlpar\wrapdefault\aspalpha\aspnum\faauto\adjustright\rin0\lin0\itap0\pararsid10240212 \rtlch\fcs1 \af0\afs20\alang1025 \ltrch\fcs0 \fs24\lang2057\langfe2057\cgrid\langnp2057\langfenp2057 {\rtlch\fcs1 \af0 _x000d__x000a_\ltrch\fcs0 \cs17\v\fs20\cf9\lang1024\langfe1024\loch\af1\hich\af1\dbch\af31501\noproof\insrsid10240212\charrsid16087368 \hich\af1\dbch\af31501\loch\f1 &lt;DocAmend2&gt;&lt;OptDel&gt;}{\rtlch\fcs1 \af0 \ltrch\fcs0 \insrsid10240212\charrsid16087368 #}{\rtlch\fcs1 _x000d__x000a_\af1 \ltrch\fcs0 \cs18\v\f1\fs20\cf15\insrsid10240212\charrsid16087368 MNU[OPTNRACTYES][NOTAPP]@CHOICE@AMACTMNU}{\rtlch\fcs1 \af0 \ltrch\fcs0 \insrsid10240212\charrsid16087368 #}{\rtlch\fcs1 \af0 \ltrch\fcs0 _x000d__x000a_\cs17\v\fs20\cf9\lang1024\langfe1024\loch\af1\hich\af1\dbch\af31501\noproof\insrsid10240212\charrsid16087368 \hich\af1\dbch\af31501\loch\f1 &lt;/OptDel&gt;&lt;/DocAmend2&gt;}{\rtlch\fcs1 \af0 \ltrch\fcs0 \insrsid10240212\charrsid16087368 _x000d__x000a_\par }\pard \ltrpar\ql \li0\ri0\widctlpar\wrapdefault\aspalpha\aspnum\faauto\adjustright\rin0\lin0\itap0\pararsid10240212 {\rtlch\fcs1 \af0 \ltrch\fcs0 _x000d__x000a_\cs17\v\fs20\cf9\lang1024\langfe1024\loch\af1\hich\af1\dbch\af31501\noproof\insrsid10240212\charrsid16087368 \hich\af1\dbch\af31501\loch\f1 &lt;Article2&gt;&lt;OptDel&gt;}{\rtlch\fcs1 \af0 \ltrch\fcs0 \insrsid10240212\charrsid16087368 #}{\rtlch\fcs1 \af1 \ltrch\fcs0 _x000d__x000a_\cs18\v\f1\fs20\cf15\insrsid10240212\charrsid16087368 MNU[OPTACTPARTYES][NOTAPP]@CHOICE@AMACTMNU}{\rtlch\fcs1 \af0 \ltrch\fcs0 \insrsid10240212\charrsid16087368 #}{\rtlch\fcs1 \af0 \ltrch\fcs0 _x000d__x000a_\cs17\v\fs20\cf9\lang1024\langfe1024\loch\af1\hich\af1\dbch\af31501\noproof\insrsid10240212\charrsid16087368 \hich\af1\dbch\af31501\loch\f1 &lt;/OptDel&gt;&lt;/Article2&gt;}{\rtlch\fcs1 \af0 \ltrch\fcs0 \insrsid10240212\charrsid16087368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insrsid10240212\charrsid16087368 \cell }\pard \ltrpar\ql \li0\ri0\widctlpar\intbl\wrapdefault\aspalpha\aspnum\faauto\adjustright\rin0\lin0 {\rtlch\fcs1 \af0 \ltrch\fcs0 \insrsid10240212\charrsid16087368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2057\langfe2057\cgrid\langnp2057\langfenp2057 {\rtlch\fcs1 \af0 \ltrch\fcs0 _x000d__x000a_\insrsid10240212\charrsid16087368 #}{\rtlch\fcs1 \af1 \ltrch\fcs0 \cs18\v\f1\fs20\cf15\insrsid10240212\charrsid16087368 MNU[OPTLEFTAMACT][LEFTPROP]@CHOICE@AMACTMNU}{\rtlch\fcs1 \af0 \ltrch\fcs0 \insrsid10240212\charrsid16087368 #\cell Amendment\cell _x000d__x000a_}\pard\plain \ltrpar\ql \li0\ri0\widctlpar\intbl\wrapdefault\aspalpha\aspnum\faauto\adjustright\rin0\lin0 \rtlch\fcs1 \af0\afs20\alang1025 \ltrch\fcs0 \fs24\lang2057\langfe2057\cgrid\langnp2057\langfenp2057 {\rtlch\fcs1 \af0 \ltrch\fcs0 _x000d__x000a_\insrsid10240212\charrsid16087368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0240212\charrsid16087368 ##\cell ##}{\rtlch\fcs1 \af0\afs24 \ltrch\fcs0 \insrsid10240212\charrsid16087368 \cell }\pard\plain \ltrpar_x000d__x000a_\ql \li0\ri0\widctlpar\intbl\wrapdefault\aspalpha\aspnum\faauto\adjustright\rin0\lin0 \rtlch\fcs1 \af0\afs20\alang1025 \ltrch\fcs0 \fs24\lang2057\langfe2057\cgrid\langnp2057\langfenp2057 {\rtlch\fcs1 \af0 \ltrch\fcs0 \insrsid10240212\charrsid16087368 _x000d__x000a_\trowd \irow2\irowband2\lastrow \ltrrow\ts11\trqc\trgaph340\trleft-340\trftsWidth3\trwWidth9752\trftsWidthB3\trpaddl340\trpaddr340\trpaddfl3\trpaddft3\trpaddfb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10240212 \rtlch\fcs1 \af0\afs20\alang1025 \ltrch\fcs0 \i\fs24\lang2057\langfe2057\cgrid\langnp2057\langfenp2057 {\rtlch\fcs1 \af0 \ltrch\fcs0 _x000d__x000a_\cs17\i0\v\fs20\cf9\lang1024\langfe1024\loch\af1\hich\af1\dbch\af31501\noproof\insrsid10240212\charrsid16087368 \hich\af1\dbch\af31501\loch\f1 &lt;OptDel&gt;}{\rtlch\fcs1 \af0 \ltrch\fcs0 \insrsid10240212\charrsid16087368 #}{\rtlch\fcs1 \af1 \ltrch\fcs0 _x000d__x000a_\cs18\v\f1\fs20\cf15\insrsid10240212\charrsid16087368 MNU[CROSSREFNO][CROSSREFYES]@CHOICE@}{\rtlch\fcs1 \af0 \ltrch\fcs0 \insrsid10240212\charrsid16087368 #}{\rtlch\fcs1 \af0 \ltrch\fcs0 _x000d__x000a_\cs17\i0\v\fs20\cf9\lang1024\langfe1024\loch\af1\hich\af1\dbch\af31501\noproof\insrsid10240212\charrsid16087368 \hich\af1\dbch\af31501\loch\f1 &lt;/OptDel&gt;}{\rtlch\fcs1 \af0 \ltrch\fcs0 \insrsid10240212\charrsid16087368 _x000d__x000a_\par }\pard\plain \ltrpar\s23\qc \li0\ri0\sb240\sa240\keepn\nowidctlpar\wrapdefault\aspalpha\aspnum\faauto\adjustright\rin0\lin0\itap0\pararsid10240212 \rtlch\fcs1 \af0\afs20\alang1025 \ltrch\fcs0 \i\fs24\lang2057\langfe2057\cgrid\langnp2057\langfenp2057 {_x000d__x000a_\rtlch\fcs1 \af0 \ltrch\fcs0 \cs17\i0\v\fs20\cf9\lang1024\langfe1024\loch\af1\hich\af1\dbch\af31501\noproof\insrsid10240212\charrsid16087368 \hich\af1\dbch\af31501\loch\f1 &lt;TitreJust&gt;}{\rtlch\fcs1 \af0 \ltrch\fcs0 \insrsid10240212\charrsid16087368 _x000d__x000a_Justification}{\rtlch\fcs1 \af0 \ltrch\fcs0 \cs17\i0\v\fs20\cf9\lang1024\langfe1024\loch\af1\hich\af1\dbch\af31501\noproof\insrsid10240212\charrsid16087368 \hich\af1\dbch\af31501\loch\f1 &lt;/TitreJust&gt;}{\rtlch\fcs1 \af0 \ltrch\fcs0 _x000d__x000a_\insrsid10240212\charrsid16087368 _x000d__x000a_\par }\pard\plain \ltrpar\s21\ql \li0\ri0\sa240\nowidctlpar\wrapdefault\aspalpha\aspnum\faauto\adjustright\rin0\lin0\itap0\pararsid10240212 \rtlch\fcs1 \af0\afs20\alang1025 \ltrch\fcs0 \i\fs24\lang2057\langfe2057\cgrid\langnp2057\langfenp2057 {\rtlch\fcs1 _x000d__x000a_\af0 \ltrch\fcs0 \cs17\i0\v\fs20\cf9\lang1024\langfe1024\loch\af1\hich\af1\dbch\af31501\noproof\insrsid10240212\charrsid16087368 \hich\af1\dbch\af31501\loch\f1 &lt;OptDelPrev&gt;}{\rtlch\fcs1 \af0 \ltrch\fcs0 \insrsid10240212\charrsid16087368 #}{\rtlch\fcs1 _x000d__x000a_\af1 \ltrch\fcs0 \cs18\v\f1\fs20\cf15\insrsid10240212\charrsid16087368 MNU[TEXTJUSTYES][TEXTJUSTNO]@CHOICE@}{\rtlch\fcs1 \af0 \ltrch\fcs0 \insrsid10240212\charrsid16087368 #}{\rtlch\fcs1 \af0 \ltrch\fcs0 _x000d__x000a_\cs17\i0\v\fs20\cf9\lang1024\langfe1024\loch\af1\hich\af1\dbch\af31501\noproof\insrsid10240212\charrsid16087368 \hich\af1\dbch\af31501\loch\f1 &lt;/OptDelPrev&gt;}{\rtlch\fcs1 \af0 \ltrch\fcs0 \insrsid10240212\charrsid16087368 _x000d__x000a_\par }\pard\plain \ltrpar\ql \li0\ri0\widctlpar\wrapdefault\aspalpha\aspnum\faauto\adjustright\rin0\lin0\itap0\pararsid10240212 \rtlch\fcs1 \af0\afs20\alang1025 \ltrch\fcs0 \fs24\lang2057\langfe2057\cgrid\langnp2057\langfenp2057 {\rtlch\fcs1 \af0 \ltrch\fcs0 _x000d__x000a_\cs17\v\fs20\cf9\lang1024\langfe1024\loch\af1\hich\af1\dbch\af31501\noproof\insrsid10240212\charrsid16087368 \hich\af1\dbch\af31501\loch\f1 &lt;/Amend&gt;}{\rtlch\fcs1 \af0 \ltrch\fcs0 \insrsid1024021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4_x000d__x000a_d717ff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06943 HideTWBExt;}{_x000d__x000a_\s18\ql \li0\ri0\sa120\nowidctlpar\wrapdefault\aspalpha\aspnum\faauto\adjustright\rin0\lin0\itap0 \rtlch\fcs1 \af0\afs20\alang1025 \ltrch\fcs0 \fs24\lang2057\langfe2057\cgrid\langnp2057\langfenp2057 \sbasedon0 \snext18 \spriority0 \styrsid12206943 _x000d__x000a_Normal6a;}{\s19\ql \li0\ri0\nowidctlpar\wrapdefault\aspalpha\aspnum\faauto\adjustright\rin0\lin0\itap0 \rtlch\fcs1 \af0\afs20\alang1025 \ltrch\fcs0 \b\fs24\lang2057\langfe2057\cgrid\langnp2057\langfenp2057 \sbasedon0 \snext19 \spriority0 \styrsid12206943 _x000d__x000a_NormalBold;}{\s20\ql \li0\ri0\sa240\nowidctlpar\wrapdefault\aspalpha\aspnum\faauto\adjustright\rin0\lin0\itap0 \rtlch\fcs1 \af0\afs20\alang1025 \ltrch\fcs0 \i\fs24\lang2057\langfe2057\cgrid\langnp2057\langfenp2057 _x000d__x000a_\sbasedon0 \snext20 \spriority0 \styrsid12206943 AmJustText;}{\s21\qc \li0\ri0\sb240\sa240\nowidctlpar\wrapdefault\aspalpha\aspnum\faauto\adjustright\rin0\lin0\itap0 \rtlch\fcs1 \af0\afs20\alang1025 \ltrch\fcs0 _x000d__x000a_\i\fs24\lang2057\langfe2057\cgrid\langnp2057\langfenp2057 \sbasedon0 \snext21 \spriority0 \styrsid12206943 AmCrossRef;}{\s22\qc \li0\ri0\sb240\sa240\keepn\nowidctlpar\wrapdefault\aspalpha\aspnum\faauto\adjustright\rin0\lin0\itap0 \rtlch\fcs1 _x000d__x000a_\af0\afs20\alang1025 \ltrch\fcs0 \i\fs24\lang2057\langfe2057\cgrid\langnp2057\langfenp2057 \sbasedon0 \snext20 \spriority0 \styrsid12206943 AmJustTitle;}{\s23\qc \li0\ri0\sa240\nowidctlpar\wrapdefault\aspalpha\aspnum\faauto\adjustright\rin0\lin0\itap0 _x000d__x000a_\rtlch\fcs1 \af0\afs20\alang1025 \ltrch\fcs0 \i\fs24\lang2057\langfe2057\cgrid\langnp2057\langfenp2057 \sbasedon0 \snext23 \spriority0 \styrsid1220694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206943 AmNumberTabs;}{\s25\ql \li0\ri0\sb240\nowidctlpar\wrapdefault\aspalpha\aspnum\faauto\adjustright\rin0\lin0\itap0 \rtlch\fcs1 _x000d__x000a_\af0\afs20\alang1025 \ltrch\fcs0 \b\fs24\lang2057\langfe2057\cgrid\langnp2057\langfenp2057 \sbasedon0 \snext25 \spriority0 \styrsid12206943 NormalBold12b;}}{\*\rsidtbl \rsid24658\rsid223860\rsid735077\rsid1718133\rsid2892074\rsid3565327\rsid4666813_x000d__x000a_\rsid6641733\rsid6844879\rsid7823322\rsid9636012\rsid10377208\rsid11215221\rsid11549030\rsid12154954\rsid12206943\rsid14382809\rsid14424199\rsid15204470\rsid15285974\rsid15950462\rsid16324206\rsid16662270}{\mmathPr\mmathFont34\mbrkBin0\mbrkBinSub0_x000d__x000a_\msmallFrac0\mdispDef1\mlMargin0\mrMargin0\mdefJc1\mwrapIndent1440\mintLim0\mnaryLim1}{\info{\author BIASIA BERTI Clara}{\operator BIASIA BERTI Clara}{\creatim\yr2024\mo2\dy6\hr14\min19}{\revtim\yr2024\mo2\dy6\hr14\min19}{\version1}{\edmins0}{\nofpages1}_x000d__x000a_{\nofwords54}{\nofchars313}{\nofcharsws3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06943\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6844879 \chftnsep _x000d__x000a_\par }}{\*\ftnsepc \ltrpar \pard\plain \ltrpar\ql \li0\ri0\widctlpar\wrapdefault\aspalpha\aspnum\faauto\adjustright\rin0\lin0\itap0 \rtlch\fcs1 \af0\afs20\alang1025 \ltrch\fcs0 \fs24\lang2057\langfe2057\cgrid\langnp2057\langfenp2057 {\rtlch\fcs1 \af0 _x000d__x000a_\ltrch\fcs0 \insrsid6844879 \chftnsepc _x000d__x000a_\par }}{\*\aftnsep \ltrpar \pard\plain \ltrpar\ql \li0\ri0\widctlpar\wrapdefault\aspalpha\aspnum\faauto\adjustright\rin0\lin0\itap0 \rtlch\fcs1 \af0\afs20\alang1025 \ltrch\fcs0 \fs24\lang2057\langfe2057\cgrid\langnp2057\langfenp2057 {\rtlch\fcs1 \af0 _x000d__x000a_\ltrch\fcs0 \insrsid6844879 \chftnsep _x000d__x000a_\par }}{\*\aftnsepc \ltrpar \pard\plain \ltrpar\ql \li0\ri0\widctlpar\wrapdefault\aspalpha\aspnum\faauto\adjustright\rin0\lin0\itap0 \rtlch\fcs1 \af0\afs20\alang1025 \ltrch\fcs0 \fs24\lang2057\langfe2057\cgrid\langnp2057\langfenp2057 {\rtlch\fcs1 \af0 _x000d__x000a_\ltrch\fcs0 \insrsid68448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206943 \rtlch\fcs1 _x000d__x000a_\af0\afs20\alang1025 \ltrch\fcs0 \b\fs24\lang2057\langfe2057\cgrid\langnp2057\langfenp2057 {\rtlch\fcs1 \af0 \ltrch\fcs0 \cs17\b0\v\fs20\cf9\lang1024\langfe1024\loch\af1\hich\af1\dbch\af31501\noproof\langnp1030\insrsid12206943\charrsid5141309 _x000d__x000a_{\*\bkmkstart restart}\hich\af1\dbch\af31501\loch\f1 &lt;Amend&gt;}{\rtlch\fcs1 \af0 \ltrch\fcs0 \lang1030\langfe2057\langnp1030\insrsid12206943\charrsid5141309 [ZAMENDMENT]\tab \tab }{\rtlch\fcs1 \af0 \ltrch\fcs0 _x000d__x000a_\cs17\b0\v\fs20\cf9\lang1024\langfe1024\loch\af1\hich\af1\dbch\af31501\noproof\langnp1030\insrsid12206943\charrsid5141309 \hich\af1\dbch\af31501\loch\f1 &lt;NumAm&gt;}{\rtlch\fcs1 \af0 \ltrch\fcs0 \lang1030\langfe2057\langnp1030\insrsid12206943\charrsid5141309 _x000d__x000a_[ZNRAM]}{\rtlch\fcs1 \af0 \ltrch\fcs0 \cs17\b0\v\fs20\cf9\lang1024\langfe1024\loch\af1\hich\af1\dbch\af31501\noproof\langnp1030\insrsid12206943\charrsid5141309 \hich\af1\dbch\af31501\loch\f1 &lt;/NumAm&gt;}{\rtlch\fcs1 \af0 \ltrch\fcs0 _x000d__x000a_\lang1030\langfe2057\langnp1030\insrsid12206943\charrsid5141309 _x000d__x000a_\par }\pard\plain \ltrpar\s25\ql \li0\ri0\sb240\keepn\nowidctlpar\wrapdefault\aspalpha\aspnum\faauto\adjustright\rin0\lin0\itap0\pararsid12206943 \rtlch\fcs1 \af0\afs20\alang1025 \ltrch\fcs0 \b\fs24\lang2057\langfe2057\cgrid\langnp2057\langfenp2057 {_x000d__x000a_\rtlch\fcs1 \af0 \ltrch\fcs0 \cs17\b0\v\fs20\cf9\lang1024\langfe1024\loch\af1\hich\af1\dbch\af31501\noproof\langnp1030\insrsid12206943\charrsid5141309 \hich\af1\dbch\af31501\loch\f1 &lt;DocAmend&gt;}{\rtlch\fcs1 \af0 \ltrch\fcs0 _x000d__x000a_\lang1030\langfe2057\langnp1030\insrsid12206943\charrsid5141309 [ZPROPOSAL][ZAMACT]}{\rtlch\fcs1 \af0 \ltrch\fcs0 \cs17\b0\v\fs20\cf9\lang1024\langfe1024\loch\af1\hich\af1\dbch\af31501\noproof\langnp1030\insrsid12206943\charrsid5141309 _x000d__x000a_\hich\af1\dbch\af31501\loch\f1 &lt;/DocAmend&gt;}{\rtlch\fcs1 \af0 \ltrch\fcs0 \lang1030\langfe2057\langnp1030\insrsid12206943\charrsid5141309 _x000d__x000a_\par }\pard\plain \ltrpar\s19\ql \li0\ri0\keepn\nowidctlpar\wrapdefault\aspalpha\aspnum\faauto\adjustright\rin0\lin0\itap0\pararsid12206943 \rtlch\fcs1 \af0\afs20\alang1025 \ltrch\fcs0 \b\fs24\lang2057\langfe2057\cgrid\langnp2057\langfenp2057 {\rtlch\fcs1 _x000d__x000a_\af0 \ltrch\fcs0 \cs17\b0\v\fs20\cf9\lang1024\langfe1024\loch\af1\hich\af1\dbch\af31501\noproof\langnp1030\insrsid12206943\charrsid5141309 \hich\af1\dbch\af31501\loch\f1 &lt;Article&gt;}{\rtlch\fcs1 \af0 \ltrch\fcs0 _x000d__x000a_\lang1030\langfe2057\langnp1030\insrsid12206943\charrsid5141309 [ZAMPART]}{\rtlch\fcs1 \af0 \ltrch\fcs0 \cs17\b0\v\fs20\cf9\lang1024\langfe1024\loch\af1\hich\af1\dbch\af31501\noproof\langnp1030\insrsid12206943\charrsid5141309 _x000d__x000a_\hich\af1\dbch\af31501\loch\f1 &lt;/Article&gt;}{\rtlch\fcs1 \af0 \ltrch\fcs0 \lang1030\langfe2057\langnp1030\insrsid12206943\charrsid5141309 _x000d__x000a_\par }\pard\plain \ltrpar\ql \li0\ri0\keepn\widctlpar\wrapdefault\aspalpha\aspnum\faauto\adjustright\rin0\lin0\itap0\pararsid12206943 \rtlch\fcs1 \af0\afs20\alang1025 \ltrch\fcs0 \fs24\lang2057\langfe2057\cgrid\langnp2057\langfenp2057 {\rtlch\fcs1 \af0 _x000d__x000a_\ltrch\fcs0 \cs17\v\fs20\cf9\lang1024\langfe1024\loch\af1\hich\af1\dbch\af31501\noproof\langnp1043\insrsid12206943\charrsid5141309 \hich\af1\dbch\af31501\loch\f1 &lt;DocAmend2&gt;&lt;OptDel&gt;}{\rtlch\fcs1 \af0 \ltrch\fcs0 _x000d__x000a_\lang1043\langfe2057\langnp1043\insrsid12206943\charrsid5141309 [ZNRACT]}{\rtlch\fcs1 \af0 \ltrch\fcs0 \cs17\v\fs20\cf9\lang1024\langfe1024\loch\af1\hich\af1\dbch\af31501\noproof\langnp1043\insrsid12206943\charrsid5141309 \hich\af1\dbch\af31501\loch\f1 _x000d__x000a_&lt;/OptDel&gt;&lt;/DocAmend2&gt;}{\rtlch\fcs1 \af0 \ltrch\fcs0 \lang1043\langfe2057\langnp1043\insrsid12206943\charrsid5141309 _x000d__x000a_\par }\pard \ltrpar\ql \li0\ri0\widctlpar\wrapdefault\aspalpha\aspnum\faauto\adjustright\rin0\lin0\itap0\pararsid12206943 {\rtlch\fcs1 \af0 \ltrch\fcs0 _x000d__x000a_\cs17\v\fs20\cf9\lang1024\langfe1024\loch\af1\hich\af1\dbch\af31501\noproof\langnp1036\insrsid12206943\charrsid5141309 \hich\af1\dbch\af31501\loch\f1 &lt;Article2&gt;&lt;OptDel&gt;}{\rtlch\fcs1 \af0 \ltrch\fcs0 _x000d__x000a_\lang1036\langfe2057\langnp1036\insrsid12206943\charrsid5141309 [ZACTPART]}{\rtlch\fcs1 \af0 \ltrch\fcs0 \cs17\v\fs20\cf9\lang1024\langfe1024\loch\af1\hich\af1\dbch\af31501\noproof\langnp1036\insrsid12206943\charrsid5141309 \hich\af1\dbch\af31501\loch\f1 _x000d__x000a_&lt;/OptDel&gt;&lt;/Article2&gt;}{\rtlch\fcs1 \af0 \ltrch\fcs0 \lang1036\langfe2057\langnp1036\insrsid12206943\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 \ltrpar\ql \li0\ri0\keepn\widctlpar\intbl\wrapdefault\aspalpha\aspnum\faauto\adjustright\rin0\lin0\pararsid14315216 {\rtlch\fcs1 \af0 \ltrch\fcs0 _x000d__x000a_\lang1036\langfe2057\langnp1036\insrsid12206943\charrsid5141309 \cell }\pard \ltrpar\ql \li0\ri0\widctlpar\intbl\wrapdefault\aspalpha\aspnum\faauto\adjustright\rin0\lin0 {\rtlch\fcs1 \af0 \ltrch\fcs0 \insrsid12206943\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12206943\charrsid4593153 [ZLEFT]\cell [ZRIGHT]\cell }\pard\plain \ltrpar\ql \li0\ri0\widctlpar\intbl\wrapdefault\aspalpha\aspnum\faauto\adjustright\rin0\lin0 \rtlch\fcs1 \af0\afs20\alang1025 \ltrch\fcs0 _x000d__x000a_\fs24\lang2057\langfe2057\cgrid\langnp2057\langfenp2057 {\rtlch\fcs1 \af0 \ltrch\fcs0 \insrsid12206943\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2517430 \rtlch\fcs1 \af0\afs20\alang1025 \ltrch\fcs0 \fs24\lang2057\langfe2057\cgrid\langnp2057\langfenp2057 {\rtlch\fcs1 \af0 \ltrch\fcs0 _x000d__x000a_\insrsid12206943\charrsid4593153 [ZTEXTL]\cell [ZTEXTR]}{\rtlch\fcs1 \af0\afs24 \ltrch\fcs0 \insrsid12206943\charrsid4593153 \cell }\pard\plain \ltrpar\ql \li0\ri0\widctlpar\intbl\wrapdefault\aspalpha\aspnum\faauto\adjustright\rin0\lin0 \rtlch\fcs1 _x000d__x000a_\af0\afs20\alang1025 \ltrch\fcs0 \fs24\lang2057\langfe2057\cgrid\langnp2057\langfenp2057 {\rtlch\fcs1 \af0 \ltrch\fcs0 \insrsid12206943\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206943 \rtlch\fcs1 \af0\afs20\alang1025 \ltrch\fcs0 \i\fs24\lang2057\langfe2057\cgrid\langnp2057\langfenp2057 {\rtlch\fcs1 \af0 \ltrch\fcs0 _x000d__x000a_\cs17\i0\v\fs20\cf9\lang1024\langfe1024\loch\af1\hich\af1\dbch\af31501\noproof\insrsid12206943\charrsid4593153 \hich\af1\dbch\af31501\loch\f1 &lt;OptDel&gt;}{\rtlch\fcs1 \af0 \ltrch\fcs0 \insrsid12206943\charrsid4593153 [ZCROSSREF]}{\rtlch\fcs1 \af0 _x000d__x000a_\ltrch\fcs0 \cs17\i0\v\fs20\cf9\lang1024\langfe1024\loch\af1\hich\af1\dbch\af31501\noproof\insrsid12206943\charrsid4593153 \hich\af1\dbch\af31501\loch\f1 &lt;/OptDel&gt;}{\rtlch\fcs1 \af0 \ltrch\fcs0 \insrsid12206943\charrsid4593153 _x000d__x000a_\par }\pard\plain \ltrpar\s22\qc \li0\ri0\sb240\sa240\keepn\nowidctlpar\wrapdefault\aspalpha\aspnum\faauto\adjustright\rin0\lin0\itap0\pararsid12206943 \rtlch\fcs1 \af0\afs20\alang1025 \ltrch\fcs0 \i\fs24\lang2057\langfe2057\cgrid\langnp2057\langfenp2057 {_x000d__x000a_\rtlch\fcs1 \af0 \ltrch\fcs0 \cs17\i0\v\fs20\cf9\lang1024\langfe1024\loch\af1\hich\af1\dbch\af31501\noproof\insrsid12206943\charrsid4593153 \hich\af1\dbch\af31501\loch\f1 &lt;TitreJust&gt;}{\rtlch\fcs1 \af0 \ltrch\fcs0 \insrsid12206943\charrsid4593153 _x000d__x000a_[ZJUSTIFICATION]}{\rtlch\fcs1 \af0 \ltrch\fcs0 \cs17\i0\v\fs20\cf9\lang1024\langfe1024\loch\af1\hich\af1\dbch\af31501\noproof\insrsid12206943\charrsid4593153 \hich\af1\dbch\af31501\loch\f1 &lt;/TitreJust&gt;}{\rtlch\fcs1 \af0 \ltrch\fcs0 _x000d__x000a_\insrsid12206943\charrsid4593153 _x000d__x000a_\par }\pard\plain \ltrpar\s20\ql \li0\ri0\sa240\nowidctlpar\wrapdefault\aspalpha\aspnum\faauto\adjustright\rin0\lin0\itap0\pararsid12206943 \rtlch\fcs1 \af0\afs20\alang1025 \ltrch\fcs0 \i\fs24\lang2057\langfe2057\cgrid\langnp2057\langfenp2057 {\rtlch\fcs1 _x000d__x000a_\af0 \ltrch\fcs0 \cs17\i0\v\fs20\cf9\lang1024\langfe1024\loch\af1\hich\af1\dbch\af31501\noproof\insrsid12206943\charrsid4593153 \hich\af1\dbch\af31501\loch\f1 &lt;OptDelPrev&gt;}{\rtlch\fcs1 \af0 \ltrch\fcs0 \insrsid12206943\charrsid4593153 [ZTEXTJUST]}{_x000d__x000a_\rtlch\fcs1 \af0 \ltrch\fcs0 \cs17\i0\v\fs20\cf9\lang1024\langfe1024\loch\af1\hich\af1\dbch\af31501\noproof\insrsid12206943\charrsid4593153 \hich\af1\dbch\af31501\loch\f1 &lt;/OptDelPrev&gt;}{\rtlch\fcs1 \af0 \ltrch\fcs0 \insrsid12206943\charrsid4593153 _x000d__x000a_\par }\pard\plain \ltrpar\ql \li0\ri0\widctlpar\wrapdefault\aspalpha\aspnum\faauto\adjustright\rin0\lin0\itap0\pararsid12206943 \rtlch\fcs1 \af0\afs20\alang1025 \ltrch\fcs0 \fs24\lang2057\langfe2057\cgrid\langnp2057\langfenp2057 {\rtlch\fcs1 \af0 \ltrch\fcs0 _x000d__x000a_\cs17\v\fs20\cf9\lang1024\langfe1024\loch\af1\hich\af1\dbch\af31501\noproof\insrsid12206943\charrsid4593153 \hich\af1\dbch\af31501\loch\f1 &lt;/Amend&gt;}{\rtlch\fcs1 \af0 \ltrch\fcs0 \insrsid1220694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f_x000d__x000a_051aff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5"/>
    <w:docVar w:name="TVTAMPART" w:val="ANNEX 1"/>
    <w:docVar w:name="TXTAUTHOR" w:val="Birgit Sippel"/>
    <w:docVar w:name="TXTLANGUE" w:val="FR"/>
    <w:docVar w:name="TXTLANGUEMIN" w:val="fr"/>
    <w:docVar w:name="TXTNRC" w:val="0437/2023"/>
    <w:docVar w:name="TXTNRCOD" w:val="2023/0452"/>
    <w:docVar w:name="TXTNRCOM" w:val="(2023)0777"/>
    <w:docVar w:name="TXTNRFIRSTAM" w:val="1"/>
    <w:docVar w:name="TXTNRLASTAM" w:val="1"/>
    <w:docVar w:name="TXTNRPE" w:val="758.054"/>
    <w:docVar w:name="TXTPEorAP" w:val="PE"/>
    <w:docVar w:name="TXTROUTE" w:val="RR\1295854FR.docx"/>
    <w:docVar w:name="TXTTITLE" w:val="Amending Regulation (EU) 2021/1232 of the European Parliament and of the Council on a temporary derogation from certain provisions of Directive 2002/58/EC for the purpose of combating online child sexual abuse"/>
    <w:docVar w:name="TXTVERSION" w:val="02-00"/>
  </w:docVars>
  <w:rsids>
    <w:rsidRoot w:val="00F57948"/>
    <w:rsid w:val="000067D9"/>
    <w:rsid w:val="00011AAB"/>
    <w:rsid w:val="00012351"/>
    <w:rsid w:val="000139E5"/>
    <w:rsid w:val="0004627A"/>
    <w:rsid w:val="00057183"/>
    <w:rsid w:val="00084DD2"/>
    <w:rsid w:val="00084E89"/>
    <w:rsid w:val="000942E0"/>
    <w:rsid w:val="000A4322"/>
    <w:rsid w:val="000B0866"/>
    <w:rsid w:val="000B7489"/>
    <w:rsid w:val="000D07D7"/>
    <w:rsid w:val="000F1096"/>
    <w:rsid w:val="000F3C84"/>
    <w:rsid w:val="001107EB"/>
    <w:rsid w:val="00120948"/>
    <w:rsid w:val="00123DD5"/>
    <w:rsid w:val="001277AE"/>
    <w:rsid w:val="00142215"/>
    <w:rsid w:val="00147FBF"/>
    <w:rsid w:val="001767E2"/>
    <w:rsid w:val="00187008"/>
    <w:rsid w:val="001B3829"/>
    <w:rsid w:val="001C5592"/>
    <w:rsid w:val="001C5B44"/>
    <w:rsid w:val="001C6342"/>
    <w:rsid w:val="001C6FFC"/>
    <w:rsid w:val="001F08BC"/>
    <w:rsid w:val="001F7C7C"/>
    <w:rsid w:val="00212B84"/>
    <w:rsid w:val="002346B0"/>
    <w:rsid w:val="002667C3"/>
    <w:rsid w:val="002669B6"/>
    <w:rsid w:val="00281A8F"/>
    <w:rsid w:val="00290BED"/>
    <w:rsid w:val="00290CCB"/>
    <w:rsid w:val="002A09B7"/>
    <w:rsid w:val="002D083A"/>
    <w:rsid w:val="002D13EE"/>
    <w:rsid w:val="002E33EE"/>
    <w:rsid w:val="002E40FD"/>
    <w:rsid w:val="002F40BB"/>
    <w:rsid w:val="002F4B02"/>
    <w:rsid w:val="003234EC"/>
    <w:rsid w:val="00323EF8"/>
    <w:rsid w:val="003316DD"/>
    <w:rsid w:val="00334C47"/>
    <w:rsid w:val="00366A46"/>
    <w:rsid w:val="00370AC3"/>
    <w:rsid w:val="003824EE"/>
    <w:rsid w:val="0039336F"/>
    <w:rsid w:val="003B4689"/>
    <w:rsid w:val="003C2068"/>
    <w:rsid w:val="003C37CF"/>
    <w:rsid w:val="004100B1"/>
    <w:rsid w:val="004150E7"/>
    <w:rsid w:val="00426E47"/>
    <w:rsid w:val="00434279"/>
    <w:rsid w:val="00447987"/>
    <w:rsid w:val="00455743"/>
    <w:rsid w:val="00461601"/>
    <w:rsid w:val="004C0915"/>
    <w:rsid w:val="004D424E"/>
    <w:rsid w:val="004E42C8"/>
    <w:rsid w:val="004E733D"/>
    <w:rsid w:val="004F3FA5"/>
    <w:rsid w:val="004F43AF"/>
    <w:rsid w:val="0051271F"/>
    <w:rsid w:val="00521F46"/>
    <w:rsid w:val="0054233E"/>
    <w:rsid w:val="00551111"/>
    <w:rsid w:val="00551123"/>
    <w:rsid w:val="00570A6A"/>
    <w:rsid w:val="00573F35"/>
    <w:rsid w:val="00586E50"/>
    <w:rsid w:val="0059583D"/>
    <w:rsid w:val="005A42D9"/>
    <w:rsid w:val="005C19B8"/>
    <w:rsid w:val="005C2BEF"/>
    <w:rsid w:val="005D1A99"/>
    <w:rsid w:val="005D7609"/>
    <w:rsid w:val="005D7EE8"/>
    <w:rsid w:val="00642325"/>
    <w:rsid w:val="00656CB5"/>
    <w:rsid w:val="006A2F5D"/>
    <w:rsid w:val="006E1812"/>
    <w:rsid w:val="006F7907"/>
    <w:rsid w:val="00743189"/>
    <w:rsid w:val="00743D33"/>
    <w:rsid w:val="00750818"/>
    <w:rsid w:val="00765210"/>
    <w:rsid w:val="00791E23"/>
    <w:rsid w:val="007932B3"/>
    <w:rsid w:val="00793EA9"/>
    <w:rsid w:val="007D6F68"/>
    <w:rsid w:val="007E4DD8"/>
    <w:rsid w:val="00823E6B"/>
    <w:rsid w:val="008266DC"/>
    <w:rsid w:val="00826780"/>
    <w:rsid w:val="00837CCD"/>
    <w:rsid w:val="00861A98"/>
    <w:rsid w:val="008633CC"/>
    <w:rsid w:val="00865190"/>
    <w:rsid w:val="008719B9"/>
    <w:rsid w:val="00894ECE"/>
    <w:rsid w:val="00896BB4"/>
    <w:rsid w:val="008A1C6E"/>
    <w:rsid w:val="008A7FB8"/>
    <w:rsid w:val="008B1CBA"/>
    <w:rsid w:val="008B71C9"/>
    <w:rsid w:val="008C6A07"/>
    <w:rsid w:val="008E4702"/>
    <w:rsid w:val="009022B8"/>
    <w:rsid w:val="00914537"/>
    <w:rsid w:val="00917CC4"/>
    <w:rsid w:val="00917F54"/>
    <w:rsid w:val="009527C0"/>
    <w:rsid w:val="009763DA"/>
    <w:rsid w:val="00982F02"/>
    <w:rsid w:val="0099178F"/>
    <w:rsid w:val="009975B3"/>
    <w:rsid w:val="009A216D"/>
    <w:rsid w:val="009B4B93"/>
    <w:rsid w:val="009B6B18"/>
    <w:rsid w:val="009C0399"/>
    <w:rsid w:val="009F24BE"/>
    <w:rsid w:val="009F6C2F"/>
    <w:rsid w:val="009F767A"/>
    <w:rsid w:val="00A22533"/>
    <w:rsid w:val="00A26F46"/>
    <w:rsid w:val="00A34FD3"/>
    <w:rsid w:val="00A36929"/>
    <w:rsid w:val="00A50548"/>
    <w:rsid w:val="00A60EE7"/>
    <w:rsid w:val="00A910C9"/>
    <w:rsid w:val="00AA35B0"/>
    <w:rsid w:val="00AA5C01"/>
    <w:rsid w:val="00AB0202"/>
    <w:rsid w:val="00AC0874"/>
    <w:rsid w:val="00AC2898"/>
    <w:rsid w:val="00AC2D43"/>
    <w:rsid w:val="00AD18C8"/>
    <w:rsid w:val="00AD5932"/>
    <w:rsid w:val="00AD7FA6"/>
    <w:rsid w:val="00AE4643"/>
    <w:rsid w:val="00AF0416"/>
    <w:rsid w:val="00B01527"/>
    <w:rsid w:val="00B10CB4"/>
    <w:rsid w:val="00B13D6F"/>
    <w:rsid w:val="00B23B72"/>
    <w:rsid w:val="00B42702"/>
    <w:rsid w:val="00B53B28"/>
    <w:rsid w:val="00B57B8B"/>
    <w:rsid w:val="00B6103D"/>
    <w:rsid w:val="00B71C41"/>
    <w:rsid w:val="00B735E3"/>
    <w:rsid w:val="00B85407"/>
    <w:rsid w:val="00B93F49"/>
    <w:rsid w:val="00B95702"/>
    <w:rsid w:val="00BC6489"/>
    <w:rsid w:val="00BD22BD"/>
    <w:rsid w:val="00BD480C"/>
    <w:rsid w:val="00C20954"/>
    <w:rsid w:val="00C23324"/>
    <w:rsid w:val="00C42A41"/>
    <w:rsid w:val="00C4634A"/>
    <w:rsid w:val="00C47E74"/>
    <w:rsid w:val="00C57A72"/>
    <w:rsid w:val="00C62471"/>
    <w:rsid w:val="00C73602"/>
    <w:rsid w:val="00CA3FD9"/>
    <w:rsid w:val="00CE64EF"/>
    <w:rsid w:val="00CF60C8"/>
    <w:rsid w:val="00D30DE2"/>
    <w:rsid w:val="00D32924"/>
    <w:rsid w:val="00D43458"/>
    <w:rsid w:val="00D503A3"/>
    <w:rsid w:val="00D6507C"/>
    <w:rsid w:val="00D66825"/>
    <w:rsid w:val="00DA6ED0"/>
    <w:rsid w:val="00DC5011"/>
    <w:rsid w:val="00E171B6"/>
    <w:rsid w:val="00E42656"/>
    <w:rsid w:val="00E4348D"/>
    <w:rsid w:val="00E72695"/>
    <w:rsid w:val="00EB1753"/>
    <w:rsid w:val="00EB6CFF"/>
    <w:rsid w:val="00EC37EF"/>
    <w:rsid w:val="00EE3996"/>
    <w:rsid w:val="00F07062"/>
    <w:rsid w:val="00F07751"/>
    <w:rsid w:val="00F23CFC"/>
    <w:rsid w:val="00F31682"/>
    <w:rsid w:val="00F433E2"/>
    <w:rsid w:val="00F57948"/>
    <w:rsid w:val="00F904AE"/>
    <w:rsid w:val="00F934F8"/>
    <w:rsid w:val="00FB52FE"/>
    <w:rsid w:val="00FC0A34"/>
    <w:rsid w:val="00FD1DEF"/>
    <w:rsid w:val="00FE3B3F"/>
    <w:rsid w:val="00FF04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77CEB"/>
  <w15:chartTrackingRefBased/>
  <w15:docId w15:val="{28ACE1F0-CD66-4EC0-A7E4-EE50A3925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lsdException w:name="footer" w:semiHidden="1"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link w:val="AmNumberTabsChar"/>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791E23"/>
    <w:pPr>
      <w:tabs>
        <w:tab w:val="right" w:pos="454"/>
        <w:tab w:val="left" w:pos="737"/>
      </w:tabs>
      <w:ind w:left="737" w:hanging="737"/>
    </w:pPr>
    <w:rPr>
      <w:snapToGrid w:val="0"/>
      <w:sz w:val="18"/>
      <w:lang w:eastAsia="en-US"/>
    </w:rPr>
  </w:style>
  <w:style w:type="paragraph" w:customStyle="1" w:styleId="Lgendetitre">
    <w:name w:val="Légende titre"/>
    <w:basedOn w:val="Normal"/>
    <w:rsid w:val="00791E23"/>
    <w:pPr>
      <w:spacing w:before="240" w:after="240"/>
    </w:pPr>
    <w:rPr>
      <w:b/>
      <w:i/>
      <w:snapToGrid w:val="0"/>
      <w:lang w:eastAsia="en-US"/>
    </w:rPr>
  </w:style>
  <w:style w:type="paragraph" w:customStyle="1" w:styleId="Lgendestandard">
    <w:name w:val="Légende standard"/>
    <w:basedOn w:val="Normal"/>
    <w:rsid w:val="00791E23"/>
    <w:rPr>
      <w:sz w:val="18"/>
    </w:rPr>
  </w:style>
  <w:style w:type="paragraph" w:styleId="FootnoteText">
    <w:name w:val="footnote text"/>
    <w:basedOn w:val="Normal"/>
    <w:link w:val="FootnoteTextChar"/>
    <w:rsid w:val="00791E23"/>
    <w:rPr>
      <w:sz w:val="20"/>
    </w:rPr>
  </w:style>
  <w:style w:type="character" w:customStyle="1" w:styleId="FootnoteTextChar">
    <w:name w:val="Footnote Text Char"/>
    <w:basedOn w:val="DefaultParagraphFont"/>
    <w:link w:val="FootnoteText"/>
    <w:rsid w:val="00791E23"/>
  </w:style>
  <w:style w:type="character" w:styleId="FootnoteReference">
    <w:name w:val="footnote reference"/>
    <w:basedOn w:val="DefaultParagraphFont"/>
    <w:rsid w:val="00791E23"/>
    <w:rPr>
      <w:vertAlign w:val="superscript"/>
    </w:rPr>
  </w:style>
  <w:style w:type="paragraph" w:styleId="ListParagraph">
    <w:name w:val="List Paragraph"/>
    <w:basedOn w:val="Normal"/>
    <w:uiPriority w:val="34"/>
    <w:qFormat/>
    <w:rsid w:val="008266DC"/>
    <w:pPr>
      <w:widowControl/>
      <w:ind w:left="720"/>
      <w:contextualSpacing/>
      <w:jc w:val="both"/>
    </w:pPr>
    <w:rPr>
      <w:rFonts w:eastAsiaTheme="minorHAnsi"/>
      <w:szCs w:val="24"/>
      <w:lang w:eastAsia="en-US"/>
    </w:rPr>
  </w:style>
  <w:style w:type="character" w:customStyle="1" w:styleId="NormalBoldChar">
    <w:name w:val="NormalBold Char"/>
    <w:basedOn w:val="DefaultParagraphFont"/>
    <w:link w:val="NormalBold"/>
    <w:rsid w:val="008266DC"/>
    <w:rPr>
      <w:b/>
      <w:sz w:val="24"/>
    </w:rPr>
  </w:style>
  <w:style w:type="paragraph" w:customStyle="1" w:styleId="oj-normal">
    <w:name w:val="oj-normal"/>
    <w:basedOn w:val="Normal"/>
    <w:rsid w:val="008266DC"/>
    <w:pPr>
      <w:widowControl/>
      <w:spacing w:before="100" w:beforeAutospacing="1" w:after="100" w:afterAutospacing="1"/>
    </w:pPr>
    <w:rPr>
      <w:szCs w:val="24"/>
    </w:rPr>
  </w:style>
  <w:style w:type="paragraph" w:customStyle="1" w:styleId="Default">
    <w:name w:val="Default"/>
    <w:rsid w:val="008266DC"/>
    <w:pPr>
      <w:autoSpaceDE w:val="0"/>
      <w:autoSpaceDN w:val="0"/>
      <w:adjustRightInd w:val="0"/>
    </w:pPr>
    <w:rPr>
      <w:rFonts w:eastAsiaTheme="minorHAnsi"/>
      <w:color w:val="000000"/>
      <w:sz w:val="24"/>
      <w:szCs w:val="24"/>
      <w:lang w:eastAsia="en-US"/>
    </w:rPr>
  </w:style>
  <w:style w:type="character" w:customStyle="1" w:styleId="Heading9Char">
    <w:name w:val="Heading 9 Char"/>
    <w:basedOn w:val="DefaultParagraphFont"/>
    <w:link w:val="Heading9"/>
    <w:uiPriority w:val="9"/>
    <w:semiHidden/>
    <w:rsid w:val="008266DC"/>
    <w:rPr>
      <w:rFonts w:ascii="Arial" w:hAnsi="Arial"/>
      <w:b/>
      <w:i/>
      <w:sz w:val="18"/>
    </w:rPr>
  </w:style>
  <w:style w:type="paragraph" w:styleId="Footer">
    <w:name w:val="footer"/>
    <w:basedOn w:val="Normal"/>
    <w:link w:val="FooterChar"/>
    <w:uiPriority w:val="99"/>
    <w:unhideWhenUsed/>
    <w:rsid w:val="008266DC"/>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uiPriority w:val="99"/>
    <w:rsid w:val="008266DC"/>
    <w:rPr>
      <w:rFonts w:eastAsiaTheme="minorHAnsi"/>
      <w:sz w:val="24"/>
      <w:szCs w:val="24"/>
      <w:lang w:eastAsia="en-US"/>
    </w:rPr>
  </w:style>
  <w:style w:type="character" w:customStyle="1" w:styleId="Normal6Char">
    <w:name w:val="Normal6 Char"/>
    <w:basedOn w:val="DefaultParagraphFont"/>
    <w:link w:val="Normal6"/>
    <w:locked/>
    <w:rsid w:val="000D07D7"/>
    <w:rPr>
      <w:sz w:val="24"/>
      <w:lang w:val="fr-FR"/>
    </w:rPr>
  </w:style>
  <w:style w:type="paragraph" w:customStyle="1" w:styleId="Normal6">
    <w:name w:val="Normal6"/>
    <w:basedOn w:val="Normal"/>
    <w:link w:val="Normal6Char"/>
    <w:rsid w:val="000D07D7"/>
    <w:pPr>
      <w:spacing w:after="120"/>
    </w:pPr>
  </w:style>
  <w:style w:type="paragraph" w:customStyle="1" w:styleId="Normal12Italic">
    <w:name w:val="Normal12Italic"/>
    <w:basedOn w:val="Normal"/>
    <w:rsid w:val="000D07D7"/>
    <w:pPr>
      <w:spacing w:after="240"/>
    </w:pPr>
    <w:rPr>
      <w:i/>
      <w:noProof/>
    </w:rPr>
  </w:style>
  <w:style w:type="paragraph" w:customStyle="1" w:styleId="JustificationTitle">
    <w:name w:val="JustificationTitle"/>
    <w:basedOn w:val="Normal"/>
    <w:next w:val="Normal"/>
    <w:rsid w:val="000D07D7"/>
    <w:pPr>
      <w:keepNext/>
      <w:spacing w:before="240" w:after="240"/>
      <w:jc w:val="center"/>
    </w:pPr>
    <w:rPr>
      <w:i/>
      <w:noProof/>
    </w:rPr>
  </w:style>
  <w:style w:type="paragraph" w:customStyle="1" w:styleId="ColumnHeading">
    <w:name w:val="ColumnHeading"/>
    <w:basedOn w:val="Normal"/>
    <w:rsid w:val="000D07D7"/>
    <w:pPr>
      <w:spacing w:after="240"/>
      <w:jc w:val="center"/>
    </w:pPr>
    <w:rPr>
      <w:i/>
    </w:rPr>
  </w:style>
  <w:style w:type="paragraph" w:customStyle="1" w:styleId="AMNumberTabs0">
    <w:name w:val="AMNumberTabs"/>
    <w:basedOn w:val="Normal"/>
    <w:rsid w:val="000D07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D07D7"/>
    <w:pPr>
      <w:jc w:val="right"/>
    </w:pPr>
  </w:style>
  <w:style w:type="paragraph" w:customStyle="1" w:styleId="Normal24a">
    <w:name w:val="Normal24a"/>
    <w:basedOn w:val="Normal"/>
    <w:rsid w:val="00573F35"/>
    <w:pPr>
      <w:spacing w:after="480"/>
    </w:pPr>
  </w:style>
  <w:style w:type="paragraph" w:customStyle="1" w:styleId="NormalBoldCenter">
    <w:name w:val="NormalBoldCenter"/>
    <w:basedOn w:val="Normal"/>
    <w:rsid w:val="00573F35"/>
    <w:pPr>
      <w:jc w:val="center"/>
    </w:pPr>
    <w:rPr>
      <w:b/>
    </w:rPr>
  </w:style>
  <w:style w:type="paragraph" w:styleId="CommentText">
    <w:name w:val="annotation text"/>
    <w:basedOn w:val="Normal"/>
    <w:link w:val="CommentTextChar"/>
    <w:unhideWhenUsed/>
    <w:rsid w:val="00CA3FD9"/>
    <w:rPr>
      <w:sz w:val="20"/>
    </w:rPr>
  </w:style>
  <w:style w:type="character" w:customStyle="1" w:styleId="CommentTextChar">
    <w:name w:val="Comment Text Char"/>
    <w:basedOn w:val="DefaultParagraphFont"/>
    <w:link w:val="CommentText"/>
    <w:rsid w:val="00CA3FD9"/>
  </w:style>
  <w:style w:type="character" w:styleId="CommentReference">
    <w:name w:val="annotation reference"/>
    <w:basedOn w:val="DefaultParagraphFont"/>
    <w:unhideWhenUsed/>
    <w:rsid w:val="00CA3FD9"/>
    <w:rPr>
      <w:sz w:val="16"/>
      <w:szCs w:val="16"/>
    </w:rPr>
  </w:style>
  <w:style w:type="paragraph" w:styleId="CommentSubject">
    <w:name w:val="annotation subject"/>
    <w:basedOn w:val="CommentText"/>
    <w:next w:val="CommentText"/>
    <w:link w:val="CommentSubjectChar"/>
    <w:semiHidden/>
    <w:unhideWhenUsed/>
    <w:rsid w:val="00290CCB"/>
    <w:rPr>
      <w:b/>
      <w:bCs/>
    </w:rPr>
  </w:style>
  <w:style w:type="character" w:customStyle="1" w:styleId="CommentSubjectChar">
    <w:name w:val="Comment Subject Char"/>
    <w:basedOn w:val="CommentTextChar"/>
    <w:link w:val="CommentSubject"/>
    <w:semiHidden/>
    <w:rsid w:val="00290CCB"/>
    <w:rPr>
      <w:b/>
      <w:bCs/>
    </w:rPr>
  </w:style>
  <w:style w:type="paragraph" w:styleId="BalloonText">
    <w:name w:val="Balloon Text"/>
    <w:basedOn w:val="Normal"/>
    <w:link w:val="BalloonTextChar"/>
    <w:semiHidden/>
    <w:unhideWhenUsed/>
    <w:rsid w:val="00C4634A"/>
    <w:rPr>
      <w:rFonts w:ascii="Segoe UI" w:hAnsi="Segoe UI" w:cs="Segoe UI"/>
      <w:sz w:val="18"/>
      <w:szCs w:val="18"/>
    </w:rPr>
  </w:style>
  <w:style w:type="character" w:customStyle="1" w:styleId="BalloonTextChar">
    <w:name w:val="Balloon Text Char"/>
    <w:basedOn w:val="DefaultParagraphFont"/>
    <w:link w:val="BalloonText"/>
    <w:semiHidden/>
    <w:rsid w:val="00C4634A"/>
    <w:rPr>
      <w:rFonts w:ascii="Segoe UI" w:hAnsi="Segoe UI" w:cs="Segoe UI"/>
      <w:sz w:val="18"/>
      <w:szCs w:val="18"/>
    </w:rPr>
  </w:style>
  <w:style w:type="character" w:customStyle="1" w:styleId="AmNumberTabsChar">
    <w:name w:val="AmNumberTabs Char"/>
    <w:basedOn w:val="DefaultParagraphFont"/>
    <w:link w:val="AmNumberTabs"/>
    <w:rsid w:val="00AA5C01"/>
    <w:rPr>
      <w:b/>
      <w:sz w:val="24"/>
    </w:rPr>
  </w:style>
  <w:style w:type="character" w:customStyle="1" w:styleId="NormalBold12bChar">
    <w:name w:val="NormalBold12b Char"/>
    <w:basedOn w:val="AmNumberTabsChar"/>
    <w:link w:val="NormalBold12b"/>
    <w:rsid w:val="00AA5C01"/>
    <w:rPr>
      <w:b/>
      <w:sz w:val="24"/>
    </w:rPr>
  </w:style>
  <w:style w:type="paragraph" w:customStyle="1" w:styleId="Normal12a">
    <w:name w:val="Normal12a"/>
    <w:basedOn w:val="Normal"/>
    <w:rsid w:val="00AA5C01"/>
    <w:pPr>
      <w:spacing w:after="240"/>
    </w:pPr>
  </w:style>
  <w:style w:type="paragraph" w:customStyle="1" w:styleId="RollCallVotes">
    <w:name w:val="RollCallVotes"/>
    <w:basedOn w:val="Normal"/>
    <w:rsid w:val="00AA5C01"/>
    <w:pPr>
      <w:spacing w:before="120" w:after="120"/>
      <w:jc w:val="center"/>
    </w:pPr>
    <w:rPr>
      <w:b/>
      <w:bCs/>
      <w:snapToGrid w:val="0"/>
      <w:sz w:val="16"/>
      <w:lang w:eastAsia="en-US"/>
    </w:rPr>
  </w:style>
  <w:style w:type="paragraph" w:customStyle="1" w:styleId="RollCallTabs">
    <w:name w:val="RollCallTabs"/>
    <w:basedOn w:val="Normal"/>
    <w:qFormat/>
    <w:rsid w:val="00AA5C01"/>
    <w:pPr>
      <w:tabs>
        <w:tab w:val="center" w:pos="284"/>
        <w:tab w:val="left" w:pos="426"/>
      </w:tabs>
    </w:pPr>
    <w:rPr>
      <w:snapToGrid w:val="0"/>
      <w:lang w:eastAsia="en-US"/>
    </w:rPr>
  </w:style>
  <w:style w:type="paragraph" w:customStyle="1" w:styleId="RollCallSymbols14pt">
    <w:name w:val="RollCallSymbols14pt"/>
    <w:basedOn w:val="Normal"/>
    <w:rsid w:val="00AA5C01"/>
    <w:pPr>
      <w:spacing w:before="120" w:after="120"/>
      <w:jc w:val="center"/>
    </w:pPr>
    <w:rPr>
      <w:rFonts w:ascii="Arial" w:hAnsi="Arial"/>
      <w:b/>
      <w:bCs/>
      <w:snapToGrid w:val="0"/>
      <w:sz w:val="28"/>
      <w:lang w:eastAsia="en-US"/>
    </w:rPr>
  </w:style>
  <w:style w:type="paragraph" w:customStyle="1" w:styleId="RollCallTable">
    <w:name w:val="RollCallTable"/>
    <w:basedOn w:val="Normal"/>
    <w:rsid w:val="00AA5C0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17F24-D662-4E2A-B78E-2C0527FED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3682</Words>
  <Characters>21172</Characters>
  <Application>Microsoft Office Word</Application>
  <DocSecurity>0</DocSecurity>
  <Lines>1058</Lines>
  <Paragraphs>370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LOWYS Elisabeth</cp:lastModifiedBy>
  <cp:revision>2</cp:revision>
  <cp:lastPrinted>2004-11-04T09:41:00Z</cp:lastPrinted>
  <dcterms:created xsi:type="dcterms:W3CDTF">2024-02-15T11:03:00Z</dcterms:created>
  <dcterms:modified xsi:type="dcterms:W3CDTF">2024-02-15T11:03:00Z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1295854</vt:lpwstr>
  </property>
  <property fmtid="{D5CDD505-2E9C-101B-9397-08002B2CF9AE}" pid="4" name="&lt;Model&gt;">
    <vt:lpwstr>PR_COD_1amCom</vt:lpwstr>
  </property>
  <property fmtid="{D5CDD505-2E9C-101B-9397-08002B2CF9AE}" pid="5" name="&lt;ModelCod&gt;">
    <vt:lpwstr>\\eiciLUXpr1\pdocep$\DocEP\DOCS\General\PR\PR_Leg\COD\COD_1st\PR_COD_1amCom.dotx(17/04/2020 18:27:09)</vt:lpwstr>
  </property>
  <property fmtid="{D5CDD505-2E9C-101B-9397-08002B2CF9AE}" pid="6" name="&lt;ModelTra&gt;">
    <vt:lpwstr>\\eiciLUXpr1\pdocep$\DocEP\TRANSFIL\EN\PR_COD_1amCom.EN(29/06/2022 09:21:37)</vt:lpwstr>
  </property>
  <property fmtid="{D5CDD505-2E9C-101B-9397-08002B2CF9AE}" pid="7" name="&lt;Type&gt;">
    <vt:lpwstr>RR</vt:lpwstr>
  </property>
  <property fmtid="{D5CDD505-2E9C-101B-9397-08002B2CF9AE}" pid="8" name="Bookout">
    <vt:lpwstr>OK - 2024/02/15 12:03</vt:lpwstr>
  </property>
  <property fmtid="{D5CDD505-2E9C-101B-9397-08002B2CF9AE}" pid="9" name="Created with">
    <vt:lpwstr>9.16.1 Build [20230920]</vt:lpwstr>
  </property>
  <property fmtid="{D5CDD505-2E9C-101B-9397-08002B2CF9AE}" pid="10" name="FooterPath">
    <vt:lpwstr>RR\1295854FR.docx</vt:lpwstr>
  </property>
  <property fmtid="{D5CDD505-2E9C-101B-9397-08002B2CF9AE}" pid="11" name="LastEdited with">
    <vt:lpwstr>9.17.1 Build [20240111]</vt:lpwstr>
  </property>
  <property fmtid="{D5CDD505-2E9C-101B-9397-08002B2CF9AE}" pid="12" name="PE number">
    <vt:lpwstr>758.054</vt:lpwstr>
  </property>
  <property fmtid="{D5CDD505-2E9C-101B-9397-08002B2CF9AE}" pid="13" name="SDLStudio">
    <vt:lpwstr/>
  </property>
  <property fmtid="{D5CDD505-2E9C-101B-9397-08002B2CF9AE}" pid="14" name="SendToEpades">
    <vt:lpwstr>OK - 2024/01/18 10:13</vt:lpwstr>
  </property>
</Properties>
</file>