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DE6EC0" w:rsidTr="0018149D">
        <w:trPr>
          <w:trHeight w:hRule="exact" w:val="1418"/>
        </w:trPr>
        <w:tc>
          <w:tcPr>
            <w:tcW w:w="6804" w:type="dxa"/>
            <w:shd w:val="clear" w:color="auto" w:fill="auto"/>
            <w:vAlign w:val="center"/>
          </w:tcPr>
          <w:p w:rsidR="008B5034" w:rsidRPr="00DE6EC0" w:rsidRDefault="00001CF8" w:rsidP="0018149D">
            <w:pPr>
              <w:pStyle w:val="EPName"/>
            </w:pPr>
            <w:r>
              <w:t>Parlement européen</w:t>
            </w:r>
          </w:p>
          <w:p w:rsidR="008B5034" w:rsidRPr="00DE6EC0" w:rsidRDefault="00830A38" w:rsidP="00830A38">
            <w:pPr>
              <w:pStyle w:val="EPTerm"/>
            </w:pPr>
            <w:r>
              <w:t>2019-2024</w:t>
            </w:r>
          </w:p>
        </w:tc>
        <w:tc>
          <w:tcPr>
            <w:tcW w:w="2268" w:type="dxa"/>
            <w:shd w:val="clear" w:color="auto" w:fill="auto"/>
          </w:tcPr>
          <w:p w:rsidR="008B5034" w:rsidRPr="00DE6EC0" w:rsidRDefault="008B5034" w:rsidP="0018149D">
            <w:pPr>
              <w:pStyle w:val="EPLogo"/>
            </w:pPr>
            <w:r w:rsidRPr="00DE6EC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DE6EC0" w:rsidRDefault="00C71A3C" w:rsidP="00C71A3C">
      <w:pPr>
        <w:pStyle w:val="LineTop"/>
      </w:pPr>
    </w:p>
    <w:p w:rsidR="00C71A3C" w:rsidRPr="00DE6EC0" w:rsidRDefault="009B4566" w:rsidP="00C71A3C">
      <w:pPr>
        <w:pStyle w:val="EPBody"/>
      </w:pPr>
      <w:r>
        <w:t>Document de séance</w:t>
      </w:r>
    </w:p>
    <w:p w:rsidR="00C71A3C" w:rsidRPr="00DE6EC0" w:rsidRDefault="00C71A3C" w:rsidP="00C71A3C">
      <w:pPr>
        <w:pStyle w:val="LineBottom"/>
      </w:pPr>
    </w:p>
    <w:p w:rsidR="00ED0821" w:rsidRPr="00DE6EC0" w:rsidRDefault="009B4566">
      <w:pPr>
        <w:pStyle w:val="CoverReference"/>
      </w:pPr>
      <w:r>
        <w:rPr>
          <w:rStyle w:val="HideTWBExt"/>
        </w:rPr>
        <w:t>&lt;NoDocSe&gt;</w:t>
      </w:r>
      <w:r>
        <w:t>A9-0077/2024</w:t>
      </w:r>
      <w:r>
        <w:rPr>
          <w:rStyle w:val="HideTWBExt"/>
        </w:rPr>
        <w:t>&lt;/NoDocSe&gt;</w:t>
      </w:r>
    </w:p>
    <w:p w:rsidR="00ED0821" w:rsidRPr="00DE6EC0" w:rsidRDefault="00ED0821">
      <w:pPr>
        <w:pStyle w:val="CoverDate"/>
      </w:pPr>
      <w:r>
        <w:rPr>
          <w:rStyle w:val="HideTWBExt"/>
        </w:rPr>
        <w:t>&lt;Date&gt;</w:t>
      </w:r>
      <w:r>
        <w:rPr>
          <w:rStyle w:val="HideTWBInt"/>
        </w:rPr>
        <w:t>{07/03/2024}</w:t>
      </w:r>
      <w:r>
        <w:t>7.3.2024</w:t>
      </w:r>
      <w:r>
        <w:rPr>
          <w:rStyle w:val="HideTWBExt"/>
        </w:rPr>
        <w:t>&lt;/Date&gt;</w:t>
      </w:r>
    </w:p>
    <w:p w:rsidR="00ED0821" w:rsidRPr="00DE6EC0" w:rsidRDefault="00ED0821">
      <w:pPr>
        <w:pStyle w:val="CoverDocType"/>
      </w:pPr>
      <w:r>
        <w:rPr>
          <w:rStyle w:val="HideTWBExt"/>
          <w:b w:val="0"/>
        </w:rPr>
        <w:t>&lt;RefProcLect&gt;</w:t>
      </w:r>
      <w:r>
        <w:t>***I</w:t>
      </w:r>
      <w:r>
        <w:rPr>
          <w:rStyle w:val="HideTWBExt"/>
          <w:b w:val="0"/>
        </w:rPr>
        <w:t>&lt;/RefProcLect&gt;</w:t>
      </w:r>
    </w:p>
    <w:p w:rsidR="00ED0821" w:rsidRPr="00DE6EC0" w:rsidRDefault="00ED0821">
      <w:pPr>
        <w:pStyle w:val="CoverDocType24a"/>
      </w:pPr>
      <w:r>
        <w:rPr>
          <w:rStyle w:val="HideTWBExt"/>
          <w:b w:val="0"/>
        </w:rPr>
        <w:t>&lt;TitreType&gt;</w:t>
      </w:r>
      <w:r>
        <w:t>RAPPORT</w:t>
      </w:r>
      <w:r>
        <w:rPr>
          <w:rStyle w:val="HideTWBExt"/>
          <w:b w:val="0"/>
        </w:rPr>
        <w:t>&lt;/TitreType&gt;</w:t>
      </w:r>
    </w:p>
    <w:p w:rsidR="00ED0821" w:rsidRPr="00DE6EC0" w:rsidRDefault="00ED0821">
      <w:pPr>
        <w:pStyle w:val="CoverNormal"/>
      </w:pPr>
      <w:r>
        <w:rPr>
          <w:rStyle w:val="HideTWBExt"/>
        </w:rPr>
        <w:t>&lt;Titre&gt;</w:t>
      </w:r>
      <w:r>
        <w:t>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r>
        <w:rPr>
          <w:rStyle w:val="HideTWBExt"/>
        </w:rPr>
        <w:t>&lt;/Titre&gt;</w:t>
      </w:r>
    </w:p>
    <w:p w:rsidR="00ED0821" w:rsidRPr="00DE6EC0" w:rsidRDefault="00ED0821">
      <w:pPr>
        <w:pStyle w:val="CoverNormal24a"/>
      </w:pPr>
      <w:r>
        <w:rPr>
          <w:rStyle w:val="HideTWBExt"/>
        </w:rPr>
        <w:t>&lt;DocRef&gt;</w:t>
      </w:r>
      <w:r>
        <w:t>(COM(2024)0050 – C9</w:t>
      </w:r>
      <w:r>
        <w:noBreakHyphen/>
        <w:t>0021/2024 – 2024/0028(COD))</w:t>
      </w:r>
      <w:r>
        <w:rPr>
          <w:rStyle w:val="HideTWBExt"/>
        </w:rPr>
        <w:t>&lt;/DocRef&gt;</w:t>
      </w:r>
    </w:p>
    <w:p w:rsidR="00ED0821" w:rsidRPr="00DE6EC0" w:rsidRDefault="00ED0821">
      <w:pPr>
        <w:pStyle w:val="CoverNormal24a"/>
      </w:pPr>
      <w:r>
        <w:rPr>
          <w:rStyle w:val="HideTWBExt"/>
        </w:rPr>
        <w:t>&lt;Commission&gt;</w:t>
      </w:r>
      <w:r>
        <w:rPr>
          <w:rStyle w:val="HideTWBInt"/>
        </w:rPr>
        <w:t>{INTA}</w:t>
      </w:r>
      <w:r>
        <w:t>Commission du commerce international</w:t>
      </w:r>
      <w:r>
        <w:rPr>
          <w:rStyle w:val="HideTWBExt"/>
        </w:rPr>
        <w:t>&lt;/Commission&gt;</w:t>
      </w:r>
    </w:p>
    <w:p w:rsidR="00ED0821" w:rsidRPr="00DE6EC0" w:rsidRDefault="00001CF8">
      <w:pPr>
        <w:pStyle w:val="CoverNormal24a"/>
      </w:pPr>
      <w:r>
        <w:t xml:space="preserve">Rapporteure: </w:t>
      </w:r>
      <w:r>
        <w:rPr>
          <w:rStyle w:val="HideTWBExt"/>
        </w:rPr>
        <w:t>&lt;Depute&gt;</w:t>
      </w:r>
      <w:r>
        <w:t>Sandra Kalniete</w:t>
      </w:r>
      <w:r>
        <w:rPr>
          <w:rStyle w:val="HideTWBExt"/>
        </w:rPr>
        <w:t>&lt;/Depute&gt;</w:t>
      </w:r>
    </w:p>
    <w:p w:rsidR="00BE4EC7" w:rsidRPr="00DE6EC0" w:rsidRDefault="00BE4EC7" w:rsidP="00BE4EC7">
      <w:pPr>
        <w:pStyle w:val="CoverNormal"/>
      </w:pPr>
    </w:p>
    <w:p w:rsidR="00830A38" w:rsidRPr="00DE6EC0" w:rsidRDefault="00ED0821" w:rsidP="0018149D">
      <w:r>
        <w:br w:type="page"/>
      </w:r>
      <w:fldSimple w:instr=" TITLE  \* MERGEFORMAT ">
        <w:r w:rsidR="00B55FCC">
          <w:t>PR_COD_1app</w:t>
        </w:r>
      </w:fldSimple>
    </w:p>
    <w:p w:rsidR="00830A38" w:rsidRPr="00DE6EC0" w:rsidRDefault="00830A38" w:rsidP="0018149D"/>
    <w:p w:rsidR="00830A38" w:rsidRPr="00DE6EC0" w:rsidRDefault="00830A38" w:rsidP="001814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59D9" w:rsidRPr="00DE6EC0">
        <w:tc>
          <w:tcPr>
            <w:tcW w:w="5811" w:type="dxa"/>
          </w:tcPr>
          <w:p w:rsidR="004259D9" w:rsidRPr="007A743B" w:rsidRDefault="004259D9" w:rsidP="004259D9">
            <w:pPr>
              <w:pStyle w:val="Lgendetitre"/>
            </w:pPr>
            <w:r>
              <w:t>Légende des signes utilisés</w:t>
            </w:r>
          </w:p>
        </w:tc>
      </w:tr>
      <w:tr w:rsidR="004259D9" w:rsidRPr="00DE6EC0" w:rsidTr="0018149D">
        <w:trPr>
          <w:cantSplit/>
          <w:trHeight w:val="1807"/>
        </w:trPr>
        <w:tc>
          <w:tcPr>
            <w:tcW w:w="5811" w:type="dxa"/>
            <w:tcBorders>
              <w:bottom w:val="single" w:sz="4" w:space="0" w:color="auto"/>
            </w:tcBorders>
          </w:tcPr>
          <w:p w:rsidR="004259D9" w:rsidRPr="007A743B" w:rsidRDefault="004259D9" w:rsidP="004259D9">
            <w:pPr>
              <w:pStyle w:val="Lgendesigne"/>
            </w:pPr>
            <w:r>
              <w:tab/>
              <w:t>*</w:t>
            </w:r>
            <w:r>
              <w:tab/>
              <w:t>Procédure de consultation</w:t>
            </w:r>
            <w:r>
              <w:tab/>
            </w:r>
          </w:p>
          <w:p w:rsidR="004259D9" w:rsidRPr="007A743B" w:rsidRDefault="004259D9" w:rsidP="004259D9">
            <w:pPr>
              <w:pStyle w:val="Lgendesigne"/>
            </w:pPr>
            <w:r>
              <w:tab/>
              <w:t>***</w:t>
            </w:r>
            <w:r>
              <w:tab/>
              <w:t>Procédure d’approbation</w:t>
            </w:r>
          </w:p>
          <w:p w:rsidR="004259D9" w:rsidRPr="007A743B" w:rsidRDefault="004259D9" w:rsidP="004259D9">
            <w:pPr>
              <w:pStyle w:val="Lgendesigne"/>
            </w:pPr>
            <w:r>
              <w:tab/>
              <w:t>***I</w:t>
            </w:r>
            <w:r>
              <w:tab/>
              <w:t>Procédure législative ordinaire (première lecture)</w:t>
            </w:r>
          </w:p>
          <w:p w:rsidR="004259D9" w:rsidRPr="007A743B" w:rsidRDefault="004259D9" w:rsidP="004259D9">
            <w:pPr>
              <w:pStyle w:val="Lgendesigne"/>
            </w:pPr>
            <w:r>
              <w:tab/>
              <w:t>***II</w:t>
            </w:r>
            <w:r>
              <w:tab/>
              <w:t>Procédure législative ordinaire (deuxième lecture)</w:t>
            </w:r>
          </w:p>
          <w:p w:rsidR="004259D9" w:rsidRPr="007A743B" w:rsidRDefault="004259D9" w:rsidP="004259D9">
            <w:pPr>
              <w:pStyle w:val="Lgendesigne"/>
            </w:pPr>
            <w:r>
              <w:tab/>
              <w:t>***III</w:t>
            </w:r>
            <w:r>
              <w:tab/>
              <w:t>Procédure législative ordinaire (troisième lecture)</w:t>
            </w:r>
            <w:r>
              <w:br/>
            </w:r>
          </w:p>
          <w:p w:rsidR="004259D9" w:rsidRPr="007A743B" w:rsidRDefault="004259D9" w:rsidP="004259D9">
            <w:pPr>
              <w:pStyle w:val="Lgendestandard"/>
            </w:pPr>
            <w:r>
              <w:t>(La procédure indiquée est fondée sur la base juridique proposée par le projet d’acte.)</w:t>
            </w:r>
          </w:p>
          <w:p w:rsidR="004259D9" w:rsidRPr="007A743B" w:rsidRDefault="004259D9" w:rsidP="004259D9">
            <w:pPr>
              <w:pStyle w:val="Lgendestandard"/>
            </w:pPr>
          </w:p>
        </w:tc>
      </w:tr>
    </w:tbl>
    <w:p w:rsidR="00830A38" w:rsidRPr="00DE6EC0" w:rsidRDefault="00830A38" w:rsidP="0018149D"/>
    <w:p w:rsidR="00830A38" w:rsidRPr="00DE6EC0" w:rsidRDefault="00830A38" w:rsidP="0018149D"/>
    <w:p w:rsidR="00830A38" w:rsidRPr="00DE6EC0" w:rsidRDefault="00830A38" w:rsidP="0018149D"/>
    <w:p w:rsidR="00830A38" w:rsidRPr="00DE6EC0" w:rsidRDefault="00830A38" w:rsidP="001814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59D9" w:rsidRPr="00DE6EC0">
        <w:tc>
          <w:tcPr>
            <w:tcW w:w="5811" w:type="dxa"/>
          </w:tcPr>
          <w:p w:rsidR="004259D9" w:rsidRPr="007A743B" w:rsidRDefault="004259D9" w:rsidP="004259D9">
            <w:pPr>
              <w:pStyle w:val="Lgendetitre"/>
            </w:pPr>
            <w:r>
              <w:t>Amendements à un projet d’acte</w:t>
            </w:r>
          </w:p>
        </w:tc>
      </w:tr>
      <w:tr w:rsidR="004259D9" w:rsidRPr="00DE6EC0" w:rsidTr="0018149D">
        <w:trPr>
          <w:trHeight w:val="4496"/>
        </w:trPr>
        <w:tc>
          <w:tcPr>
            <w:tcW w:w="5811" w:type="dxa"/>
          </w:tcPr>
          <w:p w:rsidR="004259D9" w:rsidRPr="007A743B" w:rsidRDefault="004259D9" w:rsidP="004259D9">
            <w:pPr>
              <w:pStyle w:val="Lgendestandard"/>
            </w:pPr>
          </w:p>
          <w:p w:rsidR="004259D9" w:rsidRPr="007A743B" w:rsidRDefault="004259D9" w:rsidP="004259D9">
            <w:pPr>
              <w:pStyle w:val="Lgendestandard"/>
              <w:rPr>
                <w:szCs w:val="18"/>
              </w:rPr>
            </w:pPr>
            <w:r>
              <w:rPr>
                <w:b/>
              </w:rPr>
              <w:t>Amendements du Parlement présentés en deux colonnes</w:t>
            </w:r>
          </w:p>
          <w:p w:rsidR="004259D9" w:rsidRPr="007A743B" w:rsidRDefault="004259D9" w:rsidP="004259D9">
            <w:pPr>
              <w:pStyle w:val="Lgendestandard"/>
              <w:rPr>
                <w:szCs w:val="18"/>
              </w:rPr>
            </w:pPr>
          </w:p>
          <w:p w:rsidR="004259D9" w:rsidRPr="007A743B" w:rsidRDefault="004259D9" w:rsidP="004259D9">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4259D9" w:rsidRPr="007A743B" w:rsidRDefault="004259D9" w:rsidP="004259D9">
            <w:pPr>
              <w:pStyle w:val="Lgendestandard"/>
            </w:pPr>
          </w:p>
          <w:p w:rsidR="004259D9" w:rsidRPr="007A743B" w:rsidRDefault="004259D9" w:rsidP="004259D9">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4259D9" w:rsidRPr="007A743B" w:rsidRDefault="004259D9" w:rsidP="004259D9">
            <w:pPr>
              <w:pStyle w:val="Lgendestandard"/>
            </w:pPr>
          </w:p>
          <w:p w:rsidR="004259D9" w:rsidRPr="007A743B" w:rsidRDefault="004259D9" w:rsidP="004259D9">
            <w:pPr>
              <w:pStyle w:val="Lgendestandard"/>
              <w:rPr>
                <w:b/>
                <w:szCs w:val="18"/>
              </w:rPr>
            </w:pPr>
            <w:r>
              <w:rPr>
                <w:b/>
              </w:rPr>
              <w:t>Amendements du Parlement prenant la forme d’un texte consolidé</w:t>
            </w:r>
          </w:p>
          <w:p w:rsidR="004259D9" w:rsidRPr="007A743B" w:rsidRDefault="004259D9" w:rsidP="004259D9">
            <w:pPr>
              <w:pStyle w:val="Lgendestandard"/>
              <w:rPr>
                <w:szCs w:val="18"/>
              </w:rPr>
            </w:pPr>
          </w:p>
          <w:p w:rsidR="004259D9" w:rsidRPr="007A743B" w:rsidRDefault="004259D9" w:rsidP="004259D9">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rsidR="004259D9" w:rsidRPr="007A743B" w:rsidRDefault="004259D9" w:rsidP="004259D9">
            <w:pPr>
              <w:pStyle w:val="Lgendestandard"/>
            </w:pPr>
            <w:r>
              <w:t>Par exception, les modifications de nature strictement technique apportées par les services en vue de l’élaboration du texte final ne sont pas marquées.</w:t>
            </w:r>
          </w:p>
          <w:p w:rsidR="004259D9" w:rsidRPr="007A743B" w:rsidRDefault="004259D9" w:rsidP="004259D9">
            <w:pPr>
              <w:pStyle w:val="Lgendestandard"/>
            </w:pPr>
          </w:p>
        </w:tc>
      </w:tr>
    </w:tbl>
    <w:p w:rsidR="00830A38" w:rsidRPr="00DE6EC0" w:rsidRDefault="00830A38" w:rsidP="0018149D"/>
    <w:p w:rsidR="00ED0821" w:rsidRPr="00DE6EC0" w:rsidRDefault="00ED0821" w:rsidP="00053B97">
      <w:pPr>
        <w:widowControl/>
        <w:tabs>
          <w:tab w:val="center" w:pos="4677"/>
        </w:tabs>
      </w:pPr>
    </w:p>
    <w:p w:rsidR="00ED0821" w:rsidRPr="00DE6EC0" w:rsidRDefault="00ED0821">
      <w:pPr>
        <w:pStyle w:val="TOCHeading"/>
      </w:pPr>
      <w:r>
        <w:br w:type="page"/>
      </w:r>
      <w:r>
        <w:lastRenderedPageBreak/>
        <w:t>SOMMAIRE</w:t>
      </w:r>
    </w:p>
    <w:p w:rsidR="00ED0821" w:rsidRPr="00DE6EC0" w:rsidRDefault="00001CF8">
      <w:pPr>
        <w:pStyle w:val="TOCPage"/>
      </w:pPr>
      <w:r>
        <w:t>Page</w:t>
      </w:r>
    </w:p>
    <w:p w:rsidR="00B55FCC" w:rsidRDefault="00053B97">
      <w:pPr>
        <w:pStyle w:val="TOC1"/>
        <w:tabs>
          <w:tab w:val="right" w:leader="dot" w:pos="9060"/>
        </w:tabs>
        <w:rPr>
          <w:rFonts w:asciiTheme="minorHAnsi" w:eastAsiaTheme="minorEastAsia" w:hAnsiTheme="minorHAnsi" w:cstheme="minorBidi"/>
          <w:noProof/>
          <w:sz w:val="22"/>
          <w:szCs w:val="22"/>
          <w:lang w:val="en-GB"/>
        </w:rPr>
      </w:pPr>
      <w:r w:rsidRPr="00DE6EC0">
        <w:rPr>
          <w:b/>
        </w:rPr>
        <w:fldChar w:fldCharType="begin"/>
      </w:r>
      <w:r w:rsidRPr="00DE6EC0">
        <w:rPr>
          <w:b/>
        </w:rPr>
        <w:instrText xml:space="preserve"> TOC \t "PageHeading</w:instrText>
      </w:r>
      <w:r w:rsidR="00421583" w:rsidRPr="00DE6EC0">
        <w:rPr>
          <w:b/>
        </w:rPr>
        <w:instrText>;</w:instrText>
      </w:r>
      <w:r w:rsidRPr="00DE6EC0">
        <w:rPr>
          <w:b/>
        </w:rPr>
        <w:instrText xml:space="preserve">1" </w:instrText>
      </w:r>
      <w:r w:rsidRPr="00DE6EC0">
        <w:rPr>
          <w:b/>
        </w:rPr>
        <w:fldChar w:fldCharType="separate"/>
      </w:r>
      <w:r w:rsidR="00B55FCC">
        <w:rPr>
          <w:noProof/>
        </w:rPr>
        <w:t>PROJET DE RÉSOLUTION LÉGISLATIVE DU PARLEMENT EUROPÉEN</w:t>
      </w:r>
      <w:r w:rsidR="00B55FCC">
        <w:rPr>
          <w:noProof/>
        </w:rPr>
        <w:tab/>
      </w:r>
      <w:r w:rsidR="00B55FCC">
        <w:rPr>
          <w:noProof/>
        </w:rPr>
        <w:fldChar w:fldCharType="begin"/>
      </w:r>
      <w:r w:rsidR="00B55FCC">
        <w:rPr>
          <w:noProof/>
        </w:rPr>
        <w:instrText xml:space="preserve"> PAGEREF _Toc161131102 \h </w:instrText>
      </w:r>
      <w:r w:rsidR="00B55FCC">
        <w:rPr>
          <w:noProof/>
        </w:rPr>
      </w:r>
      <w:r w:rsidR="00B55FCC">
        <w:rPr>
          <w:noProof/>
        </w:rPr>
        <w:fldChar w:fldCharType="separate"/>
      </w:r>
      <w:r w:rsidR="00B55FCC">
        <w:rPr>
          <w:noProof/>
        </w:rPr>
        <w:t>5</w:t>
      </w:r>
      <w:r w:rsidR="00B55FCC">
        <w:rPr>
          <w:noProof/>
        </w:rPr>
        <w:fldChar w:fldCharType="end"/>
      </w:r>
    </w:p>
    <w:p w:rsidR="00B55FCC" w:rsidRDefault="00B55FCC">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_Toc161131103 \h </w:instrText>
      </w:r>
      <w:r>
        <w:rPr>
          <w:noProof/>
        </w:rPr>
      </w:r>
      <w:r>
        <w:rPr>
          <w:noProof/>
        </w:rPr>
        <w:fldChar w:fldCharType="separate"/>
      </w:r>
      <w:r>
        <w:rPr>
          <w:noProof/>
        </w:rPr>
        <w:t>6</w:t>
      </w:r>
      <w:r>
        <w:rPr>
          <w:noProof/>
        </w:rPr>
        <w:fldChar w:fldCharType="end"/>
      </w:r>
    </w:p>
    <w:p w:rsidR="00B55FCC" w:rsidRDefault="00B55FCC">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LA RAPPORTEURE A REÇU DES CONTRIBUTIONS</w:t>
      </w:r>
      <w:r>
        <w:rPr>
          <w:noProof/>
        </w:rPr>
        <w:tab/>
      </w:r>
      <w:r>
        <w:rPr>
          <w:noProof/>
        </w:rPr>
        <w:fldChar w:fldCharType="begin"/>
      </w:r>
      <w:r>
        <w:rPr>
          <w:noProof/>
        </w:rPr>
        <w:instrText xml:space="preserve"> PAGEREF _Toc161131104 \h </w:instrText>
      </w:r>
      <w:r>
        <w:rPr>
          <w:noProof/>
        </w:rPr>
      </w:r>
      <w:r>
        <w:rPr>
          <w:noProof/>
        </w:rPr>
        <w:fldChar w:fldCharType="separate"/>
      </w:r>
      <w:r>
        <w:rPr>
          <w:noProof/>
        </w:rPr>
        <w:t>7</w:t>
      </w:r>
      <w:r>
        <w:rPr>
          <w:noProof/>
        </w:rPr>
        <w:fldChar w:fldCharType="end"/>
      </w:r>
    </w:p>
    <w:p w:rsidR="00B55FCC" w:rsidRDefault="00B55FCC">
      <w:pPr>
        <w:pStyle w:val="TOC1"/>
        <w:tabs>
          <w:tab w:val="right" w:leader="dot" w:pos="9060"/>
        </w:tabs>
        <w:rPr>
          <w:rFonts w:asciiTheme="minorHAnsi" w:eastAsiaTheme="minorEastAsia" w:hAnsiTheme="minorHAnsi" w:cstheme="minorBidi"/>
          <w:noProof/>
          <w:sz w:val="22"/>
          <w:szCs w:val="22"/>
          <w:lang w:val="en-GB"/>
        </w:rPr>
      </w:pPr>
      <w:r>
        <w:rPr>
          <w:noProof/>
        </w:rPr>
        <w:t>AVIS DE LA COMMISSION DE L’AGRICULTURE ET DU DÉVELOPPEMENT RURAL</w:t>
      </w:r>
      <w:r>
        <w:rPr>
          <w:noProof/>
        </w:rPr>
        <w:tab/>
      </w:r>
      <w:r>
        <w:rPr>
          <w:noProof/>
        </w:rPr>
        <w:fldChar w:fldCharType="begin"/>
      </w:r>
      <w:r>
        <w:rPr>
          <w:noProof/>
        </w:rPr>
        <w:instrText xml:space="preserve"> PAGEREF _Toc161131105 \h </w:instrText>
      </w:r>
      <w:r>
        <w:rPr>
          <w:noProof/>
        </w:rPr>
      </w:r>
      <w:r>
        <w:rPr>
          <w:noProof/>
        </w:rPr>
        <w:fldChar w:fldCharType="separate"/>
      </w:r>
      <w:r>
        <w:rPr>
          <w:noProof/>
        </w:rPr>
        <w:t>8</w:t>
      </w:r>
      <w:r>
        <w:rPr>
          <w:noProof/>
        </w:rPr>
        <w:fldChar w:fldCharType="end"/>
      </w:r>
    </w:p>
    <w:p w:rsidR="00B55FCC" w:rsidRDefault="00B55FCC">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_Toc161131106 \h </w:instrText>
      </w:r>
      <w:r>
        <w:rPr>
          <w:noProof/>
        </w:rPr>
      </w:r>
      <w:r>
        <w:rPr>
          <w:noProof/>
        </w:rPr>
        <w:fldChar w:fldCharType="separate"/>
      </w:r>
      <w:r>
        <w:rPr>
          <w:noProof/>
        </w:rPr>
        <w:t>26</w:t>
      </w:r>
      <w:r>
        <w:rPr>
          <w:noProof/>
        </w:rPr>
        <w:fldChar w:fldCharType="end"/>
      </w:r>
    </w:p>
    <w:p w:rsidR="00B55FCC" w:rsidRDefault="00B55FCC">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_Toc161131107 \h </w:instrText>
      </w:r>
      <w:r>
        <w:rPr>
          <w:noProof/>
        </w:rPr>
      </w:r>
      <w:r>
        <w:rPr>
          <w:noProof/>
        </w:rPr>
        <w:fldChar w:fldCharType="separate"/>
      </w:r>
      <w:r>
        <w:rPr>
          <w:noProof/>
        </w:rPr>
        <w:t>27</w:t>
      </w:r>
      <w:r>
        <w:rPr>
          <w:noProof/>
        </w:rPr>
        <w:fldChar w:fldCharType="end"/>
      </w:r>
    </w:p>
    <w:p w:rsidR="001A06D8" w:rsidRPr="00DE6EC0" w:rsidRDefault="00053B97" w:rsidP="008E4B14">
      <w:r w:rsidRPr="00DE6EC0">
        <w:rPr>
          <w:b/>
        </w:rPr>
        <w:fldChar w:fldCharType="end"/>
      </w:r>
    </w:p>
    <w:p w:rsidR="00ED0821" w:rsidRPr="00DE6EC0" w:rsidRDefault="00ED0821">
      <w:pPr>
        <w:pStyle w:val="PageHeading"/>
      </w:pPr>
      <w:r>
        <w:br w:type="page"/>
      </w:r>
      <w:r>
        <w:lastRenderedPageBreak/>
        <w:br w:type="page"/>
      </w:r>
      <w:bookmarkStart w:id="0" w:name="_Toc161131102"/>
      <w:r>
        <w:lastRenderedPageBreak/>
        <w:t>PROJET DE RÉSOLUTION LÉGISLATIVE DU PARLEMENT EUROPÉEN</w:t>
      </w:r>
      <w:bookmarkEnd w:id="0"/>
    </w:p>
    <w:p w:rsidR="00ED0821" w:rsidRPr="00DE6EC0" w:rsidRDefault="00001CF8">
      <w:pPr>
        <w:pStyle w:val="NormalBold"/>
      </w:pPr>
      <w:r>
        <w:t>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p>
    <w:p w:rsidR="00ED0821" w:rsidRPr="00DE6EC0" w:rsidRDefault="00001CF8">
      <w:pPr>
        <w:pStyle w:val="NormalBold12a"/>
      </w:pPr>
      <w:r>
        <w:t>(COM(2024)0050 – C9</w:t>
      </w:r>
      <w:r>
        <w:noBreakHyphen/>
        <w:t>0021/2024 – 2024/0028(COD))</w:t>
      </w:r>
    </w:p>
    <w:p w:rsidR="00ED0821" w:rsidRPr="00DE6EC0" w:rsidRDefault="00001CF8" w:rsidP="00837978">
      <w:pPr>
        <w:pStyle w:val="NormalBold"/>
      </w:pPr>
      <w:r>
        <w:t>(Procédure législative ordinaire: première lecture)</w:t>
      </w:r>
    </w:p>
    <w:p w:rsidR="00ED0821" w:rsidRPr="00DE6EC0" w:rsidRDefault="00001CF8">
      <w:pPr>
        <w:pStyle w:val="EPComma"/>
      </w:pPr>
      <w:r>
        <w:rPr>
          <w:i/>
          <w:iCs/>
        </w:rPr>
        <w:t>Le Parlement européen</w:t>
      </w:r>
      <w:r>
        <w:t>,</w:t>
      </w:r>
    </w:p>
    <w:p w:rsidR="00ED0821" w:rsidRPr="00DE6EC0" w:rsidRDefault="00ED0821">
      <w:pPr>
        <w:pStyle w:val="NormalHanging12a"/>
      </w:pPr>
      <w:r>
        <w:t>–</w:t>
      </w:r>
      <w:r>
        <w:tab/>
        <w:t>vu la proposition de la Commission au Parlement européen et au Conseil (COM(2024)0050),</w:t>
      </w:r>
    </w:p>
    <w:p w:rsidR="00ED0821" w:rsidRPr="00DE6EC0" w:rsidRDefault="00ED0821">
      <w:pPr>
        <w:pStyle w:val="NormalHanging12a"/>
      </w:pPr>
      <w:r>
        <w:t>–</w:t>
      </w:r>
      <w:r>
        <w:tab/>
        <w:t>vu l’article 294, paragraphe 2, et l’article 207, paragraphe 2, du traité sur le fonctionnement de l’Union européenne, conformément auxquels la proposition lui a été présentée par la Commission (C9</w:t>
      </w:r>
      <w:r>
        <w:noBreakHyphen/>
        <w:t>0021/2024),</w:t>
      </w:r>
    </w:p>
    <w:p w:rsidR="009160B7" w:rsidRPr="00DE6EC0" w:rsidRDefault="00C54859" w:rsidP="00C54859">
      <w:pPr>
        <w:pStyle w:val="NormalHanging12a"/>
      </w:pPr>
      <w:r>
        <w:t>–</w:t>
      </w:r>
      <w:r>
        <w:tab/>
        <w:t>vu l’article 294, paragraphe 3, du traité sur le fonctionnement de l’Union européenne,</w:t>
      </w:r>
    </w:p>
    <w:p w:rsidR="009160B7" w:rsidRPr="00DE6EC0" w:rsidRDefault="00ED0609" w:rsidP="009160B7">
      <w:pPr>
        <w:pStyle w:val="NormalHanging12a"/>
      </w:pPr>
      <w:r>
        <w:t>–</w:t>
      </w:r>
      <w:r>
        <w:tab/>
        <w:t>vu l’article 59 de son règlement intérieur,</w:t>
      </w:r>
    </w:p>
    <w:p w:rsidR="0018149D" w:rsidRPr="00DE6EC0" w:rsidRDefault="0018149D" w:rsidP="009160B7">
      <w:pPr>
        <w:pStyle w:val="NormalHanging12a"/>
      </w:pPr>
      <w:r>
        <w:t>–</w:t>
      </w:r>
      <w:r>
        <w:tab/>
        <w:t>vu l’avis de la commission de l’agriculture et du développement rural,</w:t>
      </w:r>
    </w:p>
    <w:p w:rsidR="00705E9B" w:rsidRPr="00DE6EC0" w:rsidRDefault="00705E9B" w:rsidP="00705E9B">
      <w:pPr>
        <w:pStyle w:val="NormalHanging12a"/>
      </w:pPr>
      <w:r>
        <w:t>–</w:t>
      </w:r>
      <w:r>
        <w:tab/>
        <w:t>vu le rapport de la commission du commerce international (A9-0077/2024),</w:t>
      </w:r>
    </w:p>
    <w:p w:rsidR="00ED0821" w:rsidRPr="00DE6EC0" w:rsidRDefault="00ED0821">
      <w:pPr>
        <w:pStyle w:val="NormalHanging12a"/>
      </w:pPr>
      <w:r>
        <w:t>1.</w:t>
      </w:r>
      <w:r>
        <w:tab/>
        <w:t>arrête sa position en première lecture en faisant sienne la proposition de la Commission;</w:t>
      </w:r>
    </w:p>
    <w:p w:rsidR="00ED0821" w:rsidRPr="00DE6EC0" w:rsidRDefault="00830A38">
      <w:pPr>
        <w:pStyle w:val="NormalHanging12a"/>
      </w:pPr>
      <w:r>
        <w:t>2.</w:t>
      </w:r>
      <w:r>
        <w:tab/>
        <w:t>demande à la Commission de le saisir à nouveau si elle remplace, modifie de manière substantielle ou entend modifier de manière substantielle sa proposition;</w:t>
      </w:r>
    </w:p>
    <w:p w:rsidR="00ED0821" w:rsidRPr="00DE6EC0" w:rsidRDefault="00830A38">
      <w:pPr>
        <w:pStyle w:val="NormalHanging12a"/>
      </w:pPr>
      <w:r>
        <w:t>3.</w:t>
      </w:r>
      <w:r>
        <w:tab/>
        <w:t>charge sa Présidente de transmettre la position du Parlement au Conseil et à la Commission ainsi qu’aux parlements nationaux.</w:t>
      </w:r>
    </w:p>
    <w:p w:rsidR="009160B7" w:rsidRPr="00DE6EC0" w:rsidRDefault="009160B7" w:rsidP="002A1CE3">
      <w:pPr>
        <w:sectPr w:rsidR="009160B7" w:rsidRPr="00DE6EC0" w:rsidSect="004259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DE6EC0" w:rsidRDefault="009160B7" w:rsidP="009160B7">
      <w:pPr>
        <w:pStyle w:val="PageHeading"/>
      </w:pPr>
      <w:bookmarkStart w:id="1" w:name="_Toc161131103"/>
      <w:r>
        <w:lastRenderedPageBreak/>
        <w:t>EXPOSÉ DES MOTIFS</w:t>
      </w:r>
      <w:bookmarkEnd w:id="1"/>
    </w:p>
    <w:p w:rsidR="009E2244" w:rsidRPr="00DE6EC0" w:rsidRDefault="009E2244" w:rsidP="009E2244">
      <w:r>
        <w:t xml:space="preserve">La proposition de règlement proroge d’une année supplémentaire à compter de leur date d’expiration actuelle (5 juin 2024) les mesures de libéralisation des échanges de l’Union en vigueur pour les produits en provenance d’Ukraine, qui avaient été initialement adoptées en mai 2022 et prorogées (une première fois) en mai 2023. </w:t>
      </w:r>
    </w:p>
    <w:p w:rsidR="009E2244" w:rsidRPr="00DE6EC0" w:rsidRDefault="009E2244" w:rsidP="009E2244"/>
    <w:p w:rsidR="009E2244" w:rsidRPr="00DE6EC0" w:rsidRDefault="009E2244" w:rsidP="009E2244">
      <w:r>
        <w:t>La proposition prévoit la suspension temporaire de tous les droits de douane dus en vertu du titre IV de l’accord d’association entre l’Union et l’Ukraine établissant une zone de libre-échange approfondi et complet. Cette mesure concerne deux catégories de produits: les fruits et légumes soumis au système des prix d’entrée, et les produits agricoles et produits agricoles transformés soumis à des contingents tarifaires. De plus, l’application des parties pertinentes du règlement relatif aux sauvegardes</w:t>
      </w:r>
      <w:r w:rsidRPr="00DE6EC0">
        <w:rPr>
          <w:rStyle w:val="FootnoteReference"/>
        </w:rPr>
        <w:footnoteReference w:id="1"/>
      </w:r>
      <w:r>
        <w:t xml:space="preserve"> sera temporairement suspendue pour les importations originaires d’Ukraine. </w:t>
      </w:r>
    </w:p>
    <w:p w:rsidR="009E2244" w:rsidRPr="00DE6EC0" w:rsidRDefault="009E2244" w:rsidP="009E2244"/>
    <w:p w:rsidR="009E2244" w:rsidRPr="00DE6EC0" w:rsidRDefault="009E2244" w:rsidP="009E2244">
      <w:r>
        <w:t>La proposition introduit des mécanismes de sauvegarde renforcés afin de prévenir et de contrer les effets néfastes sur le marché dans les États membres de l’Union. La Commission aura la possibilité de prendre toutes les mesures qui s’imposeront, y compris la réintroduction de droits de douane, si elle constate que les importations d’un produit donné relevant du règlement à l’examen perturbent le marché dans l’Union ou dans n’importe lequel de ses États membres. Pour les produits particulièrement sensibles, à savoir les volailles, les œufs et le sucre, le règlement introduit une mesure de sauvegarde automatique qui garantit que les importations de ces produits en franchise de droits seront plafonnées aux niveaux de 2022</w:t>
      </w:r>
      <w:r w:rsidR="00B55FCC">
        <w:noBreakHyphen/>
      </w:r>
      <w:r>
        <w:t>2023. La Commission surveillera régulièrement les effets des mesures de libéralisation des échanges sur les volumes et les prix des importations.</w:t>
      </w:r>
    </w:p>
    <w:p w:rsidR="009E2244" w:rsidRPr="00DE6EC0" w:rsidRDefault="009E2244" w:rsidP="009E2244"/>
    <w:p w:rsidR="009E2244" w:rsidRPr="00DE6EC0" w:rsidRDefault="009E2244" w:rsidP="009E2244">
      <w:r>
        <w:t>Les mesures de libéralisation des échanges sont subordonnées au respect, par l’Ukraine, des principes démocratiques, des droits de l’homme, des libertés fondamentales et du principe de l’état de droit, ainsi qu’à l’accomplissement d’efforts constants et soutenus pour lutter contre la corruption, la criminalité organisée et le terrorisme.</w:t>
      </w:r>
    </w:p>
    <w:p w:rsidR="009E2244" w:rsidRPr="00DE6EC0" w:rsidRDefault="009E2244" w:rsidP="009E2244"/>
    <w:p w:rsidR="009E2244" w:rsidRPr="00DE6EC0" w:rsidRDefault="009E2244" w:rsidP="009E2244">
      <w:r>
        <w:t>Votre rapporteure est favorable aux mesures de libéralisation des échanges proposées, qui expriment de manière concrète la solidarité de l’Union avec l’Ukraine face à la guerre d’agression que continue de mener la Russie. La suspension temporaire des droits de douane sur les produits agricoles, qui constituent l’une des principales sources de revenus du pays, contribuera à stabiliser l’économie ukrainienne et renforcera ses relations commerciales avec l’Union européenne. Ces mesures faciliteront également l’intégration progressive de l’Ukraine dans le marché intérieur de l’Union et son alignement sur ses normes, et aideront ainsi le pays à avancer sur la voie de l’adhésion à l’Union européenne.</w:t>
      </w:r>
    </w:p>
    <w:p w:rsidR="009E2244" w:rsidRPr="00DE6EC0" w:rsidRDefault="009E2244" w:rsidP="009E2244"/>
    <w:p w:rsidR="009B4566" w:rsidRPr="00DE6EC0" w:rsidRDefault="009E2244" w:rsidP="002A1CE3">
      <w:r>
        <w:t>Compte tenu des considérations qui précèdent, votre rapporteure est d’avis que le Parlement européen devrait adopter la proposition de la Commission de proroger d’un an les mesures de libéralisation des échanges de l’Union en faveur de l’Ukraine.</w:t>
      </w:r>
    </w:p>
    <w:p w:rsidR="0018149D" w:rsidRPr="00DE6EC0" w:rsidRDefault="0018149D">
      <w:pPr>
        <w:widowControl/>
        <w:sectPr w:rsidR="0018149D" w:rsidRPr="00DE6EC0" w:rsidSect="004259D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57146" w:rsidRPr="00DE6EC0" w:rsidRDefault="00157146" w:rsidP="00157146">
      <w:pPr>
        <w:pStyle w:val="PageHeading"/>
        <w:rPr>
          <w:noProof/>
        </w:rPr>
      </w:pPr>
      <w:bookmarkStart w:id="2" w:name="FootprintPageRR"/>
      <w:bookmarkStart w:id="3" w:name="_Toc161131104"/>
      <w:r>
        <w:lastRenderedPageBreak/>
        <w:t>ANNEXE: ENTITÉS OU PERSONNES</w:t>
      </w:r>
      <w:r>
        <w:br/>
        <w:t>DONT LA RAPPORTEURE A REÇU DES CONTRIBUTIONS</w:t>
      </w:r>
      <w:bookmarkEnd w:id="3"/>
    </w:p>
    <w:p w:rsidR="00157146" w:rsidRPr="00DE6EC0" w:rsidRDefault="00157146" w:rsidP="00157146">
      <w:pPr>
        <w:pStyle w:val="Normal24a"/>
      </w:pPr>
      <w:r>
        <w:rPr>
          <w:rStyle w:val="HideTWBExt"/>
        </w:rPr>
        <w:t>&lt;FootprintIntro&gt;</w:t>
      </w:r>
      <w:r>
        <w:t>Conformément à l’article 8 de l’annexe I du règlement intérieur, la rapporteure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57146" w:rsidRPr="00DE6EC0" w:rsidTr="00AB1DF8">
        <w:tc>
          <w:tcPr>
            <w:tcW w:w="9060" w:type="dxa"/>
            <w:shd w:val="clear" w:color="auto" w:fill="auto"/>
          </w:tcPr>
          <w:p w:rsidR="00157146" w:rsidRPr="00DE6EC0" w:rsidRDefault="00157146" w:rsidP="00AB1DF8">
            <w:pPr>
              <w:pStyle w:val="NormalBoldCenter"/>
            </w:pPr>
            <w:r>
              <w:t>Entité et/ou personne</w:t>
            </w:r>
          </w:p>
        </w:tc>
      </w:tr>
      <w:tr w:rsidR="00157146" w:rsidRPr="00DE6EC0" w:rsidTr="00AB1DF8">
        <w:tc>
          <w:tcPr>
            <w:tcW w:w="9060" w:type="dxa"/>
            <w:shd w:val="clear" w:color="auto" w:fill="auto"/>
          </w:tcPr>
          <w:p w:rsidR="00157146" w:rsidRPr="00DE6EC0" w:rsidRDefault="00157146" w:rsidP="00AB1DF8">
            <w:r>
              <w:t>European Commission DG TRADE</w:t>
            </w:r>
          </w:p>
        </w:tc>
      </w:tr>
      <w:tr w:rsidR="00157146" w:rsidRPr="00DE6EC0" w:rsidTr="00AB1DF8">
        <w:tc>
          <w:tcPr>
            <w:tcW w:w="9060" w:type="dxa"/>
            <w:shd w:val="clear" w:color="auto" w:fill="auto"/>
          </w:tcPr>
          <w:p w:rsidR="00157146" w:rsidRPr="00DE6EC0" w:rsidRDefault="00157146" w:rsidP="00AB1DF8">
            <w:r>
              <w:t>European Commission DG AGRI</w:t>
            </w:r>
          </w:p>
        </w:tc>
      </w:tr>
      <w:tr w:rsidR="00157146" w:rsidRPr="00DE6EC0" w:rsidTr="00AB1DF8">
        <w:tc>
          <w:tcPr>
            <w:tcW w:w="9060" w:type="dxa"/>
            <w:shd w:val="clear" w:color="auto" w:fill="auto"/>
          </w:tcPr>
          <w:p w:rsidR="00157146" w:rsidRPr="00DE6EC0" w:rsidRDefault="00157146" w:rsidP="00AB1DF8">
            <w:r>
              <w:t>Belgian Council Presidency</w:t>
            </w:r>
          </w:p>
        </w:tc>
      </w:tr>
      <w:tr w:rsidR="00157146" w:rsidRPr="00B55FCC" w:rsidTr="00AB1DF8">
        <w:tc>
          <w:tcPr>
            <w:tcW w:w="9060" w:type="dxa"/>
            <w:shd w:val="clear" w:color="auto" w:fill="auto"/>
          </w:tcPr>
          <w:p w:rsidR="00157146" w:rsidRPr="00B55FCC" w:rsidRDefault="00157146" w:rsidP="00AB1DF8">
            <w:pPr>
              <w:rPr>
                <w:lang w:val="en-GB"/>
              </w:rPr>
            </w:pPr>
            <w:r w:rsidRPr="00B55FCC">
              <w:rPr>
                <w:lang w:val="en-GB"/>
              </w:rPr>
              <w:t>Copa-Cogeca - Committee of Professional Agricultural Organisations-General Confederation of Agricultural Cooperatives</w:t>
            </w:r>
          </w:p>
        </w:tc>
      </w:tr>
      <w:tr w:rsidR="00157146" w:rsidRPr="00B55FCC" w:rsidTr="00AB1DF8">
        <w:tc>
          <w:tcPr>
            <w:tcW w:w="9060" w:type="dxa"/>
            <w:shd w:val="clear" w:color="auto" w:fill="auto"/>
          </w:tcPr>
          <w:p w:rsidR="00157146" w:rsidRPr="00B55FCC" w:rsidRDefault="00157146" w:rsidP="00AB1DF8">
            <w:pPr>
              <w:rPr>
                <w:lang w:val="en-GB"/>
              </w:rPr>
            </w:pPr>
            <w:r w:rsidRPr="00B55FCC">
              <w:rPr>
                <w:lang w:val="en-GB"/>
              </w:rPr>
              <w:t>Deputy Minister of Economy – Trade representative of Ukraine Mr Taras Kachka</w:t>
            </w:r>
          </w:p>
        </w:tc>
      </w:tr>
    </w:tbl>
    <w:p w:rsidR="00157146" w:rsidRPr="00B55FCC" w:rsidRDefault="00157146" w:rsidP="00157146">
      <w:pPr>
        <w:rPr>
          <w:lang w:val="en-GB"/>
        </w:rPr>
      </w:pPr>
    </w:p>
    <w:p w:rsidR="00157146" w:rsidRPr="00DE6EC0" w:rsidRDefault="00157146" w:rsidP="00157146">
      <w:pPr>
        <w:rPr>
          <w:szCs w:val="24"/>
        </w:rPr>
      </w:pPr>
      <w:r>
        <w:t>La liste ci-dessus est établie sous la responsabilité exclusive de la rapporteure.</w:t>
      </w:r>
    </w:p>
    <w:p w:rsidR="0018149D" w:rsidRPr="00DE6EC0" w:rsidRDefault="0018149D" w:rsidP="0018149D"/>
    <w:bookmarkEnd w:id="2"/>
    <w:p w:rsidR="004259D9" w:rsidRDefault="004259D9" w:rsidP="009B4566">
      <w:pPr>
        <w:sectPr w:rsidR="004259D9" w:rsidSect="004259D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59D9" w:rsidRPr="002D5A1F" w:rsidRDefault="004259D9" w:rsidP="004259D9">
      <w:pPr>
        <w:pStyle w:val="Normal24a"/>
      </w:pPr>
      <w:bookmarkStart w:id="4" w:name="OpinionAll"/>
      <w:r>
        <w:rPr>
          <w:rStyle w:val="HideTWBExt"/>
        </w:rPr>
        <w:lastRenderedPageBreak/>
        <w:t>&lt;Date&gt;</w:t>
      </w:r>
      <w:r>
        <w:rPr>
          <w:rStyle w:val="HideTWBInt"/>
        </w:rPr>
        <w:t>{27/02/2024}</w:t>
      </w:r>
      <w:r>
        <w:t>27.2.2024</w:t>
      </w:r>
      <w:r>
        <w:rPr>
          <w:rStyle w:val="HideTWBExt"/>
        </w:rPr>
        <w:t>&lt;/Date&gt;</w:t>
      </w:r>
    </w:p>
    <w:p w:rsidR="004259D9" w:rsidRPr="002D5A1F" w:rsidRDefault="004259D9" w:rsidP="004259D9">
      <w:pPr>
        <w:pStyle w:val="PageHeading"/>
      </w:pPr>
      <w:r>
        <w:rPr>
          <w:rStyle w:val="HideTWBExt"/>
        </w:rPr>
        <w:t>&lt;CommissionResp&gt;</w:t>
      </w:r>
      <w:bookmarkStart w:id="5" w:name="_Toc161131105"/>
      <w:r>
        <w:t>AVIS DE LA COMMISSION DE L’AGRICULTURE ET DU DÉVELOPPEMENT RURAL</w:t>
      </w:r>
      <w:bookmarkEnd w:id="5"/>
      <w:r>
        <w:rPr>
          <w:rStyle w:val="HideTWBExt"/>
        </w:rPr>
        <w:t>&lt;/CommissionResp&gt;</w:t>
      </w:r>
    </w:p>
    <w:p w:rsidR="004259D9" w:rsidRPr="002D5A1F" w:rsidRDefault="004259D9" w:rsidP="004259D9">
      <w:pPr>
        <w:pStyle w:val="CoverNormal24a"/>
        <w:spacing w:after="240"/>
        <w:ind w:left="0"/>
      </w:pPr>
      <w:r>
        <w:rPr>
          <w:rStyle w:val="HideTWBExt"/>
        </w:rPr>
        <w:t>&lt;CommissionInt&gt;</w:t>
      </w:r>
      <w:r>
        <w:t>à l’intention de la commission du commerce international</w:t>
      </w:r>
      <w:r>
        <w:rPr>
          <w:rStyle w:val="HideTWBExt"/>
        </w:rPr>
        <w:t>&lt;/CommissionInt&gt;</w:t>
      </w:r>
    </w:p>
    <w:p w:rsidR="004259D9" w:rsidRPr="002D5A1F" w:rsidRDefault="004259D9" w:rsidP="004259D9">
      <w:pPr>
        <w:pStyle w:val="CoverNormal"/>
        <w:ind w:left="0"/>
      </w:pPr>
      <w:r>
        <w:rPr>
          <w:rStyle w:val="HideTWBExt"/>
        </w:rPr>
        <w:t>&lt;Titre&gt;</w:t>
      </w:r>
      <w:r>
        <w:t>sur la proposition de règlement du Parlement européen et du Conseil relatif aux 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r>
        <w:rPr>
          <w:rStyle w:val="HideTWBExt"/>
        </w:rPr>
        <w:t>&lt;/Titre&gt;</w:t>
      </w:r>
    </w:p>
    <w:p w:rsidR="004259D9" w:rsidRPr="002D5A1F" w:rsidRDefault="004259D9" w:rsidP="004259D9">
      <w:pPr>
        <w:pStyle w:val="CoverNormal24a"/>
        <w:spacing w:after="240"/>
        <w:ind w:left="0"/>
      </w:pPr>
      <w:r>
        <w:rPr>
          <w:rStyle w:val="HideTWBExt"/>
        </w:rPr>
        <w:t>&lt;DocRef&gt;</w:t>
      </w:r>
      <w:r>
        <w:t>(COM(2024)0050 – C9</w:t>
      </w:r>
      <w:r>
        <w:noBreakHyphen/>
        <w:t>0021/2024 – 2024/0028(COD))</w:t>
      </w:r>
      <w:r>
        <w:rPr>
          <w:rStyle w:val="HideTWBExt"/>
        </w:rPr>
        <w:t>&lt;/DocRef&gt;</w:t>
      </w:r>
    </w:p>
    <w:p w:rsidR="004259D9" w:rsidRPr="002D5A1F" w:rsidRDefault="004259D9" w:rsidP="004259D9">
      <w:pPr>
        <w:pStyle w:val="CoverNormal24a"/>
        <w:ind w:left="0"/>
      </w:pPr>
      <w:r>
        <w:t xml:space="preserve">Rapporteur pour avis: </w:t>
      </w:r>
      <w:r>
        <w:rPr>
          <w:rStyle w:val="HideTWBExt"/>
        </w:rPr>
        <w:t>&lt;Depute&gt;</w:t>
      </w:r>
      <w:r>
        <w:t>Juozas Olekas</w:t>
      </w:r>
      <w:r>
        <w:rPr>
          <w:rStyle w:val="HideTWBExt"/>
        </w:rPr>
        <w:t>&lt;/Depute&gt;</w:t>
      </w:r>
    </w:p>
    <w:p w:rsidR="004259D9" w:rsidRPr="002D5A1F" w:rsidRDefault="004259D9" w:rsidP="00487596">
      <w:pPr>
        <w:pStyle w:val="CoverNormal"/>
      </w:pPr>
    </w:p>
    <w:p w:rsidR="004259D9" w:rsidRPr="004259D9" w:rsidRDefault="004259D9" w:rsidP="004259D9">
      <w:pPr>
        <w:tabs>
          <w:tab w:val="center" w:pos="4677"/>
        </w:tabs>
        <w:spacing w:after="240"/>
        <w:jc w:val="center"/>
        <w:rPr>
          <w:rFonts w:ascii="Arial" w:hAnsi="Arial" w:cs="Arial"/>
          <w:b/>
        </w:rPr>
      </w:pPr>
      <w:r>
        <w:rPr>
          <w:rFonts w:ascii="Arial" w:hAnsi="Arial"/>
          <w:b/>
        </w:rPr>
        <w:t>AMENDEMENTS</w:t>
      </w:r>
    </w:p>
    <w:p w:rsidR="004259D9" w:rsidRPr="002D5A1F" w:rsidRDefault="004259D9" w:rsidP="001E3AC4">
      <w:pPr>
        <w:pStyle w:val="Normal12a"/>
      </w:pPr>
      <w:bookmarkStart w:id="6" w:name="IntroA"/>
      <w:r>
        <w:t>La commission de l’agriculture et du développement rural invite la commission du commerce international, compétente au fond, à prendre en considération ce qui suit:</w:t>
      </w:r>
    </w:p>
    <w:bookmarkEnd w:id="6"/>
    <w:p w:rsidR="004259D9" w:rsidRPr="002D5A1F" w:rsidRDefault="004259D9" w:rsidP="00A47B05">
      <w:r>
        <w:rPr>
          <w:rStyle w:val="HideTWBExt"/>
        </w:rPr>
        <w:t>&lt;RepeatBlock-Amend&gt;</w:t>
      </w:r>
    </w:p>
    <w:p w:rsidR="004259D9" w:rsidRPr="002D5A1F" w:rsidRDefault="004259D9" w:rsidP="00A47B05">
      <w:pPr>
        <w:pStyle w:val="AmNumberTabs"/>
      </w:pPr>
      <w:r>
        <w:rPr>
          <w:rStyle w:val="HideTWBExt"/>
        </w:rPr>
        <w:t>&lt;Amend&gt;</w:t>
      </w:r>
      <w:r>
        <w:t>Amendement</w:t>
      </w:r>
      <w:r>
        <w:tab/>
      </w:r>
      <w:r>
        <w:tab/>
      </w:r>
      <w:r>
        <w:rPr>
          <w:rStyle w:val="HideTWBExt"/>
        </w:rPr>
        <w:t>&lt;NumAm&gt;</w:t>
      </w:r>
      <w:r>
        <w:t>1</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(4)</w:t>
            </w:r>
            <w:r>
              <w:tab/>
              <w:t xml:space="preserve">La guerre d’agression non provoquée et injustifiée menée par la Russie contre l’Ukraine depuis le 24 février 2022 a nui gravement à la capacité de l’Ukraine à réaliser des échanges commerciaux avec le reste du monde, en raison à la fois de la destruction des capacités de production et de l’indisponibilité de bon nombre de moyens de transport à cause, par exemple, de la restriction et de l’incertitude de l’accès à la mer Noire. Dans ces circonstances exceptionnelles et afin d’atténuer les retombées économiques négatives de la guerre d’agression menée par la Russie contre l’Ukraine, il convient d’accélérer le </w:t>
            </w:r>
            <w:r>
              <w:lastRenderedPageBreak/>
              <w:t>développement de relations économiques plus étroites entre l’Union et l’Ukraine afin d’apporter un soutien continu aux autorités et à la population ukrainiennes. Il est donc nécessaire et approprié de continuer de stimuler les flux commerciaux et d’accorder des concessions sous la forme de mesures de libéralisation des échanges pour tous les produits, conformément à l’accélération de l’élimination des droits de douane sur les échanges entre l’Union et l’Ukraine.</w:t>
            </w:r>
          </w:p>
        </w:tc>
        <w:tc>
          <w:tcPr>
            <w:tcW w:w="4876" w:type="dxa"/>
          </w:tcPr>
          <w:p w:rsidR="004259D9" w:rsidRPr="002D5A1F" w:rsidRDefault="004259D9" w:rsidP="00E3732C">
            <w:pPr>
              <w:pStyle w:val="Normal6a"/>
            </w:pPr>
            <w:r>
              <w:lastRenderedPageBreak/>
              <w:t>(4)</w:t>
            </w:r>
            <w:r>
              <w:tab/>
              <w:t xml:space="preserve">La guerre d’agression non provoquée et injustifiée menée par la Russie contre l’Ukraine depuis le 24 février 2022 a nui gravement à la capacité de l’Ukraine à réaliser des échanges commerciaux avec le reste du monde, en raison à la fois de la destruction des capacités de production et de l’indisponibilité de bon nombre de moyens de transport à cause, par exemple, de la restriction et de l’incertitude de l’accès à la mer Noire. Dans ces circonstances exceptionnelles et afin d’atténuer les retombées économiques négatives de la guerre d’agression menée par la Russie contre l’Ukraine, il convient d’accélérer le </w:t>
            </w:r>
            <w:r>
              <w:lastRenderedPageBreak/>
              <w:t>développement de relations économiques plus étroites entre l’Union et l’Ukraine afin d’apporter un soutien continu aux autorités et à la population ukrainiennes. Il est donc nécessaire et approprié de continuer de stimuler les flux commerciaux et d’accorder des concessions sous la forme de mesures de libéralisation des échanges pour tous les produits, conformément à l’accélération de l’élimination des droits de douane sur les échanges entre l’Union et l’Ukraine</w:t>
            </w:r>
            <w:r>
              <w:rPr>
                <w:b/>
                <w:i/>
              </w:rPr>
              <w:t>, tout en préservant les moyens de subsistance des producteurs européens, entre autres, dans les pays voisins de l’Ukraine</w:t>
            </w:r>
            <w:r>
              <w:t>.</w:t>
            </w:r>
          </w:p>
        </w:tc>
      </w:tr>
    </w:tbl>
    <w:p w:rsidR="004259D9" w:rsidRPr="002D5A1F" w:rsidRDefault="004259D9" w:rsidP="00A47B05">
      <w:r>
        <w:rPr>
          <w:rStyle w:val="HideTWBExt"/>
        </w:rPr>
        <w:lastRenderedPageBreak/>
        <w:t>&lt;/Amend&gt;</w:t>
      </w:r>
    </w:p>
    <w:p w:rsidR="004259D9" w:rsidRPr="002D5A1F" w:rsidRDefault="004259D9" w:rsidP="00A47B05">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rsidR="004259D9" w:rsidRPr="002D5A1F" w:rsidRDefault="004259D9" w:rsidP="00A47B05">
      <w:pPr>
        <w:pStyle w:val="NormalBold12b"/>
        <w:keepNext/>
      </w:pPr>
      <w:r>
        <w:rPr>
          <w:rStyle w:val="HideTWBExt"/>
          <w:b w:val="0"/>
        </w:rPr>
        <w:t>&lt;DocAmend&gt;</w:t>
      </w:r>
      <w:r>
        <w:t>Proposition de règlement</w:t>
      </w:r>
      <w:r>
        <w:rPr>
          <w:rStyle w:val="HideTWBExt"/>
          <w:b w:val="0"/>
        </w:rPr>
        <w:t>&lt;/DocAmend&gt;</w:t>
      </w:r>
    </w:p>
    <w:p w:rsidR="004259D9" w:rsidRPr="002D5A1F" w:rsidRDefault="004259D9" w:rsidP="00A47B05">
      <w:pPr>
        <w:pStyle w:val="NormalBold"/>
      </w:pPr>
      <w:r>
        <w:rPr>
          <w:rStyle w:val="HideTWBExt"/>
          <w:b w:val="0"/>
        </w:rPr>
        <w:t>&lt;Article&gt;</w:t>
      </w:r>
      <w:r>
        <w:t>Considérant 4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jc w:val="center"/>
        </w:trPr>
        <w:tc>
          <w:tcPr>
            <w:tcW w:w="9752" w:type="dxa"/>
            <w:gridSpan w:val="2"/>
          </w:tcPr>
          <w:p w:rsidR="004259D9" w:rsidRPr="002D5A1F" w:rsidRDefault="004259D9" w:rsidP="00E3732C">
            <w:pPr>
              <w:keepNext/>
            </w:pPr>
          </w:p>
        </w:tc>
      </w:tr>
      <w:tr w:rsidR="004259D9" w:rsidTr="00E3732C">
        <w:trPr>
          <w:jc w:val="center"/>
        </w:trPr>
        <w:tc>
          <w:tcPr>
            <w:tcW w:w="4876" w:type="dxa"/>
            <w:hideMark/>
          </w:tcPr>
          <w:p w:rsidR="004259D9" w:rsidRPr="002D5A1F" w:rsidRDefault="004259D9" w:rsidP="00E3732C">
            <w:pPr>
              <w:pStyle w:val="ColumnHeading"/>
              <w:keepNext/>
            </w:pPr>
            <w:r>
              <w:t>Texte proposé par la Commission</w:t>
            </w:r>
          </w:p>
        </w:tc>
        <w:tc>
          <w:tcPr>
            <w:tcW w:w="4876" w:type="dxa"/>
            <w:hideMark/>
          </w:tcPr>
          <w:p w:rsidR="004259D9" w:rsidRPr="002D5A1F" w:rsidRDefault="004259D9" w:rsidP="00E3732C">
            <w:pPr>
              <w:pStyle w:val="ColumnHeading"/>
              <w:keepNext/>
            </w:pPr>
            <w:r>
              <w:t>Amendement</w:t>
            </w:r>
          </w:p>
        </w:tc>
      </w:tr>
      <w:tr w:rsidR="004259D9" w:rsidTr="00E3732C">
        <w:trPr>
          <w:jc w:val="center"/>
        </w:trPr>
        <w:tc>
          <w:tcPr>
            <w:tcW w:w="4876" w:type="dxa"/>
          </w:tcPr>
          <w:p w:rsidR="004259D9" w:rsidRPr="002D5A1F" w:rsidRDefault="004259D9" w:rsidP="00E3732C">
            <w:pPr>
              <w:pStyle w:val="Normal6"/>
            </w:pPr>
          </w:p>
        </w:tc>
        <w:tc>
          <w:tcPr>
            <w:tcW w:w="4876" w:type="dxa"/>
            <w:hideMark/>
          </w:tcPr>
          <w:p w:rsidR="004259D9" w:rsidRPr="002D5A1F" w:rsidRDefault="004259D9" w:rsidP="00E3732C">
            <w:pPr>
              <w:pStyle w:val="Normal6"/>
              <w:rPr>
                <w:szCs w:val="24"/>
              </w:rPr>
            </w:pPr>
            <w:r>
              <w:rPr>
                <w:b/>
                <w:i/>
              </w:rPr>
              <w:t>(4 bis)</w:t>
            </w:r>
            <w:r>
              <w:rPr>
                <w:b/>
                <w:i/>
              </w:rPr>
              <w:tab/>
              <w:t>Les mesures de libéralisation des échanges, qui constituent un signal important de la poursuite de l’intégration de l’Ukraine dans le marché de l’Union, apportent également davantage de stabilité à l’économie ukrainienne, qui dépend fortement des exportations. Toutes les mesures de sauvegarde limitant la libéralisation des échanges ne devraient pas devenir un obstacle à l’intégration future de l’économie et du marché, mais servir à créer des échanges commerciaux équilibrés.</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3</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(8)</w:t>
            </w:r>
            <w:r>
              <w:tab/>
              <w:t xml:space="preserve">Afin de prévenir la fraude, les régimes préférentiels institués par le </w:t>
            </w:r>
            <w:r>
              <w:lastRenderedPageBreak/>
              <w:t>présent règlement devraient être subordonnés au respect, par l’Ukraine, de toutes les conditions nécessaires pour bénéficier des avantages prévus par l’accord d’association, y compris des règles d’origine des produits concernés et des procédures y afférentes, ainsi qu’à la participation de l’Ukraine à une coopération administrative étroite avec l’Union, comme le prévoit l’accord d’association.</w:t>
            </w:r>
          </w:p>
        </w:tc>
        <w:tc>
          <w:tcPr>
            <w:tcW w:w="4876" w:type="dxa"/>
          </w:tcPr>
          <w:p w:rsidR="004259D9" w:rsidRPr="002D5A1F" w:rsidRDefault="004259D9" w:rsidP="00E3732C">
            <w:pPr>
              <w:pStyle w:val="Normal6a"/>
            </w:pPr>
            <w:r>
              <w:lastRenderedPageBreak/>
              <w:t>(8)</w:t>
            </w:r>
            <w:r>
              <w:tab/>
              <w:t xml:space="preserve">Afin de prévenir la fraude, les régimes préférentiels institués par le </w:t>
            </w:r>
            <w:r>
              <w:lastRenderedPageBreak/>
              <w:t>présent règlement devraient être subordonnés au respect, par l’Ukraine, de toutes les conditions nécessaires pour bénéficier des avantages prévus par l’accord d’association, y compris des règles d’origine des produits concernés et des procédures y afférentes, ainsi qu’à la participation de l’Ukraine à une coopération administrative étroite avec l’Union</w:t>
            </w:r>
            <w:r>
              <w:rPr>
                <w:b/>
                <w:i/>
              </w:rPr>
              <w:t xml:space="preserve"> afin d’éviter toute déstabilisation majeure du marché intérieur</w:t>
            </w:r>
            <w:r>
              <w:t>, comme le prévoit l’accord d’association</w:t>
            </w:r>
            <w:r>
              <w:rPr>
                <w:b/>
                <w:i/>
              </w:rPr>
              <w:t>, ainsi qu’avec les États membres dans lesquels des solutions bilatérales convenues d’un commun accord ont été mises en place</w:t>
            </w:r>
            <w:r>
              <w:t>.</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4</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(9)</w:t>
            </w:r>
            <w:r>
              <w:tab/>
              <w:t>Les accords préférentiels établis par le présent règlement devraient également être subordonnés à la condition que l’Ukraine s’abstienne d’introduire de nouveaux droits ou taxes d’effet équivalent et de nouvelles restrictions quantitatives ou mesures d’effet équivalent, d’augmenter les niveaux de droits ou de taxes existants ou d’introduire toute autre restriction aux échanges avec l’Union, sauf si cela est clairement justifié dans le contexte de la guerre d’agression menée par la Russie.</w:t>
            </w:r>
          </w:p>
        </w:tc>
        <w:tc>
          <w:tcPr>
            <w:tcW w:w="4876" w:type="dxa"/>
          </w:tcPr>
          <w:p w:rsidR="004259D9" w:rsidRPr="002D5A1F" w:rsidRDefault="004259D9" w:rsidP="00E3732C">
            <w:pPr>
              <w:pStyle w:val="Normal6a"/>
            </w:pPr>
            <w:r>
              <w:t>(9)</w:t>
            </w:r>
            <w:r>
              <w:tab/>
              <w:t xml:space="preserve">Les accords préférentiels établis par le présent règlement devraient également être subordonnés à la condition que l’Ukraine s’abstienne d’introduire de nouveaux droits ou taxes d’effet équivalent et de nouvelles restrictions quantitatives ou mesures d’effet équivalent, d’augmenter les niveaux de droits ou de taxes existants ou d’introduire toute autre restriction aux échanges avec l’Union, sauf si cela est clairement justifié dans le contexte de la guerre d’agression menée par la Russie </w:t>
            </w:r>
            <w:r>
              <w:rPr>
                <w:b/>
                <w:i/>
              </w:rPr>
              <w:t>et dans des cas convenus d’un commun accord</w:t>
            </w:r>
            <w:r>
              <w:t>.</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5</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(11)</w:t>
            </w:r>
            <w:r>
              <w:tab/>
              <w:t xml:space="preserve">Sous réserve d’une évaluation de la </w:t>
            </w:r>
            <w:r>
              <w:lastRenderedPageBreak/>
              <w:t>Commission réalisée dans le cadre d’un suivi régulier de l’effet du présent règlement et lancée à la suite d’une demande dûment motivée d’un État membre ou de l’initiative même de la Commission, il convient de prévoir la possibilité de prendre toutes les mesures nécessaires concernant les importations de tout produit relevant du champ d’application du présent règlement ayant des effets préjudiciables sur le marché de l’Union ou le marché d’un ou de plusieurs États membres pour des produits similaires ou directement concurrents. Il existe une situation particulièrement précaire sur les marchés de la volaille, des œufs et du sucre, qui pourrait nuire aux producteurs agricoles de l’Union si les importations en provenance d’Ukraine devaient augmenter. Il y a lieu d’introduire une mesure de sauvegarde automatique pour les œufs, les volailles et les produits du secteur du sucre, à activer si les quantités importées en vertu du présent règlement dépassent la moyenne arithmétique des quantités importées en</w:t>
            </w:r>
            <w:r>
              <w:rPr>
                <w:b/>
                <w:i/>
              </w:rPr>
              <w:t> 2022</w:t>
            </w:r>
            <w:r>
              <w:t xml:space="preserve"> et</w:t>
            </w:r>
            <w:r>
              <w:rPr>
                <w:b/>
                <w:i/>
              </w:rPr>
              <w:t> 2023</w:t>
            </w:r>
            <w:r>
              <w:t>.</w:t>
            </w:r>
          </w:p>
        </w:tc>
        <w:tc>
          <w:tcPr>
            <w:tcW w:w="4876" w:type="dxa"/>
          </w:tcPr>
          <w:p w:rsidR="004259D9" w:rsidRPr="002D5A1F" w:rsidRDefault="004259D9" w:rsidP="00E3732C">
            <w:pPr>
              <w:pStyle w:val="Normal6a"/>
            </w:pPr>
            <w:r>
              <w:lastRenderedPageBreak/>
              <w:t>(11)</w:t>
            </w:r>
            <w:r>
              <w:tab/>
              <w:t xml:space="preserve">Sous réserve d’une évaluation de la </w:t>
            </w:r>
            <w:r>
              <w:lastRenderedPageBreak/>
              <w:t xml:space="preserve">Commission réalisée dans le cadre d’un suivi régulier de l’effet du présent règlement et lancée à la suite d’une demande dûment motivée d’un État membre ou de l’initiative même de la Commission, il convient de prévoir la possibilité de prendre toutes les mesures nécessaires concernant les importations de tout produit relevant du champ d’application du présent règlement ayant des effets préjudiciables sur le marché de l’Union ou le marché d’un ou de plusieurs États membres pour des produits similaires ou directement concurrents. Il existe une situation particulièrement précaire sur les marchés </w:t>
            </w:r>
            <w:r>
              <w:rPr>
                <w:b/>
                <w:i/>
              </w:rPr>
              <w:t xml:space="preserve">des céréales, </w:t>
            </w:r>
            <w:r>
              <w:t xml:space="preserve">de la volaille, des œufs et du sucre, qui pourrait nuire aux producteurs agricoles de l’Union si les importations en provenance d’Ukraine devaient augmenter. Il y a lieu d’introduire une mesure de sauvegarde automatique pour les </w:t>
            </w:r>
            <w:r>
              <w:rPr>
                <w:b/>
                <w:i/>
              </w:rPr>
              <w:t xml:space="preserve">céréales, les </w:t>
            </w:r>
            <w:r>
              <w:t>œufs, les volailles et les produits du secteur du sucre, à activer si les quantités importées en vertu du présent règlement dépassent la moyenne arithmétique des quantités importées en</w:t>
            </w:r>
            <w:r>
              <w:rPr>
                <w:b/>
                <w:i/>
              </w:rPr>
              <w:t xml:space="preserve"> 2021</w:t>
            </w:r>
            <w:r>
              <w:t xml:space="preserve"> et</w:t>
            </w:r>
            <w:r>
              <w:rPr>
                <w:b/>
                <w:i/>
              </w:rPr>
              <w:t xml:space="preserve"> 2022, ainsi que des mesures de sauvegarde adéquates pour les autres produits</w:t>
            </w:r>
            <w:r>
              <w:t xml:space="preserve">. </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6</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11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(11 bis)</w:t>
            </w:r>
            <w:r>
              <w:tab/>
            </w:r>
            <w:r>
              <w:rPr>
                <w:b/>
                <w:i/>
              </w:rPr>
              <w:t>Alerte la Commission sur la situation critique du marché du sucre, dont les volumes importés sur le premier semestre 2024 sont déjà très élevés;</w:t>
            </w:r>
            <w:r>
              <w:t xml:space="preserve"> </w:t>
            </w:r>
            <w:r>
              <w:rPr>
                <w:b/>
                <w:i/>
              </w:rPr>
              <w:t>insiste en conséquence sur la nécessaire vigilance de la Commission dès l’entrée en vigueur du présent règlement en assurant un suivi mensuel attentif des exportations;</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lastRenderedPageBreak/>
        <w:t>&lt;Amend&gt;</w:t>
      </w:r>
      <w:r>
        <w:t>Amendement</w:t>
      </w:r>
      <w:r>
        <w:tab/>
      </w:r>
      <w:r>
        <w:tab/>
      </w:r>
      <w:r>
        <w:rPr>
          <w:rStyle w:val="HideTWBExt"/>
        </w:rPr>
        <w:t>&lt;NumAm&gt;</w:t>
      </w:r>
      <w:r>
        <w:t>7</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13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(13 bis)</w:t>
            </w:r>
            <w:r>
              <w:tab/>
            </w:r>
            <w:r>
              <w:rPr>
                <w:b/>
                <w:i/>
              </w:rPr>
              <w:t>Compte tenu du statut de pays candidat à l’adhésion à l’Union de l’Ukraine, la Commission devrait tenir compte, lors de l’évaluation et du rapport annuel, de la nécessité de commencer à œuvrer à un programme de restructuration du secteur agricole ukrainien ainsi que de son industrie agroalimentaire. Un tel programme devrait être compatible avec les objectifs de l’adhésion de l’Ukraine à l’Union ainsi qu’avec l’objectif visant à ce que l’Ukraine demeure un grand exportateur mondial de produits agroalimentaires, et devrait inclure une réforme adéquate des politiques agricoles ukrainiennes au cours de la période de restructuration et de reconstruction. Le rapport annuel devrait également, le cas échéant, recenser les éléments devant faire l’objet d’un réexamen de la zone de libre-échange approfondi et complet dans le cadre de l’accord d’association.</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8</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Considérant 13 ter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(13 ter)</w:t>
            </w:r>
            <w:r>
              <w:tab/>
            </w:r>
            <w:r>
              <w:rPr>
                <w:b/>
                <w:i/>
              </w:rPr>
              <w:t xml:space="preserve">Le soutien et la supervision du développement des échanges agricoles avec l’Ukraine doivent être envisagés dans une perspective à long terme sans se limiter à des mesures à court terme. À cette fin, la Commission devrait proposer un système complet de licences d’importation et d’exportation avec l’Ukraine, afin de permettre un suivi </w:t>
            </w:r>
            <w:r>
              <w:rPr>
                <w:b/>
                <w:i/>
              </w:rPr>
              <w:lastRenderedPageBreak/>
              <w:t>détaillé des produits agricoles depuis leur entrée dans un État membre de l’Union jusqu’à leur destination, sous le contrôle de la Commission, ainsi qu’un ensemble permanent de mesures comprenant des mécanismes adaptés à la destination finale de chaque produit, des investissements dans le stockage et la logistique et l’application des normes de l’Union si le produit est destiné à son marché. Si des montants doivent être remboursés, il convient de les utiliser pour financer l’effort de guerre en Ukraine.</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9</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2 – alinéa 1 – point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b)</w:t>
            </w:r>
            <w:r>
              <w:tab/>
              <w:t>l’engagement, par l’Ukraine, de ne pas introduire de nouveaux droits ou taxes d’effet équivalent ni de nouvelles restrictions quantitatives ou mesures d’effet équivalent pour les importations originaires de l’Union, ou de ne pas augmenter les niveaux des droits ou des taxes existants ou de n’introduire aucune autre restriction au commerce avec l’Union, y compris des mesures administratives internes discriminatoires, sauf si cela est clairement justifié dans le contexte de la guerre;</w:t>
            </w:r>
            <w:r>
              <w:rPr>
                <w:b/>
                <w:i/>
              </w:rPr>
              <w:t xml:space="preserve"> et</w:t>
            </w:r>
          </w:p>
        </w:tc>
        <w:tc>
          <w:tcPr>
            <w:tcW w:w="4876" w:type="dxa"/>
          </w:tcPr>
          <w:p w:rsidR="004259D9" w:rsidRPr="002D5A1F" w:rsidRDefault="004259D9" w:rsidP="00E3732C">
            <w:pPr>
              <w:pStyle w:val="Normal6a"/>
            </w:pPr>
            <w:r>
              <w:t>b)</w:t>
            </w:r>
            <w:r>
              <w:tab/>
              <w:t>l’engagement, par l’Ukraine, de ne pas introduire de nouveaux droits ou taxes d’effet équivalent ni de nouvelles restrictions quantitatives ou mesures d’effet équivalent pour les importations originaires de l’Union, ou de ne pas augmenter les niveaux des droits ou des taxes existants ou de n’introduire aucune autre restriction au commerce avec l’Union, y compris des mesures administratives internes discriminatoires, sauf si cela est clairement justifié dans le contexte de la guerre</w:t>
            </w:r>
            <w:r>
              <w:rPr>
                <w:b/>
                <w:i/>
              </w:rPr>
              <w:t xml:space="preserve"> et convenu d’un commun accord entre l’Ukraine et l’Union ou un de ses États membres</w:t>
            </w:r>
            <w:r>
              <w:t>;</w:t>
            </w:r>
            <w:r>
              <w:rPr>
                <w:b/>
                <w:i/>
              </w:rPr>
              <w:t xml:space="preserve"> et </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10</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3 – paragraphe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2.</w:t>
            </w:r>
            <w:r>
              <w:tab/>
              <w:t xml:space="preserve">Lorsqu’un État membre demande que la Commission suspende l’un des </w:t>
            </w:r>
            <w:r>
              <w:lastRenderedPageBreak/>
              <w:t xml:space="preserve">régimes préférentiels en raison d’un manquement de l’Ukraine aux conditions énoncées à l’article 2, point b), la Commission rend, dans les quatre </w:t>
            </w:r>
            <w:r>
              <w:rPr>
                <w:b/>
                <w:i/>
              </w:rPr>
              <w:t>mois</w:t>
            </w:r>
            <w:r>
              <w:t xml:space="preserve"> qui suivent la demande, un avis motivé sur le bien-fondé de l’allégation de manquement de la part de l’Ukraine. Si la Commission conclut que la demande est fondée, elle engage la procédure visée au paragraphe 1 du présent article.</w:t>
            </w:r>
          </w:p>
        </w:tc>
        <w:tc>
          <w:tcPr>
            <w:tcW w:w="4876" w:type="dxa"/>
          </w:tcPr>
          <w:p w:rsidR="004259D9" w:rsidRPr="002D5A1F" w:rsidRDefault="004259D9" w:rsidP="00E3732C">
            <w:pPr>
              <w:pStyle w:val="Normal6a"/>
            </w:pPr>
            <w:r>
              <w:lastRenderedPageBreak/>
              <w:t>2.</w:t>
            </w:r>
            <w:r>
              <w:tab/>
              <w:t xml:space="preserve">Lorsqu’un État membre demande que la Commission suspende l’un des </w:t>
            </w:r>
            <w:r>
              <w:lastRenderedPageBreak/>
              <w:t xml:space="preserve">régimes préférentiels en raison d’un manquement de l’Ukraine aux conditions énoncées à l’article 2, point b), la Commission rend, dans les quatre </w:t>
            </w:r>
            <w:r>
              <w:rPr>
                <w:b/>
                <w:i/>
              </w:rPr>
              <w:t>semaines</w:t>
            </w:r>
            <w:r>
              <w:t xml:space="preserve"> qui suivent la demande, un avis motivé sur le bien-fondé de l’allégation de manquement de la part de l’Ukraine. Si la Commission conclut que la demande est fondée, elle engage la procédure visée au paragraphe 1 du présent article.</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11</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1 – alinéa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Si un produit relevant de l’article 1er</w:t>
            </w:r>
            <w:r>
              <w:rPr>
                <w:b/>
                <w:i/>
              </w:rPr>
              <w:t>, paragraphe 1,</w:t>
            </w:r>
            <w:r>
              <w:t xml:space="preserve"> originaire d’Ukraine est importé dans des conditions qui ont des effets préjudiciables sur le marché de l’Union ou le marché d’un ou de plusieurs États membres pour des produits similaires ou directement concurrents, la Commission peut imposer toute mesure nécessaire au </w:t>
            </w:r>
            <w:r>
              <w:rPr>
                <w:b/>
                <w:i/>
              </w:rPr>
              <w:t>moyen d’un acte d’exécution</w:t>
            </w:r>
            <w:r>
              <w:t>. Cet acte d’exécution est adopté en conformité avec la procédure d’examen visée à l’article 5, paragraphe 3.</w:t>
            </w:r>
          </w:p>
        </w:tc>
        <w:tc>
          <w:tcPr>
            <w:tcW w:w="4876" w:type="dxa"/>
          </w:tcPr>
          <w:p w:rsidR="004259D9" w:rsidRPr="002D5A1F" w:rsidRDefault="004259D9" w:rsidP="00E3732C">
            <w:pPr>
              <w:pStyle w:val="Normal6a"/>
            </w:pPr>
            <w:r>
              <w:t>Si un produit relevant de l’article 1er</w:t>
            </w:r>
            <w:r>
              <w:rPr>
                <w:b/>
                <w:i/>
              </w:rPr>
              <w:t xml:space="preserve"> ou tout autre produit</w:t>
            </w:r>
            <w:r>
              <w:t xml:space="preserve"> originaire d’Ukraine est importé dans des conditions qui ont des effets préjudiciables sur le marché de l’Union ou le marché d’un ou de plusieurs États membres pour des produits similaires ou directement concurrents, la Commission peut</w:t>
            </w:r>
            <w:r>
              <w:rPr>
                <w:b/>
                <w:i/>
              </w:rPr>
              <w:t>, au moyen d’un acte d’exécution,</w:t>
            </w:r>
            <w:r>
              <w:t xml:space="preserve"> imposer toute mesure nécessaire</w:t>
            </w:r>
            <w:r>
              <w:rPr>
                <w:b/>
                <w:i/>
              </w:rPr>
              <w:t>, y compris l’utilisation de fonds</w:t>
            </w:r>
            <w:r>
              <w:t xml:space="preserve"> au </w:t>
            </w:r>
            <w:r>
              <w:rPr>
                <w:b/>
                <w:i/>
              </w:rPr>
              <w:t>titre du règlement (UE) 2024/... du Parlement européen et du Conseil établissant la facilité pour l’Ukraine (COD 2023/0200), pour acheter des produits agricoles ukrainiens destinés à des pays tiers dans le cadre de l’aide alimentaire humanitaire de l’Union, ce qui peut également impliquer un stockage sur le territoire de l’Union</w:t>
            </w:r>
            <w:r>
              <w:t>. Cet acte d’exécution est adopté en conformité avec la procédure d’examen visée à l’article 5, paragraphe 3.</w:t>
            </w:r>
          </w:p>
        </w:tc>
      </w:tr>
    </w:tbl>
    <w:p w:rsidR="004259D9" w:rsidRPr="002D5A1F" w:rsidRDefault="004259D9" w:rsidP="00A47B05">
      <w:pPr>
        <w:pStyle w:val="AmJustTitle"/>
      </w:pPr>
      <w:r>
        <w:rPr>
          <w:rStyle w:val="HideTWBExt"/>
        </w:rPr>
        <w:t>&lt;TitreJust&gt;</w:t>
      </w:r>
      <w:r>
        <w:t>Justification</w:t>
      </w:r>
      <w:r>
        <w:rPr>
          <w:rStyle w:val="HideTWBExt"/>
        </w:rPr>
        <w:t>&lt;/TitreJust&gt;</w:t>
      </w:r>
    </w:p>
    <w:p w:rsidR="004259D9" w:rsidRPr="002D5A1F" w:rsidRDefault="004259D9" w:rsidP="00A47B05">
      <w:pPr>
        <w:pStyle w:val="AmJustText"/>
      </w:pPr>
      <w:r>
        <w:t>Les mesures de sauvegarde fondées sur l’article 4 devraient s’appliquer à tous les produits importés d’Ukraine. L’article 1</w:t>
      </w:r>
      <w:bookmarkStart w:id="7" w:name="_GoBack"/>
      <w:r w:rsidRPr="00B55FCC">
        <w:rPr>
          <w:vertAlign w:val="superscript"/>
        </w:rPr>
        <w:t>er</w:t>
      </w:r>
      <w:bookmarkEnd w:id="7"/>
      <w:r>
        <w:t xml:space="preserve">, paragraphe 2, s’applique à l’ensemble des importations originaires d’Ukraine et suspend la possibilité d’appliquer les mesures de sauvegarde usuelles prévues par l’accord de l’OMC. Dès lors, la possibilité de prendre des mesures de sauvegarde au titre de l’article 4 du règlement relatif aux mesures commerciales autonomes </w:t>
      </w:r>
      <w:r>
        <w:lastRenderedPageBreak/>
        <w:t>devrait également s’appliquer à l’ensemble des importations. En outre, parmi les mesures nécessaires, la Commission devrait être autorisée à utiliser des fonds au titre de la facilité afin de stabiliser les prix du marché, en achetant des produits agricoles à des fins humanitaires.</w:t>
      </w:r>
    </w:p>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12</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2 – alinéa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 xml:space="preserve">La Commission informe les États membres </w:t>
            </w:r>
            <w:r>
              <w:rPr>
                <w:b/>
                <w:i/>
              </w:rPr>
              <w:t>tous les deux</w:t>
            </w:r>
            <w:r>
              <w:t xml:space="preserve"> mois des résultats du suivi régulier, à compter de l’entrée en vigueur du présent règlement.</w:t>
            </w:r>
          </w:p>
        </w:tc>
        <w:tc>
          <w:tcPr>
            <w:tcW w:w="4876" w:type="dxa"/>
          </w:tcPr>
          <w:p w:rsidR="004259D9" w:rsidRPr="002D5A1F" w:rsidRDefault="004259D9" w:rsidP="00E3732C">
            <w:pPr>
              <w:pStyle w:val="Normal6a"/>
            </w:pPr>
            <w:r>
              <w:t xml:space="preserve">La Commission informe les États membres </w:t>
            </w:r>
            <w:r>
              <w:rPr>
                <w:b/>
                <w:i/>
              </w:rPr>
              <w:t>et le Parlement européen chaque</w:t>
            </w:r>
            <w:r>
              <w:t xml:space="preserve"> mois des résultats du suivi régulier, à compter de l’entrée en vigueur du présent règlement.</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13</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3 – alinéa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 xml:space="preserve">L’évaluation visée au premier alinéa est conclue dans un délai de </w:t>
            </w:r>
            <w:r>
              <w:rPr>
                <w:b/>
                <w:i/>
              </w:rPr>
              <w:t>quatre</w:t>
            </w:r>
            <w:r>
              <w:t xml:space="preserve"> mois suivant son déclenchement.</w:t>
            </w:r>
          </w:p>
        </w:tc>
        <w:tc>
          <w:tcPr>
            <w:tcW w:w="4876" w:type="dxa"/>
          </w:tcPr>
          <w:p w:rsidR="004259D9" w:rsidRPr="002D5A1F" w:rsidRDefault="004259D9" w:rsidP="00E3732C">
            <w:pPr>
              <w:pStyle w:val="Normal6a"/>
            </w:pPr>
            <w:r>
              <w:t xml:space="preserve">L’évaluation visée au premier alinéa est conclue dans un délai de </w:t>
            </w:r>
            <w:r>
              <w:rPr>
                <w:b/>
                <w:i/>
              </w:rPr>
              <w:t>deux</w:t>
            </w:r>
            <w:r>
              <w:t xml:space="preserve"> mois suivant son déclenchement.</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14</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4 – alinéa 1 – point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a)</w:t>
            </w:r>
            <w:r>
              <w:tab/>
              <w:t>le taux et le volume de la hausse des importations en provenance d’Ukraine du produit concerné, en termes absolus et relatifs;</w:t>
            </w:r>
          </w:p>
        </w:tc>
        <w:tc>
          <w:tcPr>
            <w:tcW w:w="4876" w:type="dxa"/>
          </w:tcPr>
          <w:p w:rsidR="004259D9" w:rsidRPr="002D5A1F" w:rsidRDefault="004259D9" w:rsidP="00E3732C">
            <w:pPr>
              <w:pStyle w:val="Normal6a"/>
            </w:pPr>
            <w:r>
              <w:t>a)</w:t>
            </w:r>
            <w:r>
              <w:tab/>
              <w:t>le taux et le volume de la hausse des importations en provenance d’Ukraine du produit concerné, en termes absolus et relatifs</w:t>
            </w:r>
            <w:r>
              <w:rPr>
                <w:b/>
                <w:i/>
              </w:rPr>
              <w:t>, à la fois vers l’Union dans son ensemble et vers chacun de ses membres</w:t>
            </w:r>
            <w:r>
              <w:t>;</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15</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lastRenderedPageBreak/>
        <w:t>&lt;Article&gt;</w:t>
      </w:r>
      <w:r>
        <w:t>Article 4 – paragraphe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5.</w:t>
            </w:r>
            <w:r>
              <w:tab/>
              <w:t xml:space="preserve">Dans des circonstances critiques où un retard causerait un préjudice difficilement réparable, la Commission peut imposer provisoirement toute mesure nécessaire au moyen d’un acte d’exécution. Ces mesures ne peuvent être imposées que sur demande dûment motivée d’un État membre conformément au paragraphe 3, point a), du présent article et sont adoptées dans un délai de </w:t>
            </w:r>
            <w:r>
              <w:rPr>
                <w:b/>
                <w:i/>
              </w:rPr>
              <w:t xml:space="preserve">21 </w:t>
            </w:r>
            <w:r>
              <w:t xml:space="preserve">jours à compter de la réception de la demande. L’acte d’exécution est adopté en conformité avec la procédure consultative visée à l’article 5, paragraphe 4. La durée d’une mesure de sauvegarde provisoire ne dépasse pas </w:t>
            </w:r>
            <w:r>
              <w:rPr>
                <w:b/>
                <w:i/>
              </w:rPr>
              <w:t>120</w:t>
            </w:r>
            <w:r>
              <w:t> jours.</w:t>
            </w:r>
          </w:p>
        </w:tc>
        <w:tc>
          <w:tcPr>
            <w:tcW w:w="4876" w:type="dxa"/>
          </w:tcPr>
          <w:p w:rsidR="004259D9" w:rsidRPr="002D5A1F" w:rsidRDefault="004259D9" w:rsidP="00E3732C">
            <w:pPr>
              <w:pStyle w:val="Normal6a"/>
            </w:pPr>
            <w:r>
              <w:t>5.</w:t>
            </w:r>
            <w:r>
              <w:tab/>
              <w:t xml:space="preserve">Dans des circonstances critiques où un retard causerait un préjudice difficilement réparable, la Commission peut imposer provisoirement toute mesure nécessaire au moyen d’un acte d’exécution. Ces mesures ne peuvent être imposées que sur demande dûment motivée d’un État membre conformément au paragraphe 3, point a), du présent article et sont adoptées dans un délai de </w:t>
            </w:r>
            <w:r>
              <w:rPr>
                <w:b/>
                <w:i/>
              </w:rPr>
              <w:t>10 </w:t>
            </w:r>
            <w:r>
              <w:t xml:space="preserve">jours à compter de la réception de la demande. L’acte d’exécution est adopté en conformité avec la procédure consultative visée à l’article 5, paragraphe 4. La durée d’une mesure de sauvegarde provisoire ne dépasse pas </w:t>
            </w:r>
            <w:r>
              <w:rPr>
                <w:b/>
                <w:i/>
              </w:rPr>
              <w:t>150</w:t>
            </w:r>
            <w:r>
              <w:t> jours.</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16</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1 – partie introductive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 xml:space="preserve">Si, au cours de la période comprise entre le 6 juin et le 31 décembre 2024, les volumes cumulés des importations d’œufs, de volailles </w:t>
            </w:r>
            <w:r>
              <w:rPr>
                <w:b/>
                <w:i/>
              </w:rPr>
              <w:t>ou</w:t>
            </w:r>
            <w:r>
              <w:t xml:space="preserve"> de sucre depuis le 1er janvier 2024 atteignent la moyenne arithmétique respective des volumes d’importation enregistrés en</w:t>
            </w:r>
            <w:r>
              <w:rPr>
                <w:b/>
                <w:i/>
              </w:rPr>
              <w:t> 2022</w:t>
            </w:r>
            <w:r>
              <w:t xml:space="preserve"> et</w:t>
            </w:r>
            <w:r>
              <w:rPr>
                <w:b/>
                <w:i/>
              </w:rPr>
              <w:t> 2023</w:t>
            </w:r>
            <w:r>
              <w:t xml:space="preserve">, la Commission, dans un délai de </w:t>
            </w:r>
            <w:r>
              <w:rPr>
                <w:b/>
                <w:i/>
              </w:rPr>
              <w:t>21</w:t>
            </w:r>
            <w:r>
              <w:t xml:space="preserve"> jours et après en avoir informé le comité des sauvegardes institué par l’article 3, paragraphe 1, du règlement (UE) 2015/478:</w:t>
            </w:r>
          </w:p>
        </w:tc>
        <w:tc>
          <w:tcPr>
            <w:tcW w:w="4876" w:type="dxa"/>
          </w:tcPr>
          <w:p w:rsidR="004259D9" w:rsidRPr="002D5A1F" w:rsidRDefault="004259D9" w:rsidP="00E3732C">
            <w:pPr>
              <w:pStyle w:val="Normal6a"/>
            </w:pPr>
            <w:r>
              <w:t xml:space="preserve">Si, au cours de la période comprise entre le 6 juin et le 31 décembre 2024, les volumes cumulés des importations </w:t>
            </w:r>
            <w:r>
              <w:rPr>
                <w:b/>
                <w:i/>
              </w:rPr>
              <w:t xml:space="preserve">de blé tendre, farines et agglomérés sous forme de pellets de blé tendre, d’orge, farine et agglomérés sous forme de pellets d’orge, d’avoine, de maïs, farine et agglomérés sous forme de pellets de maïs, de gruaux et semoules d’orge, de céréales autrement travaillées, de graines, d’huile et de tourteaux de tournesol, de graines, d’huile et de tourteaux de colza, de miel, </w:t>
            </w:r>
            <w:r>
              <w:t xml:space="preserve">d’œufs, de volailles </w:t>
            </w:r>
            <w:r>
              <w:rPr>
                <w:b/>
                <w:i/>
              </w:rPr>
              <w:t>et</w:t>
            </w:r>
            <w:r>
              <w:t xml:space="preserve"> de sucre depuis le 1er janvier 2024 atteignent la moyenne arithmétique respective des volumes d’importation enregistrés en</w:t>
            </w:r>
            <w:r>
              <w:rPr>
                <w:b/>
                <w:i/>
              </w:rPr>
              <w:t xml:space="preserve"> 2021</w:t>
            </w:r>
            <w:r>
              <w:t xml:space="preserve"> et</w:t>
            </w:r>
            <w:r>
              <w:rPr>
                <w:b/>
                <w:i/>
              </w:rPr>
              <w:t xml:space="preserve"> 2022</w:t>
            </w:r>
            <w:r>
              <w:t xml:space="preserve">, la Commission, dans un délai de </w:t>
            </w:r>
            <w:r>
              <w:rPr>
                <w:b/>
                <w:i/>
              </w:rPr>
              <w:t>10</w:t>
            </w:r>
            <w:r>
              <w:t xml:space="preserve"> jours et après en avoir informé le comité des sauvegardes institué par l’article 3, </w:t>
            </w:r>
            <w:r>
              <w:lastRenderedPageBreak/>
              <w:t>paragraphe 1, du règlement (UE) 2015/478:</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17</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1 – point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a)</w:t>
            </w:r>
            <w:r>
              <w:tab/>
              <w:t>réintroduit pour ce produit le contingent tarifaire correspondant suspendu par l’article 1er, paragraphe 1, point b), jusqu’au 31 décembre 2024</w:t>
            </w:r>
            <w:r>
              <w:rPr>
                <w:b/>
                <w:i/>
              </w:rPr>
              <w:t>; et</w:t>
            </w:r>
          </w:p>
        </w:tc>
        <w:tc>
          <w:tcPr>
            <w:tcW w:w="4876" w:type="dxa"/>
          </w:tcPr>
          <w:p w:rsidR="004259D9" w:rsidRPr="002D5A1F" w:rsidRDefault="004259D9" w:rsidP="00E3732C">
            <w:pPr>
              <w:pStyle w:val="Normal6a"/>
            </w:pPr>
            <w:r>
              <w:t>a)</w:t>
            </w:r>
            <w:r>
              <w:tab/>
              <w:t>réintroduit pour ce produit le contingent tarifaire correspondant suspendu par l’article 1er, paragraphe 1, point b), jusqu’au 31 décembre 2024</w:t>
            </w:r>
            <w:r>
              <w:rPr>
                <w:b/>
                <w:i/>
              </w:rPr>
              <w:t>, ou, dans le cas des céréales</w:t>
            </w:r>
            <w:r>
              <w:t xml:space="preserve"> et</w:t>
            </w:r>
            <w:r>
              <w:rPr>
                <w:b/>
                <w:i/>
              </w:rPr>
              <w:t xml:space="preserve"> des oléagineux, introduit un nouveau contingent tarifaire fondé sur la moyenne arithmétique respective des volumes d’importation enregistrés en 2021 et 2022, jusqu’au 31 décembre 2024;</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18</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1 – point a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a bis)</w:t>
            </w:r>
            <w:r>
              <w:tab/>
            </w:r>
            <w:r>
              <w:rPr>
                <w:b/>
                <w:i/>
              </w:rPr>
              <w:t>aide l’Ukraine à exporter tout produit ayant atteint la moyenne arithmétique respective des volumes d’importation enregistrés en 2021 et 2022 vers des marchés situés en dehors de l’Union; et</w:t>
            </w:r>
          </w:p>
        </w:tc>
      </w:tr>
    </w:tbl>
    <w:p w:rsidR="004259D9" w:rsidRPr="002D5A1F" w:rsidRDefault="004259D9" w:rsidP="00A47B05">
      <w:pPr>
        <w:pStyle w:val="AmJustTitle"/>
      </w:pPr>
      <w:r>
        <w:rPr>
          <w:rStyle w:val="HideTWBExt"/>
        </w:rPr>
        <w:t>&lt;TitreJust&gt;</w:t>
      </w:r>
      <w:r>
        <w:t>Justification</w:t>
      </w:r>
      <w:r>
        <w:rPr>
          <w:rStyle w:val="HideTWBExt"/>
        </w:rPr>
        <w:t>&lt;/TitreJust&gt;</w:t>
      </w:r>
    </w:p>
    <w:p w:rsidR="004259D9" w:rsidRPr="002D5A1F" w:rsidRDefault="004259D9" w:rsidP="00A47B05">
      <w:pPr>
        <w:pStyle w:val="AmJustText"/>
      </w:pPr>
      <w:r>
        <w:t>D’un point de vue géopolitique, nous devons aider l’Ukraine à regagner des parts de marché en dehors de l’Union, en particulier en ce qui concerne les marchés et les produits pour lesquels on constate que la Russie comble les lacunes.</w:t>
      </w:r>
    </w:p>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19</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1 – point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b)</w:t>
            </w:r>
            <w:r>
              <w:tab/>
              <w:t xml:space="preserve">introduit, à partir du 1er janvier 2025, soit un contingent tarifaire égal aux cinq douzièmes de cette moyenne arithmétique, soit le contingent tarifaire correspondant suspendu par l’article 1er, paragraphe 1, point b), le montant le plus </w:t>
            </w:r>
            <w:r>
              <w:rPr>
                <w:b/>
                <w:i/>
              </w:rPr>
              <w:t>élevé</w:t>
            </w:r>
            <w:r>
              <w:t xml:space="preserve"> étant retenu.</w:t>
            </w:r>
          </w:p>
        </w:tc>
        <w:tc>
          <w:tcPr>
            <w:tcW w:w="4876" w:type="dxa"/>
          </w:tcPr>
          <w:p w:rsidR="004259D9" w:rsidRPr="002D5A1F" w:rsidRDefault="004259D9" w:rsidP="00E3732C">
            <w:pPr>
              <w:pStyle w:val="Normal6a"/>
            </w:pPr>
            <w:r>
              <w:t>b)</w:t>
            </w:r>
            <w:r>
              <w:tab/>
              <w:t xml:space="preserve">introduit, à partir du 1er janvier 2025, soit un contingent tarifaire égal aux cinq douzièmes de cette moyenne arithmétique, soit le contingent tarifaire correspondant suspendu par l’article 1er, paragraphe 1, point b), le montant le plus </w:t>
            </w:r>
            <w:r>
              <w:rPr>
                <w:b/>
                <w:i/>
              </w:rPr>
              <w:t>bas</w:t>
            </w:r>
            <w:r>
              <w:t xml:space="preserve"> étant retenu.</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20</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1 – point b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b bis)</w:t>
            </w:r>
            <w:r>
              <w:tab/>
            </w:r>
            <w:r>
              <w:rPr>
                <w:b/>
                <w:i/>
              </w:rPr>
              <w:t>pour le maïs la circulation de ces marchandises n’est autorisée que sous le régime du transit douanier, tel que prévu à l’article 226 du règlement (UE) 952/2013, à destination d’un pays ou d’un territoire situé en dehors du territoire douanier de l’Union européenne.</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21</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 xml:space="preserve">Si, au cours de la période comprise entre le 1er janvier et le 5 juin 2025, les volumes cumulés des importations d’œufs, de volailles </w:t>
            </w:r>
            <w:r>
              <w:rPr>
                <w:b/>
                <w:i/>
              </w:rPr>
              <w:t>ou</w:t>
            </w:r>
            <w:r>
              <w:t xml:space="preserve"> de sucre pour la période écoulée depuis le 1er janvier 2025 atteignent les cinq douzièmes de la moyenne arithmétique respective des volumes d’importation enregistrés en </w:t>
            </w:r>
            <w:r>
              <w:rPr>
                <w:b/>
                <w:i/>
              </w:rPr>
              <w:t>2022</w:t>
            </w:r>
            <w:r>
              <w:t xml:space="preserve"> et </w:t>
            </w:r>
            <w:r>
              <w:rPr>
                <w:b/>
                <w:i/>
              </w:rPr>
              <w:t>2023</w:t>
            </w:r>
            <w:r>
              <w:t xml:space="preserve">, la Commission, dans un délai de </w:t>
            </w:r>
            <w:r>
              <w:rPr>
                <w:b/>
                <w:i/>
              </w:rPr>
              <w:t xml:space="preserve">21 </w:t>
            </w:r>
            <w:r>
              <w:t xml:space="preserve">jours et après en avoir informé le comité des sauvegardes, réintroduit pour ce produit le contingent tarifaire correspondant suspendu par l’article 1er, </w:t>
            </w:r>
            <w:r>
              <w:lastRenderedPageBreak/>
              <w:t>paragraphe 1, point b).</w:t>
            </w:r>
          </w:p>
        </w:tc>
        <w:tc>
          <w:tcPr>
            <w:tcW w:w="4876" w:type="dxa"/>
          </w:tcPr>
          <w:p w:rsidR="004259D9" w:rsidRPr="002D5A1F" w:rsidRDefault="004259D9" w:rsidP="00E3732C">
            <w:pPr>
              <w:pStyle w:val="Normal6a"/>
            </w:pPr>
            <w:r>
              <w:lastRenderedPageBreak/>
              <w:t xml:space="preserve">Si, au cours de la période comprise entre le 1er janvier et le 5 juin 2025, les volumes cumulés des importations </w:t>
            </w:r>
            <w:r>
              <w:rPr>
                <w:b/>
                <w:i/>
              </w:rPr>
              <w:t xml:space="preserve">de blé tendre, farines et agglomérés sous forme de pellets de blé tendre, d’orge, farine et agglomérés sous forme de pellets d’orge, d’avoine, de maïs, farine et agglomérés sous forme de pellets de maïs, de gruaux et semoules d’orge, de céréales autrement travaillées, de graines, d’huile et de tourteaux de tournesol, de graines, d’huile et de tourteaux de colza, de miel, </w:t>
            </w:r>
            <w:r>
              <w:t xml:space="preserve">d’œufs, de volailles </w:t>
            </w:r>
            <w:r>
              <w:rPr>
                <w:b/>
                <w:i/>
              </w:rPr>
              <w:t>et</w:t>
            </w:r>
            <w:r>
              <w:t xml:space="preserve"> de sucre pour la période écoulée depuis le 1er janvier 2025 </w:t>
            </w:r>
            <w:r>
              <w:lastRenderedPageBreak/>
              <w:t>atteignent les cinq douzièmes de la moyenne arithmétique respective des volumes d’importation enregistrés en </w:t>
            </w:r>
            <w:r>
              <w:rPr>
                <w:b/>
                <w:i/>
              </w:rPr>
              <w:t>2021</w:t>
            </w:r>
            <w:r>
              <w:t xml:space="preserve"> et </w:t>
            </w:r>
            <w:r>
              <w:rPr>
                <w:b/>
                <w:i/>
              </w:rPr>
              <w:t>2022</w:t>
            </w:r>
            <w:r>
              <w:t xml:space="preserve">, la Commission, dans un délai de </w:t>
            </w:r>
            <w:r>
              <w:rPr>
                <w:b/>
                <w:i/>
              </w:rPr>
              <w:t>10</w:t>
            </w:r>
            <w:r>
              <w:t>jours et après en avoir informé le comité des sauvegardes, réintroduit pour ce produit le contingent tarifaire correspondant suspendu par l’article 1er, paragraphe 1, point b)</w:t>
            </w:r>
            <w:r>
              <w:rPr>
                <w:b/>
                <w:i/>
              </w:rPr>
              <w:t>, ou dans le cas des céréales, des graines, de l’huile et des tourteaux de tournesol, des graines, de l’huile et des tourteaux de colza, introduit un nouveau contingent tarifaire fondé sur la moyenne arithmétique respective des volumes d’importation enregistrés en 2021, 2022 et 2023.</w:t>
            </w:r>
            <w:r>
              <w:t xml:space="preserve"> </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22</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7 – alinéa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Aux fins du présent paragraphe, les termes «œufs», «volailles» et «sucre» désignent tous les produits couverts par les contingents tarifaires visés dans l’appendice de l’annexe I-A de l’accord d’association pour, respectivement, les œufs et albumines, les viandes de volaille et les préparations à base de viande de volaille ainsi que les sucres et la moyenne arithmétique est calculée en divisant par deux la somme des volumes d’importation en </w:t>
            </w:r>
            <w:r>
              <w:rPr>
                <w:b/>
                <w:i/>
              </w:rPr>
              <w:t>2022</w:t>
            </w:r>
            <w:r>
              <w:t xml:space="preserve"> et </w:t>
            </w:r>
            <w:r>
              <w:rPr>
                <w:b/>
                <w:i/>
              </w:rPr>
              <w:t>2023</w:t>
            </w:r>
            <w:r>
              <w:t>.</w:t>
            </w:r>
          </w:p>
        </w:tc>
        <w:tc>
          <w:tcPr>
            <w:tcW w:w="4876" w:type="dxa"/>
          </w:tcPr>
          <w:p w:rsidR="004259D9" w:rsidRPr="002D5A1F" w:rsidRDefault="004259D9" w:rsidP="00E3732C">
            <w:pPr>
              <w:pStyle w:val="Normal6a"/>
            </w:pPr>
            <w:r>
              <w:t xml:space="preserve">Aux fins du présent paragraphe, les termes </w:t>
            </w:r>
            <w:r>
              <w:rPr>
                <w:b/>
                <w:i/>
              </w:rPr>
              <w:t xml:space="preserve">«blé tendre», «farines et agglomérés sous forme de pellets de blé tendre», «orge», «farine et agglomérés sous forme de pellets d’orge», «avoine», «maïs», «farine et agglomérés sous forme de pellets de maïs», «gruaux et semoules d’orge», «céréales autrement travaillées», «graines, huile et tourteaux de tournesol», «graines, huile et tourteaux de colza», «miel», </w:t>
            </w:r>
            <w:r>
              <w:t xml:space="preserve">«œufs», «volailles» et «sucre» désignent tous les produits couverts par les contingents tarifaires visés dans l’appendice de l’annexe I-A de l’accord d’association pour, respectivement, </w:t>
            </w:r>
            <w:r>
              <w:rPr>
                <w:b/>
                <w:i/>
              </w:rPr>
              <w:t xml:space="preserve">le blé tendre, les farines et les agglomérés sous forme de pellets de blé tendre, l’orge, la farine et les agglomérés sous forme de pellets d’orge, l’avoine, le maïs, la farine et les agglomérés sous forme de pellets de maïs, les gruaux et semoules d’orge, les céréales autrement travaillées, les graines, huile et tourteaux de tournesol, les </w:t>
            </w:r>
            <w:r>
              <w:rPr>
                <w:b/>
                <w:i/>
              </w:rPr>
              <w:lastRenderedPageBreak/>
              <w:t xml:space="preserve">graines, huile et tourteaux de colza, le miel, le malt et le gluten de froment, les amidons, l’amidon transformé, le son, les rafles et les résidus, </w:t>
            </w:r>
            <w:r>
              <w:t>les œufs et albumines, les viandes de volaille et les préparations à base de viande de volaille ainsi que les sucres et la moyenne arithmétique est calculée en divisant par deux la somme des volumes d’importation en </w:t>
            </w:r>
            <w:r>
              <w:rPr>
                <w:b/>
                <w:i/>
              </w:rPr>
              <w:t>2021</w:t>
            </w:r>
            <w:r>
              <w:t xml:space="preserve"> et </w:t>
            </w:r>
            <w:r>
              <w:rPr>
                <w:b/>
                <w:i/>
              </w:rPr>
              <w:t>2022</w:t>
            </w:r>
            <w:r>
              <w:t>.</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23</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8 – alinéa 1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Si un produit relevant de l’article 1er, paragraphe 1, originaire d’Ukraine, est importé dans l’Union ou transite par l’Union, la destination de tous les lots de ce produit devrait être déterminée avant son entrée dans l’Union par les autorités ukrainiennes. En outre, les autorités ukrainiennes devraient fournir à la Commission européenne tous les documents nécessaires attestant que ces envois ont atteint leur destination.</w:t>
            </w:r>
          </w:p>
        </w:tc>
      </w:tr>
    </w:tbl>
    <w:p w:rsidR="004259D9" w:rsidRPr="002D5A1F" w:rsidRDefault="004259D9" w:rsidP="00A47B05">
      <w:pPr>
        <w:pStyle w:val="AmJustTitle"/>
      </w:pPr>
      <w:r>
        <w:rPr>
          <w:rStyle w:val="HideTWBExt"/>
        </w:rPr>
        <w:t>&lt;TitreJust&gt;</w:t>
      </w:r>
      <w:r>
        <w:t>Justification</w:t>
      </w:r>
      <w:r>
        <w:rPr>
          <w:rStyle w:val="HideTWBExt"/>
        </w:rPr>
        <w:t>&lt;/TitreJust&gt;</w:t>
      </w:r>
    </w:p>
    <w:p w:rsidR="004259D9" w:rsidRPr="002D5A1F" w:rsidRDefault="004259D9" w:rsidP="00A47B05">
      <w:pPr>
        <w:pStyle w:val="AmJustText"/>
      </w:pPr>
      <w:r>
        <w:t>De nombreuses importations ukrainiennes n’atteignent pas les zones où elles sont nécessaires et se retrouvent dans d’autres endroits, ce qui crée des problèmes d’excédents.</w:t>
      </w:r>
    </w:p>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24</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 paragraphe 8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8 bis.</w:t>
            </w:r>
            <w:r>
              <w:tab/>
            </w:r>
            <w:r>
              <w:rPr>
                <w:b/>
                <w:i/>
              </w:rPr>
              <w:t xml:space="preserve">Les autorités ukrainiennes sont responsables des documents accompagnant les produits visés à l’article 1er, paragraphe 1, originaires d’Ukraine et importés dans l’Union ou </w:t>
            </w:r>
            <w:r>
              <w:rPr>
                <w:b/>
                <w:i/>
              </w:rPr>
              <w:lastRenderedPageBreak/>
              <w:t>transitant par l’Union. Les produits concernés sont clairement étiquetés avec leur destination finale avant leur importation dans l’Union.</w:t>
            </w:r>
          </w:p>
        </w:tc>
      </w:tr>
    </w:tbl>
    <w:p w:rsidR="004259D9" w:rsidRPr="002D5A1F" w:rsidRDefault="004259D9" w:rsidP="00A47B05">
      <w:r>
        <w:rPr>
          <w:rStyle w:val="HideTWBExt"/>
        </w:rPr>
        <w:lastRenderedPageBreak/>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25</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4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jc w:val="center"/>
            </w:pPr>
            <w:r>
              <w:rPr>
                <w:b/>
                <w:i/>
              </w:rPr>
              <w:t>Article 4 bis</w:t>
            </w:r>
            <w:r>
              <w:tab/>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jc w:val="center"/>
            </w:pPr>
            <w:r>
              <w:rPr>
                <w:b/>
                <w:i/>
              </w:rPr>
              <w:t>Rapports</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pPr>
            <w:r>
              <w:rPr>
                <w:b/>
                <w:i/>
              </w:rPr>
              <w:t>La Commission européenne présente, au plus tard le 31 mai 2024, un rapport au Parlement européen et au Conseil des ministres sur les flux mensuels d’importations dans l’Union européenne de produits agricoles ukrainiens, tels que les céréales et les oléagineux, qui ne relèvent pas de l’article 4 du présent règlement, en comparant ces volumes aux importations enregistrées en 2021 et 2022. Le rapport décrit également l’évolution des prix du marché dans l’Union européenne. Il est accompagné, le cas échéant, d’une proposition législative relative à l’application à ces produits de mesures de sauvegarde.</w:t>
            </w:r>
          </w:p>
        </w:tc>
      </w:tr>
    </w:tbl>
    <w:p w:rsidR="004259D9" w:rsidRPr="002D5A1F" w:rsidRDefault="004259D9" w:rsidP="00A47B05">
      <w:r>
        <w:rPr>
          <w:rStyle w:val="HideTWBExt"/>
        </w:rPr>
        <w:t>&lt;/Amend&gt;</w:t>
      </w:r>
    </w:p>
    <w:p w:rsidR="004259D9" w:rsidRPr="002D5A1F" w:rsidRDefault="004259D9" w:rsidP="00A47B05">
      <w:pPr>
        <w:pStyle w:val="AmNumberTabs"/>
      </w:pPr>
      <w:r>
        <w:rPr>
          <w:rStyle w:val="HideTWBExt"/>
        </w:rPr>
        <w:t>&lt;Amend&gt;</w:t>
      </w:r>
      <w:r>
        <w:t>Amendement</w:t>
      </w:r>
      <w:r>
        <w:tab/>
      </w:r>
      <w:r>
        <w:tab/>
      </w:r>
      <w:r>
        <w:rPr>
          <w:rStyle w:val="HideTWBExt"/>
        </w:rPr>
        <w:t>&lt;NumAm&gt;</w:t>
      </w:r>
      <w:r>
        <w:t>26</w:t>
      </w:r>
      <w:r>
        <w:rPr>
          <w:rStyle w:val="HideTWBExt"/>
        </w:rPr>
        <w:t>&lt;/NumAm&gt;</w:t>
      </w:r>
    </w:p>
    <w:p w:rsidR="004259D9" w:rsidRPr="002D5A1F" w:rsidRDefault="004259D9" w:rsidP="00A47B05">
      <w:pPr>
        <w:pStyle w:val="NormalBold12b"/>
      </w:pPr>
      <w:r>
        <w:rPr>
          <w:rStyle w:val="HideTWBExt"/>
        </w:rPr>
        <w:t>&lt;DocAmend&gt;</w:t>
      </w:r>
      <w:r>
        <w:t>Proposition de règlement</w:t>
      </w:r>
      <w:r>
        <w:rPr>
          <w:rStyle w:val="HideTWBExt"/>
        </w:rPr>
        <w:t>&lt;/DocAmend&gt;</w:t>
      </w:r>
    </w:p>
    <w:p w:rsidR="004259D9" w:rsidRPr="002D5A1F" w:rsidRDefault="004259D9" w:rsidP="00A47B05">
      <w:pPr>
        <w:pStyle w:val="NormalBold"/>
      </w:pPr>
      <w:r>
        <w:rPr>
          <w:rStyle w:val="HideTWBExt"/>
        </w:rPr>
        <w:t>&lt;Article&gt;</w:t>
      </w:r>
      <w:r>
        <w:t>Article 6 – alinéa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9D9" w:rsidTr="00E3732C">
        <w:trPr>
          <w:trHeight w:hRule="exact" w:val="240"/>
          <w:jc w:val="center"/>
        </w:trPr>
        <w:tc>
          <w:tcPr>
            <w:tcW w:w="9752" w:type="dxa"/>
            <w:gridSpan w:val="2"/>
          </w:tcPr>
          <w:p w:rsidR="004259D9" w:rsidRPr="002D5A1F" w:rsidRDefault="004259D9" w:rsidP="00E3732C"/>
        </w:tc>
      </w:tr>
      <w:tr w:rsidR="004259D9" w:rsidTr="00E3732C">
        <w:trPr>
          <w:trHeight w:val="240"/>
          <w:jc w:val="center"/>
        </w:trPr>
        <w:tc>
          <w:tcPr>
            <w:tcW w:w="4876" w:type="dxa"/>
          </w:tcPr>
          <w:p w:rsidR="004259D9" w:rsidRPr="002D5A1F" w:rsidRDefault="004259D9" w:rsidP="00E3732C">
            <w:pPr>
              <w:pStyle w:val="AmColumnHeading"/>
            </w:pPr>
            <w:r>
              <w:t>Texte proposé par la Commission</w:t>
            </w:r>
          </w:p>
        </w:tc>
        <w:tc>
          <w:tcPr>
            <w:tcW w:w="4876" w:type="dxa"/>
          </w:tcPr>
          <w:p w:rsidR="004259D9" w:rsidRPr="002D5A1F" w:rsidRDefault="004259D9" w:rsidP="00E3732C">
            <w:pPr>
              <w:pStyle w:val="AmColumnHeading"/>
            </w:pPr>
            <w:r>
              <w:t>Amendement</w:t>
            </w:r>
          </w:p>
        </w:tc>
      </w:tr>
      <w:tr w:rsidR="004259D9" w:rsidTr="00E3732C">
        <w:trPr>
          <w:jc w:val="center"/>
        </w:trPr>
        <w:tc>
          <w:tcPr>
            <w:tcW w:w="4876" w:type="dxa"/>
          </w:tcPr>
          <w:p w:rsidR="004259D9" w:rsidRPr="002D5A1F" w:rsidRDefault="004259D9" w:rsidP="00E3732C">
            <w:pPr>
              <w:pStyle w:val="Normal6a"/>
            </w:pPr>
            <w:r>
              <w:t xml:space="preserve">Le rapport annuel de la Commission sur la mise en œuvre de la zone de libre-échange approfondi et complet inclut une évaluation détaillée de la mise en œuvre des mesures de libéralisation des échanges prévues par le présent règlement ainsi que, le cas échéant, une évaluation de l’incidence </w:t>
            </w:r>
            <w:r>
              <w:lastRenderedPageBreak/>
              <w:t>sociale de ces mesures en Ukraine et dans l’Union. Les informations sur les importations de produits relevant de l’article 1er, paragraphe 1, point b), sont mises à disposition sur le site internet de la Commission et sont mises à jour mensuellement.</w:t>
            </w:r>
          </w:p>
        </w:tc>
        <w:tc>
          <w:tcPr>
            <w:tcW w:w="4876" w:type="dxa"/>
          </w:tcPr>
          <w:p w:rsidR="004259D9" w:rsidRPr="002D5A1F" w:rsidRDefault="004259D9" w:rsidP="00E3732C">
            <w:pPr>
              <w:pStyle w:val="Normal6a"/>
            </w:pPr>
            <w:r>
              <w:lastRenderedPageBreak/>
              <w:t xml:space="preserve">Le rapport annuel de la Commission sur la mise en œuvre de la zone de libre-échange approfondi et complet inclut une évaluation détaillée de la mise en œuvre des mesures de libéralisation des échanges prévues par le présent règlement ainsi que, le cas échéant, une évaluation de l’incidence </w:t>
            </w:r>
            <w:r>
              <w:lastRenderedPageBreak/>
              <w:t>sociale de ces mesures en Ukraine et dans l’Union</w:t>
            </w:r>
            <w:r>
              <w:rPr>
                <w:b/>
                <w:i/>
              </w:rPr>
              <w:t>, du point de vue tant du développement économique que du développement rural</w:t>
            </w:r>
            <w:r>
              <w:t>. Les informations sur les importations de produits relevant de l’article 1er, paragraphe 1, point b), sont mises à disposition sur le site internet de la Commission et sont mises à jour mensuellement.</w:t>
            </w:r>
          </w:p>
        </w:tc>
      </w:tr>
      <w:tr w:rsidR="004259D9" w:rsidTr="00E3732C">
        <w:trPr>
          <w:jc w:val="center"/>
        </w:trPr>
        <w:tc>
          <w:tcPr>
            <w:tcW w:w="4876" w:type="dxa"/>
          </w:tcPr>
          <w:p w:rsidR="004259D9" w:rsidRPr="002D5A1F" w:rsidRDefault="004259D9" w:rsidP="00E3732C">
            <w:pPr>
              <w:pStyle w:val="Normal6a"/>
            </w:pPr>
          </w:p>
        </w:tc>
        <w:tc>
          <w:tcPr>
            <w:tcW w:w="4876" w:type="dxa"/>
          </w:tcPr>
          <w:p w:rsidR="004259D9" w:rsidRPr="002D5A1F" w:rsidRDefault="004259D9" w:rsidP="00E3732C">
            <w:pPr>
              <w:pStyle w:val="Normal6a"/>
              <w:rPr>
                <w:b/>
                <w:i/>
              </w:rPr>
            </w:pPr>
            <w:r>
              <w:rPr>
                <w:b/>
                <w:i/>
              </w:rPr>
              <w:t xml:space="preserve">Compte tenu du statut de pays candidat de l’Ukraine, le rapport annuel devrait tenir compte de la nécessité d’élaborer dès que possible un programme de restructuration du secteur agricole ukrainien ainsi que de son industrie agroalimentaire, en pleine compatibilité avec les objectifs de l’adhésion de l’Ukraine à l’Union ainsi qu’avec l’objectif visant à ce que l’Ukraine demeure un grand exportateur mondial de produits agroalimentaires. Le rapport annuel devrait également, le cas échéant, recenser les éléments devant faire l’objet d’un réexamen de la zone de libre-échange approfondi et complet dans le cadre de l’accord d’association. </w:t>
            </w:r>
          </w:p>
          <w:p w:rsidR="004259D9" w:rsidRPr="002D5A1F" w:rsidRDefault="004259D9" w:rsidP="00E3732C">
            <w:pPr>
              <w:pStyle w:val="Normal6a"/>
            </w:pPr>
            <w:r>
              <w:rPr>
                <w:b/>
                <w:i/>
              </w:rPr>
              <w:t>La Commission fait rapport deux fois par an aux États membres sur l’état d’avancement de la mise en œuvre par l’Ukraine des obligations qui lui incombent en vertu de l’annexe V de l’accord établissant la zone de libre-échange approfondi et complet et du processus de rapprochement de la législation ukrainienne avec les normes et exigences de l’Union en matière de production agricole, en particulier les normes en matière de sécurité alimentaire et de bien-être animal.</w:t>
            </w:r>
          </w:p>
        </w:tc>
      </w:tr>
    </w:tbl>
    <w:p w:rsidR="004259D9" w:rsidRPr="002D5A1F" w:rsidRDefault="004259D9" w:rsidP="00A47B05">
      <w:r>
        <w:rPr>
          <w:rStyle w:val="HideTWBExt"/>
        </w:rPr>
        <w:t>&lt;/Amend&gt;</w:t>
      </w:r>
    </w:p>
    <w:p w:rsidR="004259D9" w:rsidRPr="002D5A1F" w:rsidRDefault="004259D9" w:rsidP="00A47B05">
      <w:pPr>
        <w:rPr>
          <w:rStyle w:val="HideTWBExt"/>
        </w:rPr>
      </w:pPr>
      <w:r>
        <w:rPr>
          <w:rStyle w:val="HideTWBExt"/>
        </w:rPr>
        <w:t>&lt;/RepeatBlock-Amend&gt;</w:t>
      </w:r>
    </w:p>
    <w:p w:rsidR="004259D9" w:rsidRPr="002D5A1F" w:rsidRDefault="004259D9">
      <w:pPr>
        <w:widowControl/>
      </w:pPr>
      <w:r>
        <w:br w:type="page"/>
      </w:r>
    </w:p>
    <w:p w:rsidR="004259D9" w:rsidRPr="002D5A1F" w:rsidRDefault="004259D9" w:rsidP="006045A7">
      <w:pPr>
        <w:pStyle w:val="PageHeadingNotTOC"/>
        <w:rPr>
          <w:noProof/>
        </w:rPr>
      </w:pPr>
      <w:r>
        <w:lastRenderedPageBreak/>
        <w:t>ANNEXE: ENTITÉS OU PERSONNES</w:t>
      </w:r>
      <w:r>
        <w:br/>
        <w:t>DONT LE RAPPORTEUR POUR AVIS A REÇU DES CONTRIBUTIONS</w:t>
      </w:r>
    </w:p>
    <w:p w:rsidR="004259D9" w:rsidRPr="002D5A1F" w:rsidRDefault="004259D9" w:rsidP="006045A7">
      <w:pPr>
        <w:pStyle w:val="Normal24a"/>
      </w:pPr>
      <w:r>
        <w:rPr>
          <w:rStyle w:val="HideTWBExt"/>
        </w:rPr>
        <w:t>&lt;FootprintIntro&gt;</w:t>
      </w:r>
      <w:r>
        <w:t>Le rapporteur pour avis a reçu des contributions des entités ou personnes suivantes pour l’élaboration de l’avis,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259D9" w:rsidTr="00B31E99">
        <w:tc>
          <w:tcPr>
            <w:tcW w:w="9286" w:type="dxa"/>
            <w:tcBorders>
              <w:top w:val="single" w:sz="4" w:space="0" w:color="auto"/>
              <w:left w:val="single" w:sz="4" w:space="0" w:color="auto"/>
              <w:bottom w:val="single" w:sz="4" w:space="0" w:color="auto"/>
              <w:right w:val="single" w:sz="4" w:space="0" w:color="auto"/>
            </w:tcBorders>
            <w:hideMark/>
          </w:tcPr>
          <w:p w:rsidR="004259D9" w:rsidRPr="002D5A1F" w:rsidRDefault="004259D9" w:rsidP="00B31E99">
            <w:pPr>
              <w:pStyle w:val="NormalBoldCenter"/>
            </w:pPr>
            <w:r>
              <w:t>Entité et/ou personne</w:t>
            </w:r>
          </w:p>
        </w:tc>
      </w:tr>
      <w:tr w:rsidR="004259D9" w:rsidTr="00B31E99">
        <w:tc>
          <w:tcPr>
            <w:tcW w:w="9286" w:type="dxa"/>
            <w:tcBorders>
              <w:top w:val="single" w:sz="4" w:space="0" w:color="auto"/>
              <w:left w:val="single" w:sz="4" w:space="0" w:color="auto"/>
              <w:bottom w:val="single" w:sz="4" w:space="0" w:color="auto"/>
              <w:right w:val="single" w:sz="4" w:space="0" w:color="auto"/>
            </w:tcBorders>
          </w:tcPr>
          <w:p w:rsidR="004259D9" w:rsidRPr="002D5A1F" w:rsidRDefault="004259D9" w:rsidP="00B31E99">
            <w:pPr>
              <w:rPr>
                <w:lang w:eastAsia="en-US"/>
              </w:rPr>
            </w:pPr>
          </w:p>
        </w:tc>
      </w:tr>
      <w:tr w:rsidR="004259D9" w:rsidTr="00B31E99">
        <w:tc>
          <w:tcPr>
            <w:tcW w:w="9286" w:type="dxa"/>
            <w:tcBorders>
              <w:top w:val="single" w:sz="4" w:space="0" w:color="auto"/>
              <w:left w:val="single" w:sz="4" w:space="0" w:color="auto"/>
              <w:bottom w:val="single" w:sz="4" w:space="0" w:color="auto"/>
              <w:right w:val="single" w:sz="4" w:space="0" w:color="auto"/>
            </w:tcBorders>
            <w:hideMark/>
          </w:tcPr>
          <w:p w:rsidR="004259D9" w:rsidRPr="002D5A1F" w:rsidRDefault="004259D9" w:rsidP="00B31E99">
            <w:r>
              <w:t>Trade representative of Ukraine</w:t>
            </w:r>
          </w:p>
        </w:tc>
      </w:tr>
      <w:tr w:rsidR="004259D9" w:rsidTr="00B31E99">
        <w:tc>
          <w:tcPr>
            <w:tcW w:w="9286" w:type="dxa"/>
            <w:tcBorders>
              <w:top w:val="single" w:sz="4" w:space="0" w:color="auto"/>
              <w:left w:val="single" w:sz="4" w:space="0" w:color="auto"/>
              <w:bottom w:val="single" w:sz="4" w:space="0" w:color="auto"/>
              <w:right w:val="single" w:sz="4" w:space="0" w:color="auto"/>
            </w:tcBorders>
            <w:hideMark/>
          </w:tcPr>
          <w:p w:rsidR="004259D9" w:rsidRPr="002D5A1F" w:rsidRDefault="004259D9" w:rsidP="00B31E99">
            <w:r>
              <w:t>Copa-Cogeca</w:t>
            </w:r>
          </w:p>
        </w:tc>
      </w:tr>
      <w:tr w:rsidR="004259D9" w:rsidTr="00B31E99">
        <w:tc>
          <w:tcPr>
            <w:tcW w:w="9286" w:type="dxa"/>
            <w:tcBorders>
              <w:top w:val="single" w:sz="4" w:space="0" w:color="auto"/>
              <w:left w:val="single" w:sz="4" w:space="0" w:color="auto"/>
              <w:bottom w:val="single" w:sz="4" w:space="0" w:color="auto"/>
              <w:right w:val="single" w:sz="4" w:space="0" w:color="auto"/>
            </w:tcBorders>
          </w:tcPr>
          <w:p w:rsidR="004259D9" w:rsidRPr="002D5A1F" w:rsidRDefault="004259D9" w:rsidP="00B31E99"/>
        </w:tc>
      </w:tr>
    </w:tbl>
    <w:p w:rsidR="004259D9" w:rsidRPr="002D5A1F" w:rsidRDefault="004259D9" w:rsidP="006045A7">
      <w:pPr>
        <w:rPr>
          <w:lang w:eastAsia="en-US"/>
        </w:rPr>
      </w:pPr>
    </w:p>
    <w:p w:rsidR="004259D9" w:rsidRPr="002D5A1F" w:rsidRDefault="004259D9" w:rsidP="006045A7">
      <w:r>
        <w:t>La liste ci-dessus est établie sous la responsabilité exclusive du rapporteur pour avis.</w:t>
      </w:r>
    </w:p>
    <w:p w:rsidR="004259D9" w:rsidRPr="002D5A1F" w:rsidRDefault="004259D9">
      <w:pPr>
        <w:widowControl/>
      </w:pPr>
      <w:r>
        <w:br w:type="page"/>
      </w:r>
    </w:p>
    <w:p w:rsidR="004259D9" w:rsidRPr="002D5A1F" w:rsidRDefault="004259D9" w:rsidP="006457B3">
      <w:pPr>
        <w:pStyle w:val="PageHeadingNotTOC"/>
      </w:pPr>
      <w:r>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COM(2024)0050 – C9-0021/2024 – 2024/0028(COD)</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Commission compétente au fond</w:t>
            </w:r>
          </w:p>
          <w:p w:rsidR="004259D9" w:rsidRPr="002D5A1F" w:rsidRDefault="004259D9">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INTA</w:t>
            </w:r>
          </w:p>
          <w:p w:rsidR="004259D9" w:rsidRPr="002D5A1F" w:rsidRDefault="004259D9">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Avis émis par</w:t>
            </w:r>
          </w:p>
          <w:p w:rsidR="004259D9" w:rsidRPr="002D5A1F" w:rsidRDefault="004259D9">
            <w:pPr>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AGRI</w:t>
            </w:r>
          </w:p>
          <w:p w:rsidR="004259D9" w:rsidRPr="002D5A1F" w:rsidRDefault="004259D9">
            <w:pPr>
              <w:autoSpaceDE w:val="0"/>
              <w:autoSpaceDN w:val="0"/>
              <w:adjustRightInd w:val="0"/>
              <w:rPr>
                <w:color w:val="000000"/>
                <w:sz w:val="20"/>
              </w:rPr>
            </w:pPr>
            <w:r>
              <w:rPr>
                <w:color w:val="000000"/>
                <w:sz w:val="20"/>
              </w:rPr>
              <w:t>26.2.2024</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Rapporteur(e) pour avis</w:t>
            </w:r>
          </w:p>
          <w:p w:rsidR="004259D9" w:rsidRPr="002D5A1F" w:rsidRDefault="004259D9">
            <w:pPr>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Juozas Olekas</w:t>
            </w:r>
          </w:p>
          <w:p w:rsidR="004259D9" w:rsidRPr="002D5A1F" w:rsidRDefault="004259D9">
            <w:pPr>
              <w:autoSpaceDE w:val="0"/>
              <w:autoSpaceDN w:val="0"/>
              <w:adjustRightInd w:val="0"/>
              <w:rPr>
                <w:color w:val="000000"/>
                <w:sz w:val="20"/>
              </w:rPr>
            </w:pPr>
            <w:r>
              <w:rPr>
                <w:color w:val="000000"/>
                <w:sz w:val="20"/>
              </w:rPr>
              <w:t>13.2.2024</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rFonts w:ascii="sans-serif" w:hAnsi="sans-serif" w:cs="sans-serif"/>
                <w:color w:val="000000"/>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w:t>
            </w:r>
          </w:p>
          <w:p w:rsidR="004259D9" w:rsidRPr="002D5A1F" w:rsidRDefault="004259D9">
            <w:pPr>
              <w:autoSpaceDE w:val="0"/>
              <w:autoSpaceDN w:val="0"/>
              <w:adjustRightInd w:val="0"/>
              <w:rPr>
                <w:color w:val="000000"/>
                <w:sz w:val="20"/>
              </w:rPr>
            </w:pPr>
            <w:r>
              <w:rPr>
                <w:color w:val="000000"/>
                <w:sz w:val="20"/>
              </w:rPr>
              <w:t>–:</w:t>
            </w:r>
          </w:p>
          <w:p w:rsidR="004259D9" w:rsidRPr="002D5A1F" w:rsidRDefault="004259D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31</w:t>
            </w:r>
          </w:p>
          <w:p w:rsidR="004259D9" w:rsidRPr="002D5A1F" w:rsidRDefault="004259D9">
            <w:pPr>
              <w:autoSpaceDE w:val="0"/>
              <w:autoSpaceDN w:val="0"/>
              <w:adjustRightInd w:val="0"/>
              <w:rPr>
                <w:color w:val="000000"/>
                <w:sz w:val="20"/>
              </w:rPr>
            </w:pPr>
            <w:r>
              <w:rPr>
                <w:color w:val="000000"/>
                <w:sz w:val="20"/>
              </w:rPr>
              <w:t>7</w:t>
            </w:r>
          </w:p>
          <w:p w:rsidR="004259D9" w:rsidRPr="002D5A1F" w:rsidRDefault="004259D9">
            <w:pPr>
              <w:autoSpaceDE w:val="0"/>
              <w:autoSpaceDN w:val="0"/>
              <w:adjustRightInd w:val="0"/>
              <w:rPr>
                <w:color w:val="000000"/>
                <w:sz w:val="20"/>
              </w:rPr>
            </w:pPr>
            <w:r>
              <w:rPr>
                <w:color w:val="000000"/>
                <w:sz w:val="20"/>
              </w:rPr>
              <w:t>5</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Mazaly Aguilar, Clara Aguilera, Attila Ara-Kovács, Benoît Biteau, Franc Bogovič, Daniel Buda, Isabel Carvalhais, Angelo Ciocca, Dacian Cioloş, Ivan David, Paolo De Castro, Herbert Dorfmann, José Manuel Fernandes, Luke Ming Flanagan, Paola Ghidoni, Dino Giarrusso, Francisco Guerreiro, Martin Häusling, Martin Hlaváček, Krzysztof Jurgiel, Jarosław Kalinowski, Elsi Katainen, Camilla Laureti, Gilles Lebreton, Norbert Lins, Chris MacManus, Marlene Mortler, Ulrike Müller, Maria Noichl, Juozas Olekas, Katarína Roth Neveďalová, Bert-Jan Ruissen, Veronika Vrecionová, Sarah Wiener, Juan Ignacio Zoido Álvarez</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Rosanna Conte, Anna Deparnay-Grunenberg, Peter Jahr, Cristina Maestre Martín De Almagro, Alin Mituța, Michaela Šojdrová, Tom Vandenkendelaere</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Pr="002D5A1F" w:rsidRDefault="004259D9">
            <w:pPr>
              <w:autoSpaceDE w:val="0"/>
              <w:autoSpaceDN w:val="0"/>
              <w:adjustRightInd w:val="0"/>
              <w:rPr>
                <w:color w:val="000000"/>
                <w:sz w:val="20"/>
              </w:rPr>
            </w:pPr>
            <w:r>
              <w:rPr>
                <w:color w:val="000000"/>
                <w:sz w:val="20"/>
              </w:rPr>
              <w:t>Iuliu Winkler</w:t>
            </w:r>
          </w:p>
        </w:tc>
      </w:tr>
    </w:tbl>
    <w:p w:rsidR="004259D9" w:rsidRPr="002D5A1F" w:rsidRDefault="004259D9"/>
    <w:p w:rsidR="004259D9" w:rsidRPr="002D5A1F" w:rsidRDefault="004259D9">
      <w:pPr>
        <w:widowControl/>
      </w:pPr>
      <w:r>
        <w:br w:type="page"/>
      </w:r>
    </w:p>
    <w:p w:rsidR="004259D9" w:rsidRPr="002D5A1F" w:rsidRDefault="004259D9" w:rsidP="00A47B05">
      <w:pPr>
        <w:pStyle w:val="PageHeadingNotTOC"/>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Tr="00E3732C">
        <w:trPr>
          <w:cantSplit/>
        </w:trPr>
        <w:tc>
          <w:tcPr>
            <w:tcW w:w="1701" w:type="dxa"/>
            <w:shd w:val="pct10" w:color="000000" w:fill="FFFFFF"/>
            <w:vAlign w:val="center"/>
          </w:tcPr>
          <w:p w:rsidR="004259D9" w:rsidRPr="002D5A1F" w:rsidRDefault="004259D9" w:rsidP="00E3732C">
            <w:pPr>
              <w:pStyle w:val="RollCallVotes"/>
            </w:pPr>
            <w:r>
              <w:t>31</w:t>
            </w:r>
          </w:p>
        </w:tc>
        <w:tc>
          <w:tcPr>
            <w:tcW w:w="7371" w:type="dxa"/>
            <w:shd w:val="pct10" w:color="000000" w:fill="FFFFFF"/>
          </w:tcPr>
          <w:p w:rsidR="004259D9" w:rsidRPr="002D5A1F" w:rsidRDefault="004259D9" w:rsidP="00E3732C">
            <w:pPr>
              <w:pStyle w:val="RollCallSymbols14pt"/>
            </w:pPr>
            <w:r>
              <w:t>+</w:t>
            </w:r>
          </w:p>
        </w:tc>
      </w:tr>
      <w:tr w:rsidR="004259D9" w:rsidTr="00E3732C">
        <w:trPr>
          <w:cantSplit/>
        </w:trPr>
        <w:tc>
          <w:tcPr>
            <w:tcW w:w="1701" w:type="dxa"/>
            <w:shd w:val="clear" w:color="auto" w:fill="FFFFFF"/>
          </w:tcPr>
          <w:p w:rsidR="004259D9" w:rsidRPr="002D5A1F" w:rsidRDefault="004259D9" w:rsidP="00E3732C">
            <w:pPr>
              <w:pStyle w:val="RollCallTable"/>
            </w:pPr>
            <w:r>
              <w:t>ECR</w:t>
            </w:r>
          </w:p>
        </w:tc>
        <w:tc>
          <w:tcPr>
            <w:tcW w:w="7371" w:type="dxa"/>
            <w:shd w:val="clear" w:color="auto" w:fill="FFFFFF"/>
          </w:tcPr>
          <w:p w:rsidR="004259D9" w:rsidRPr="002D5A1F" w:rsidRDefault="004259D9" w:rsidP="00E3732C">
            <w:pPr>
              <w:pStyle w:val="RollCallTable"/>
            </w:pPr>
            <w:r>
              <w:t>Mazaly Aguilar, Bert-Jan Ruissen, Veronika Vrecionová</w:t>
            </w:r>
          </w:p>
        </w:tc>
      </w:tr>
      <w:tr w:rsidR="004259D9" w:rsidTr="00E3732C">
        <w:trPr>
          <w:cantSplit/>
        </w:trPr>
        <w:tc>
          <w:tcPr>
            <w:tcW w:w="1701" w:type="dxa"/>
            <w:shd w:val="clear" w:color="auto" w:fill="FFFFFF"/>
          </w:tcPr>
          <w:p w:rsidR="004259D9" w:rsidRPr="002D5A1F" w:rsidRDefault="004259D9" w:rsidP="00E3732C">
            <w:pPr>
              <w:pStyle w:val="RollCallTable"/>
            </w:pPr>
            <w:r>
              <w:t>NI</w:t>
            </w:r>
          </w:p>
        </w:tc>
        <w:tc>
          <w:tcPr>
            <w:tcW w:w="7371" w:type="dxa"/>
            <w:shd w:val="clear" w:color="auto" w:fill="FFFFFF"/>
          </w:tcPr>
          <w:p w:rsidR="004259D9" w:rsidRPr="002D5A1F" w:rsidRDefault="004259D9" w:rsidP="00E3732C">
            <w:pPr>
              <w:pStyle w:val="RollCallTable"/>
            </w:pPr>
            <w:r>
              <w:t>Dino Giarrusso, Katarína Roth Neveďalová</w:t>
            </w:r>
          </w:p>
        </w:tc>
      </w:tr>
      <w:tr w:rsidR="004259D9" w:rsidTr="00E3732C">
        <w:trPr>
          <w:cantSplit/>
        </w:trPr>
        <w:tc>
          <w:tcPr>
            <w:tcW w:w="1701" w:type="dxa"/>
            <w:shd w:val="clear" w:color="auto" w:fill="FFFFFF"/>
          </w:tcPr>
          <w:p w:rsidR="004259D9" w:rsidRPr="002D5A1F" w:rsidRDefault="004259D9" w:rsidP="00E3732C">
            <w:pPr>
              <w:pStyle w:val="RollCallTable"/>
            </w:pPr>
            <w:r>
              <w:t>PPE</w:t>
            </w:r>
          </w:p>
        </w:tc>
        <w:tc>
          <w:tcPr>
            <w:tcW w:w="7371" w:type="dxa"/>
            <w:shd w:val="clear" w:color="auto" w:fill="FFFFFF"/>
          </w:tcPr>
          <w:p w:rsidR="004259D9" w:rsidRPr="002D5A1F" w:rsidRDefault="004259D9" w:rsidP="00E3732C">
            <w:pPr>
              <w:pStyle w:val="RollCallTable"/>
            </w:pPr>
            <w:r>
              <w:t>Franc Bogovič, Daniel Buda, Herbert Dorfmann, José Manuel Fernandes, Peter Jahr, Jarosław Kalinowski, Norbert Lins, Marlene Mortler, Michaela Šojdrová, Tom Vandenkendelaere, Iuliu Winkler, Juan Ignacio Zoido Álvarez</w:t>
            </w:r>
          </w:p>
        </w:tc>
      </w:tr>
      <w:tr w:rsidR="004259D9" w:rsidTr="00E3732C">
        <w:trPr>
          <w:cantSplit/>
        </w:trPr>
        <w:tc>
          <w:tcPr>
            <w:tcW w:w="1701" w:type="dxa"/>
            <w:shd w:val="clear" w:color="auto" w:fill="FFFFFF"/>
          </w:tcPr>
          <w:p w:rsidR="004259D9" w:rsidRPr="002D5A1F" w:rsidRDefault="004259D9" w:rsidP="00E3732C">
            <w:pPr>
              <w:pStyle w:val="RollCallTable"/>
            </w:pPr>
            <w:r>
              <w:t>Renew</w:t>
            </w:r>
          </w:p>
        </w:tc>
        <w:tc>
          <w:tcPr>
            <w:tcW w:w="7371" w:type="dxa"/>
            <w:shd w:val="clear" w:color="auto" w:fill="FFFFFF"/>
          </w:tcPr>
          <w:p w:rsidR="004259D9" w:rsidRPr="002D5A1F" w:rsidRDefault="004259D9" w:rsidP="00E3732C">
            <w:pPr>
              <w:pStyle w:val="RollCallTable"/>
            </w:pPr>
            <w:r>
              <w:t>Dacian Cioloş, Elsi Katainen, Alin Mituța, Ulrike Müller</w:t>
            </w:r>
          </w:p>
        </w:tc>
      </w:tr>
      <w:tr w:rsidR="004259D9" w:rsidTr="00E3732C">
        <w:trPr>
          <w:cantSplit/>
        </w:trPr>
        <w:tc>
          <w:tcPr>
            <w:tcW w:w="1701" w:type="dxa"/>
            <w:shd w:val="clear" w:color="auto" w:fill="FFFFFF"/>
          </w:tcPr>
          <w:p w:rsidR="004259D9" w:rsidRPr="002D5A1F" w:rsidRDefault="004259D9" w:rsidP="00E3732C">
            <w:pPr>
              <w:pStyle w:val="RollCallTable"/>
            </w:pPr>
            <w:r>
              <w:t>S&amp;D</w:t>
            </w:r>
          </w:p>
        </w:tc>
        <w:tc>
          <w:tcPr>
            <w:tcW w:w="7371" w:type="dxa"/>
            <w:shd w:val="clear" w:color="auto" w:fill="FFFFFF"/>
          </w:tcPr>
          <w:p w:rsidR="004259D9" w:rsidRPr="002D5A1F" w:rsidRDefault="004259D9" w:rsidP="00E3732C">
            <w:pPr>
              <w:pStyle w:val="RollCallTable"/>
            </w:pPr>
            <w:r>
              <w:t>Clara Aguilera, Attila Ara-Kovács, Isabel Carvalhais, Paolo De Castro, Camilla Laureti, Cristina Maestre Martín De Almagro, Maria Noichl, Juozas Olekas</w:t>
            </w:r>
          </w:p>
        </w:tc>
      </w:tr>
      <w:tr w:rsidR="004259D9" w:rsidRPr="00B55FCC" w:rsidTr="00E3732C">
        <w:trPr>
          <w:cantSplit/>
        </w:trPr>
        <w:tc>
          <w:tcPr>
            <w:tcW w:w="1701" w:type="dxa"/>
            <w:shd w:val="clear" w:color="auto" w:fill="FFFFFF"/>
          </w:tcPr>
          <w:p w:rsidR="004259D9" w:rsidRPr="002D5A1F" w:rsidRDefault="004259D9" w:rsidP="00E3732C">
            <w:pPr>
              <w:pStyle w:val="RollCallTable"/>
            </w:pPr>
            <w:r>
              <w:t>The Left</w:t>
            </w:r>
          </w:p>
        </w:tc>
        <w:tc>
          <w:tcPr>
            <w:tcW w:w="7371" w:type="dxa"/>
            <w:shd w:val="clear" w:color="auto" w:fill="FFFFFF"/>
          </w:tcPr>
          <w:p w:rsidR="004259D9" w:rsidRPr="00B55FCC" w:rsidRDefault="004259D9" w:rsidP="00E3732C">
            <w:pPr>
              <w:pStyle w:val="RollCallTable"/>
              <w:rPr>
                <w:lang w:val="en-GB"/>
              </w:rPr>
            </w:pPr>
            <w:r w:rsidRPr="00B55FCC">
              <w:rPr>
                <w:lang w:val="en-GB"/>
              </w:rPr>
              <w:t>Luke Ming Flanagan, Chris MacManus</w:t>
            </w:r>
          </w:p>
        </w:tc>
      </w:tr>
    </w:tbl>
    <w:p w:rsidR="004259D9" w:rsidRPr="00B55FCC" w:rsidRDefault="004259D9" w:rsidP="00A47B05">
      <w:pPr>
        <w:rPr>
          <w:lang w:val="en-GB"/>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Tr="00E3732C">
        <w:trPr>
          <w:cantSplit/>
        </w:trPr>
        <w:tc>
          <w:tcPr>
            <w:tcW w:w="1701" w:type="dxa"/>
            <w:shd w:val="pct10" w:color="000000" w:fill="FFFFFF"/>
            <w:vAlign w:val="center"/>
          </w:tcPr>
          <w:p w:rsidR="004259D9" w:rsidRPr="002D5A1F" w:rsidRDefault="004259D9" w:rsidP="00E3732C">
            <w:pPr>
              <w:pStyle w:val="RollCallVotes"/>
            </w:pPr>
            <w:r>
              <w:t>7</w:t>
            </w:r>
          </w:p>
        </w:tc>
        <w:tc>
          <w:tcPr>
            <w:tcW w:w="7371" w:type="dxa"/>
            <w:shd w:val="pct10" w:color="000000" w:fill="FFFFFF"/>
          </w:tcPr>
          <w:p w:rsidR="004259D9" w:rsidRPr="002D5A1F" w:rsidRDefault="004259D9" w:rsidP="00E3732C">
            <w:pPr>
              <w:pStyle w:val="RollCallSymbols14pt"/>
            </w:pPr>
            <w:r>
              <w:t>-</w:t>
            </w:r>
          </w:p>
        </w:tc>
      </w:tr>
      <w:tr w:rsidR="004259D9" w:rsidTr="00E3732C">
        <w:trPr>
          <w:cantSplit/>
        </w:trPr>
        <w:tc>
          <w:tcPr>
            <w:tcW w:w="1701" w:type="dxa"/>
            <w:shd w:val="clear" w:color="auto" w:fill="FFFFFF"/>
          </w:tcPr>
          <w:p w:rsidR="004259D9" w:rsidRPr="002D5A1F" w:rsidRDefault="004259D9" w:rsidP="00E3732C">
            <w:pPr>
              <w:pStyle w:val="RollCallTable"/>
            </w:pPr>
            <w:r>
              <w:t>ECR</w:t>
            </w:r>
          </w:p>
        </w:tc>
        <w:tc>
          <w:tcPr>
            <w:tcW w:w="7371" w:type="dxa"/>
            <w:shd w:val="clear" w:color="auto" w:fill="FFFFFF"/>
          </w:tcPr>
          <w:p w:rsidR="004259D9" w:rsidRPr="002D5A1F" w:rsidRDefault="004259D9" w:rsidP="00E3732C">
            <w:pPr>
              <w:pStyle w:val="RollCallTable"/>
            </w:pPr>
            <w:r>
              <w:t>Krzysztof Jurgiel</w:t>
            </w:r>
          </w:p>
        </w:tc>
      </w:tr>
      <w:tr w:rsidR="004259D9" w:rsidTr="00E3732C">
        <w:trPr>
          <w:cantSplit/>
        </w:trPr>
        <w:tc>
          <w:tcPr>
            <w:tcW w:w="1701" w:type="dxa"/>
            <w:shd w:val="clear" w:color="auto" w:fill="FFFFFF"/>
          </w:tcPr>
          <w:p w:rsidR="004259D9" w:rsidRPr="002D5A1F" w:rsidRDefault="004259D9" w:rsidP="00E3732C">
            <w:pPr>
              <w:pStyle w:val="RollCallTable"/>
            </w:pPr>
            <w:r>
              <w:t>ID</w:t>
            </w:r>
          </w:p>
        </w:tc>
        <w:tc>
          <w:tcPr>
            <w:tcW w:w="7371" w:type="dxa"/>
            <w:shd w:val="clear" w:color="auto" w:fill="FFFFFF"/>
          </w:tcPr>
          <w:p w:rsidR="004259D9" w:rsidRPr="002D5A1F" w:rsidRDefault="004259D9" w:rsidP="00E3732C">
            <w:pPr>
              <w:pStyle w:val="RollCallTable"/>
            </w:pPr>
            <w:r>
              <w:t>Ivan David</w:t>
            </w:r>
          </w:p>
        </w:tc>
      </w:tr>
      <w:tr w:rsidR="004259D9" w:rsidTr="00E3732C">
        <w:trPr>
          <w:cantSplit/>
        </w:trPr>
        <w:tc>
          <w:tcPr>
            <w:tcW w:w="1701" w:type="dxa"/>
            <w:shd w:val="clear" w:color="auto" w:fill="FFFFFF"/>
          </w:tcPr>
          <w:p w:rsidR="004259D9" w:rsidRPr="002D5A1F" w:rsidRDefault="004259D9" w:rsidP="00E3732C">
            <w:pPr>
              <w:pStyle w:val="RollCallTable"/>
            </w:pPr>
            <w:r>
              <w:t>Verts/ALE</w:t>
            </w:r>
          </w:p>
        </w:tc>
        <w:tc>
          <w:tcPr>
            <w:tcW w:w="7371" w:type="dxa"/>
            <w:shd w:val="clear" w:color="auto" w:fill="FFFFFF"/>
          </w:tcPr>
          <w:p w:rsidR="004259D9" w:rsidRPr="002D5A1F" w:rsidRDefault="004259D9" w:rsidP="00E3732C">
            <w:pPr>
              <w:pStyle w:val="RollCallTable"/>
            </w:pPr>
            <w:r>
              <w:t>Benoît Biteau, Anna Deparnay-Grunenberg, Francisco Guerreiro, Martin Häusling, Sarah Wiener</w:t>
            </w:r>
          </w:p>
        </w:tc>
      </w:tr>
    </w:tbl>
    <w:p w:rsidR="004259D9" w:rsidRPr="002D5A1F" w:rsidRDefault="004259D9" w:rsidP="00A47B0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Tr="00E3732C">
        <w:trPr>
          <w:cantSplit/>
        </w:trPr>
        <w:tc>
          <w:tcPr>
            <w:tcW w:w="1701" w:type="dxa"/>
            <w:shd w:val="pct10" w:color="000000" w:fill="FFFFFF"/>
            <w:vAlign w:val="center"/>
          </w:tcPr>
          <w:p w:rsidR="004259D9" w:rsidRPr="002D5A1F" w:rsidRDefault="004259D9" w:rsidP="00E3732C">
            <w:pPr>
              <w:pStyle w:val="RollCallVotes"/>
            </w:pPr>
            <w:r>
              <w:t>5</w:t>
            </w:r>
          </w:p>
        </w:tc>
        <w:tc>
          <w:tcPr>
            <w:tcW w:w="7371" w:type="dxa"/>
            <w:shd w:val="pct10" w:color="000000" w:fill="FFFFFF"/>
          </w:tcPr>
          <w:p w:rsidR="004259D9" w:rsidRPr="002D5A1F" w:rsidRDefault="004259D9" w:rsidP="00E3732C">
            <w:pPr>
              <w:pStyle w:val="RollCallSymbols14pt"/>
            </w:pPr>
            <w:r>
              <w:t>0</w:t>
            </w:r>
          </w:p>
        </w:tc>
      </w:tr>
      <w:tr w:rsidR="004259D9" w:rsidRPr="00B55FCC" w:rsidTr="00E3732C">
        <w:trPr>
          <w:cantSplit/>
        </w:trPr>
        <w:tc>
          <w:tcPr>
            <w:tcW w:w="1701" w:type="dxa"/>
            <w:shd w:val="clear" w:color="auto" w:fill="FFFFFF"/>
          </w:tcPr>
          <w:p w:rsidR="004259D9" w:rsidRPr="002D5A1F" w:rsidRDefault="004259D9" w:rsidP="00E3732C">
            <w:pPr>
              <w:pStyle w:val="RollCallTable"/>
            </w:pPr>
            <w:r>
              <w:t>ID</w:t>
            </w:r>
          </w:p>
        </w:tc>
        <w:tc>
          <w:tcPr>
            <w:tcW w:w="7371" w:type="dxa"/>
            <w:shd w:val="clear" w:color="auto" w:fill="FFFFFF"/>
          </w:tcPr>
          <w:p w:rsidR="004259D9" w:rsidRPr="00B55FCC" w:rsidRDefault="004259D9" w:rsidP="00E3732C">
            <w:pPr>
              <w:pStyle w:val="RollCallTable"/>
              <w:rPr>
                <w:lang w:val="it-IT"/>
              </w:rPr>
            </w:pPr>
            <w:r w:rsidRPr="00B55FCC">
              <w:rPr>
                <w:lang w:val="it-IT"/>
              </w:rPr>
              <w:t>Angelo Ciocca, Rosanna Conte, Paola Ghidoni, Gilles Lebreton</w:t>
            </w:r>
          </w:p>
        </w:tc>
      </w:tr>
      <w:tr w:rsidR="004259D9" w:rsidTr="00E3732C">
        <w:trPr>
          <w:cantSplit/>
        </w:trPr>
        <w:tc>
          <w:tcPr>
            <w:tcW w:w="1701" w:type="dxa"/>
            <w:shd w:val="clear" w:color="auto" w:fill="FFFFFF"/>
          </w:tcPr>
          <w:p w:rsidR="004259D9" w:rsidRPr="002D5A1F" w:rsidRDefault="004259D9" w:rsidP="00E3732C">
            <w:pPr>
              <w:pStyle w:val="RollCallTable"/>
            </w:pPr>
            <w:r>
              <w:t>Renew</w:t>
            </w:r>
          </w:p>
        </w:tc>
        <w:tc>
          <w:tcPr>
            <w:tcW w:w="7371" w:type="dxa"/>
            <w:shd w:val="clear" w:color="auto" w:fill="FFFFFF"/>
          </w:tcPr>
          <w:p w:rsidR="004259D9" w:rsidRPr="002D5A1F" w:rsidRDefault="004259D9" w:rsidP="00E3732C">
            <w:pPr>
              <w:pStyle w:val="RollCallTable"/>
            </w:pPr>
            <w:r>
              <w:t>Martin Hlaváček</w:t>
            </w:r>
          </w:p>
        </w:tc>
      </w:tr>
    </w:tbl>
    <w:p w:rsidR="004259D9" w:rsidRPr="002D5A1F" w:rsidRDefault="004259D9" w:rsidP="00A47B05">
      <w:pPr>
        <w:pStyle w:val="Normal12a"/>
      </w:pPr>
    </w:p>
    <w:p w:rsidR="004259D9" w:rsidRPr="002D5A1F" w:rsidRDefault="004259D9" w:rsidP="00A47B05">
      <w:r>
        <w:t>Légende des signes utilisés:</w:t>
      </w:r>
    </w:p>
    <w:p w:rsidR="004259D9" w:rsidRPr="002D5A1F" w:rsidRDefault="004259D9" w:rsidP="00A47B05">
      <w:pPr>
        <w:pStyle w:val="RollCallTabs"/>
      </w:pPr>
      <w:r>
        <w:t>+</w:t>
      </w:r>
      <w:r>
        <w:tab/>
        <w:t>:</w:t>
      </w:r>
      <w:r>
        <w:tab/>
        <w:t>pour</w:t>
      </w:r>
    </w:p>
    <w:p w:rsidR="004259D9" w:rsidRPr="002D5A1F" w:rsidRDefault="004259D9" w:rsidP="00A47B05">
      <w:pPr>
        <w:pStyle w:val="RollCallTabs"/>
      </w:pPr>
      <w:r>
        <w:t>-</w:t>
      </w:r>
      <w:r>
        <w:tab/>
        <w:t>:</w:t>
      </w:r>
      <w:r>
        <w:tab/>
        <w:t>contre</w:t>
      </w:r>
    </w:p>
    <w:p w:rsidR="004259D9" w:rsidRPr="002D5A1F" w:rsidRDefault="004259D9" w:rsidP="00A47B05">
      <w:pPr>
        <w:pStyle w:val="RollCallTabs"/>
      </w:pPr>
      <w:r>
        <w:t>0</w:t>
      </w:r>
      <w:r>
        <w:tab/>
        <w:t>:</w:t>
      </w:r>
      <w:r>
        <w:tab/>
        <w:t>abstention</w:t>
      </w:r>
    </w:p>
    <w:p w:rsidR="004259D9" w:rsidRPr="002D5A1F" w:rsidRDefault="004259D9" w:rsidP="00A47B05"/>
    <w:p w:rsidR="004259D9" w:rsidRPr="002D5A1F" w:rsidRDefault="004259D9" w:rsidP="00A47B05"/>
    <w:p w:rsidR="004259D9" w:rsidRPr="002D5A1F" w:rsidRDefault="004259D9" w:rsidP="006457B3"/>
    <w:bookmarkEnd w:id="4"/>
    <w:p w:rsidR="004259D9" w:rsidRPr="004259D9" w:rsidRDefault="004259D9" w:rsidP="004259D9">
      <w:r>
        <w:br w:type="page"/>
      </w:r>
    </w:p>
    <w:p w:rsidR="004259D9" w:rsidRDefault="004259D9" w:rsidP="004259D9">
      <w:pPr>
        <w:pStyle w:val="PageHeading"/>
      </w:pPr>
      <w:bookmarkStart w:id="8" w:name="ProcPageRR"/>
      <w:bookmarkStart w:id="9" w:name="_Toc161131106"/>
      <w:r>
        <w:lastRenderedPageBreak/>
        <w:t>PROCÉDURE DE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Mesures de libéralisation temporaire des échanges en complément des concessions commerciales applicables aux produits ukrainiens au titre de l’accord d’association entre l’Union européenne et la Communauté européenne de l’énergie atomique et leurs États membres, d’une part, et l’Ukraine, d’autre part</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COM(2024)0050 – C9-0021/2024 – 2024/0028(COD)</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Commission compétente au fond</w:t>
            </w:r>
          </w:p>
          <w:p w:rsidR="004259D9" w:rsidRDefault="004259D9">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INTA</w:t>
            </w:r>
          </w:p>
          <w:p w:rsidR="004259D9" w:rsidRDefault="004259D9">
            <w:pPr>
              <w:autoSpaceDE w:val="0"/>
              <w:autoSpaceDN w:val="0"/>
              <w:adjustRightInd w:val="0"/>
              <w:rPr>
                <w:color w:val="000000"/>
                <w:sz w:val="20"/>
              </w:rPr>
            </w:pPr>
            <w:r>
              <w:rPr>
                <w:color w:val="000000"/>
                <w:sz w:val="20"/>
              </w:rPr>
              <w:t>26.2.2024</w:t>
            </w: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Commissions saisies pour avis</w:t>
            </w:r>
          </w:p>
          <w:p w:rsidR="004259D9" w:rsidRDefault="004259D9">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BUDG</w:t>
            </w:r>
          </w:p>
          <w:p w:rsidR="004259D9" w:rsidRDefault="004259D9">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AGRI</w:t>
            </w:r>
          </w:p>
          <w:p w:rsidR="004259D9" w:rsidRDefault="004259D9">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Avis non émis</w:t>
            </w:r>
          </w:p>
          <w:p w:rsidR="004259D9" w:rsidRDefault="004259D9">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BUDG</w:t>
            </w:r>
          </w:p>
          <w:p w:rsidR="004259D9" w:rsidRDefault="004259D9">
            <w:pPr>
              <w:autoSpaceDE w:val="0"/>
              <w:autoSpaceDN w:val="0"/>
              <w:adjustRightInd w:val="0"/>
              <w:rPr>
                <w:color w:val="000000"/>
                <w:sz w:val="20"/>
              </w:rPr>
            </w:pPr>
            <w:r>
              <w:rPr>
                <w:color w:val="000000"/>
                <w:sz w:val="20"/>
              </w:rPr>
              <w:t>21.2.2024</w:t>
            </w: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Rapporteurs</w:t>
            </w:r>
          </w:p>
          <w:p w:rsidR="004259D9" w:rsidRDefault="004259D9">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Sandra Kalniete</w:t>
            </w:r>
          </w:p>
          <w:p w:rsidR="004259D9" w:rsidRDefault="004259D9">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19.2.2024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7.3.2024</w:t>
            </w: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rFonts w:ascii="sans-serif" w:hAnsi="sans-serif" w:cs="sans-serif"/>
                <w:color w:val="000000"/>
                <w:szCs w:val="24"/>
              </w:rPr>
            </w:pP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w:t>
            </w:r>
          </w:p>
          <w:p w:rsidR="004259D9" w:rsidRDefault="004259D9">
            <w:pPr>
              <w:autoSpaceDE w:val="0"/>
              <w:autoSpaceDN w:val="0"/>
              <w:adjustRightInd w:val="0"/>
              <w:rPr>
                <w:color w:val="000000"/>
                <w:sz w:val="20"/>
              </w:rPr>
            </w:pPr>
            <w:r>
              <w:rPr>
                <w:color w:val="000000"/>
                <w:sz w:val="20"/>
              </w:rPr>
              <w:t>–:</w:t>
            </w:r>
          </w:p>
          <w:p w:rsidR="004259D9" w:rsidRDefault="004259D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26</w:t>
            </w:r>
          </w:p>
          <w:p w:rsidR="004259D9" w:rsidRDefault="004259D9">
            <w:pPr>
              <w:autoSpaceDE w:val="0"/>
              <w:autoSpaceDN w:val="0"/>
              <w:adjustRightInd w:val="0"/>
              <w:rPr>
                <w:color w:val="000000"/>
                <w:sz w:val="20"/>
              </w:rPr>
            </w:pPr>
            <w:r>
              <w:rPr>
                <w:color w:val="000000"/>
                <w:sz w:val="20"/>
              </w:rPr>
              <w:t>10</w:t>
            </w:r>
          </w:p>
          <w:p w:rsidR="004259D9" w:rsidRDefault="004259D9">
            <w:pPr>
              <w:autoSpaceDE w:val="0"/>
              <w:autoSpaceDN w:val="0"/>
              <w:adjustRightInd w:val="0"/>
              <w:rPr>
                <w:color w:val="000000"/>
                <w:sz w:val="20"/>
              </w:rPr>
            </w:pPr>
            <w:r>
              <w:rPr>
                <w:color w:val="000000"/>
                <w:sz w:val="20"/>
              </w:rPr>
              <w:t>1</w:t>
            </w:r>
          </w:p>
        </w:tc>
      </w:tr>
      <w:tr w:rsidR="004259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Barry Andrews, Geert Bourgeois, Saskia Bricmont, Jordi Cañas, Danuta Maria Hübner, Karin Karlsbro, Miapetra Kumpula-Natri, Danilo Oscar Lancini, Bernd Lange, Thierry Mariani, Margarida Marques, Emmanuel Maurel, Samira Rafaela, Catharina Rinzema, Inma Rodríguez-Piñero, Helmut Scholz, Kathleen Van Brempt, Marie-Pierre Vedrenne, Jörgen Warborn, Jan Zahradil</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Marek Belka, Anna Cavazzini, José Manuel García-Margallo y Marfil, Enikő Győri, Cristina Maestre Martín De Almagro, Javier Moreno Sánchez, Manuela Ripa, Witold Jan Waszczykowski</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Andrea Bocskor, Paola Ghidoni, Ivo Hristov, Virginie Joron, Ska Keller, Dace Melbārde, Wolfram Pirchner, Aušra Seibutytė, Dominik Tarczyński</w:t>
            </w:r>
          </w:p>
        </w:tc>
      </w:tr>
      <w:tr w:rsidR="004259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59D9" w:rsidRDefault="004259D9">
            <w:pPr>
              <w:autoSpaceDE w:val="0"/>
              <w:autoSpaceDN w:val="0"/>
              <w:adjustRightInd w:val="0"/>
              <w:rPr>
                <w:color w:val="000000"/>
                <w:sz w:val="20"/>
              </w:rPr>
            </w:pPr>
            <w:r>
              <w:rPr>
                <w:color w:val="000000"/>
                <w:sz w:val="20"/>
              </w:rPr>
              <w:t>7.3.2024</w:t>
            </w:r>
          </w:p>
        </w:tc>
      </w:tr>
    </w:tbl>
    <w:p w:rsidR="004259D9" w:rsidRDefault="004259D9"/>
    <w:bookmarkEnd w:id="8"/>
    <w:p w:rsidR="004259D9" w:rsidRDefault="004259D9" w:rsidP="004259D9">
      <w:pPr>
        <w:sectPr w:rsidR="004259D9" w:rsidSect="004259D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59D9" w:rsidRPr="0099178F" w:rsidRDefault="004259D9" w:rsidP="008B71C9">
      <w:pPr>
        <w:pStyle w:val="PageHeading"/>
      </w:pPr>
      <w:bookmarkStart w:id="10" w:name="RollCallPageRR"/>
      <w:bookmarkStart w:id="11" w:name="_Toc161131107"/>
      <w:r>
        <w:lastRenderedPageBreak/>
        <w:t>VOTE FINAL PAR APPEL NOMINAL</w:t>
      </w:r>
      <w:r>
        <w:br/>
        <w:t>EN COMMISSION COMPÉTENTE AU FOND</w:t>
      </w:r>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RPr="00E80428" w:rsidTr="00C60948">
        <w:trPr>
          <w:cantSplit/>
        </w:trPr>
        <w:tc>
          <w:tcPr>
            <w:tcW w:w="1701" w:type="dxa"/>
            <w:shd w:val="pct10" w:color="000000" w:fill="FFFFFF"/>
            <w:vAlign w:val="center"/>
          </w:tcPr>
          <w:p w:rsidR="004259D9" w:rsidRPr="00E80428" w:rsidRDefault="004259D9" w:rsidP="00C60948">
            <w:pPr>
              <w:pStyle w:val="RollCallVotes"/>
            </w:pPr>
            <w:r>
              <w:t>26</w:t>
            </w:r>
          </w:p>
        </w:tc>
        <w:tc>
          <w:tcPr>
            <w:tcW w:w="7371" w:type="dxa"/>
            <w:shd w:val="pct10" w:color="000000" w:fill="FFFFFF"/>
          </w:tcPr>
          <w:p w:rsidR="004259D9" w:rsidRPr="00E80428" w:rsidRDefault="004259D9" w:rsidP="00C60948">
            <w:pPr>
              <w:pStyle w:val="RollCallSymbols14pt"/>
            </w:pPr>
            <w:r>
              <w:t>+</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ECR</w:t>
            </w:r>
          </w:p>
        </w:tc>
        <w:tc>
          <w:tcPr>
            <w:tcW w:w="7371" w:type="dxa"/>
            <w:shd w:val="clear" w:color="auto" w:fill="FFFFFF"/>
          </w:tcPr>
          <w:p w:rsidR="004259D9" w:rsidRPr="00E80428" w:rsidRDefault="004259D9" w:rsidP="00C60948">
            <w:pPr>
              <w:pStyle w:val="RollCallTable"/>
            </w:pPr>
            <w:r>
              <w:t>Geert Bourgeois</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PPE</w:t>
            </w:r>
          </w:p>
        </w:tc>
        <w:tc>
          <w:tcPr>
            <w:tcW w:w="7371" w:type="dxa"/>
            <w:shd w:val="clear" w:color="auto" w:fill="FFFFFF"/>
          </w:tcPr>
          <w:p w:rsidR="004259D9" w:rsidRPr="00E80428" w:rsidRDefault="004259D9" w:rsidP="00C60948">
            <w:pPr>
              <w:pStyle w:val="RollCallTable"/>
            </w:pPr>
            <w:r>
              <w:t>José Manuel García-Margallo y Marfil, Danuta Maria Hübner, Dace Melbārde, Wolfram Pirchner, Aušra Seibutytė, Jörgen Warborn</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Renew</w:t>
            </w:r>
          </w:p>
        </w:tc>
        <w:tc>
          <w:tcPr>
            <w:tcW w:w="7371" w:type="dxa"/>
            <w:shd w:val="clear" w:color="auto" w:fill="FFFFFF"/>
          </w:tcPr>
          <w:p w:rsidR="004259D9" w:rsidRPr="00E80428" w:rsidRDefault="004259D9" w:rsidP="00C60948">
            <w:pPr>
              <w:pStyle w:val="RollCallTable"/>
            </w:pPr>
            <w:r>
              <w:t>Barry Andrews, Jordi Cañas, Karin Karlsbro, Samira Rafaela, Catharina Rinzema, Marie-Pierre Vedrenne</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S&amp;D</w:t>
            </w:r>
          </w:p>
        </w:tc>
        <w:tc>
          <w:tcPr>
            <w:tcW w:w="7371" w:type="dxa"/>
            <w:shd w:val="clear" w:color="auto" w:fill="FFFFFF"/>
          </w:tcPr>
          <w:p w:rsidR="004259D9" w:rsidRPr="00E80428" w:rsidRDefault="004259D9" w:rsidP="00C60948">
            <w:pPr>
              <w:pStyle w:val="RollCallTable"/>
            </w:pPr>
            <w:r>
              <w:t>Marek Belka, Miapetra Kumpula-Natri, Bernd Lange, Cristina Maestre Martín De Almagro, Margarida Marques, Javier Moreno Sánchez, Inma Rodríguez-Piñero, Kathleen Van Brempt</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The Left</w:t>
            </w:r>
          </w:p>
        </w:tc>
        <w:tc>
          <w:tcPr>
            <w:tcW w:w="7371" w:type="dxa"/>
            <w:shd w:val="clear" w:color="auto" w:fill="FFFFFF"/>
          </w:tcPr>
          <w:p w:rsidR="004259D9" w:rsidRPr="00E80428" w:rsidRDefault="004259D9" w:rsidP="00C60948">
            <w:pPr>
              <w:pStyle w:val="RollCallTable"/>
            </w:pPr>
            <w:r>
              <w:t>Helmut Scholz</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Verts/ALE</w:t>
            </w:r>
          </w:p>
        </w:tc>
        <w:tc>
          <w:tcPr>
            <w:tcW w:w="7371" w:type="dxa"/>
            <w:shd w:val="clear" w:color="auto" w:fill="FFFFFF"/>
          </w:tcPr>
          <w:p w:rsidR="004259D9" w:rsidRPr="00E80428" w:rsidRDefault="004259D9" w:rsidP="00C60948">
            <w:pPr>
              <w:pStyle w:val="RollCallTable"/>
            </w:pPr>
            <w:r>
              <w:t>Saskia Bricmont, Anna Cavazzini, Ska Keller, Manuela Ripa</w:t>
            </w:r>
          </w:p>
        </w:tc>
      </w:tr>
    </w:tbl>
    <w:p w:rsidR="004259D9" w:rsidRPr="00E80428" w:rsidRDefault="004259D9" w:rsidP="004259D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RPr="00E80428" w:rsidTr="00C60948">
        <w:trPr>
          <w:cantSplit/>
        </w:trPr>
        <w:tc>
          <w:tcPr>
            <w:tcW w:w="1701" w:type="dxa"/>
            <w:shd w:val="pct10" w:color="000000" w:fill="FFFFFF"/>
            <w:vAlign w:val="center"/>
          </w:tcPr>
          <w:p w:rsidR="004259D9" w:rsidRPr="00E80428" w:rsidRDefault="004259D9" w:rsidP="00C60948">
            <w:pPr>
              <w:pStyle w:val="RollCallVotes"/>
            </w:pPr>
            <w:r>
              <w:t>10</w:t>
            </w:r>
          </w:p>
        </w:tc>
        <w:tc>
          <w:tcPr>
            <w:tcW w:w="7371" w:type="dxa"/>
            <w:shd w:val="pct10" w:color="000000" w:fill="FFFFFF"/>
          </w:tcPr>
          <w:p w:rsidR="004259D9" w:rsidRPr="00E80428" w:rsidRDefault="004259D9" w:rsidP="00C60948">
            <w:pPr>
              <w:pStyle w:val="RollCallSymbols14pt"/>
            </w:pPr>
            <w:r>
              <w:t>-</w:t>
            </w:r>
          </w:p>
        </w:tc>
      </w:tr>
      <w:tr w:rsidR="004259D9" w:rsidRPr="00B55FCC" w:rsidTr="00C60948">
        <w:trPr>
          <w:cantSplit/>
        </w:trPr>
        <w:tc>
          <w:tcPr>
            <w:tcW w:w="1701" w:type="dxa"/>
            <w:shd w:val="clear" w:color="auto" w:fill="FFFFFF"/>
          </w:tcPr>
          <w:p w:rsidR="004259D9" w:rsidRPr="00E80428" w:rsidRDefault="004259D9" w:rsidP="00C60948">
            <w:pPr>
              <w:pStyle w:val="RollCallTable"/>
            </w:pPr>
            <w:r>
              <w:t>ECR</w:t>
            </w:r>
          </w:p>
        </w:tc>
        <w:tc>
          <w:tcPr>
            <w:tcW w:w="7371" w:type="dxa"/>
            <w:shd w:val="clear" w:color="auto" w:fill="FFFFFF"/>
          </w:tcPr>
          <w:p w:rsidR="004259D9" w:rsidRPr="00B55FCC" w:rsidRDefault="004259D9" w:rsidP="00C60948">
            <w:pPr>
              <w:pStyle w:val="RollCallTable"/>
              <w:rPr>
                <w:lang w:val="pl-PL"/>
              </w:rPr>
            </w:pPr>
            <w:r w:rsidRPr="00B55FCC">
              <w:rPr>
                <w:lang w:val="pl-PL"/>
              </w:rPr>
              <w:t>Dominik Tarczyński, Witold Jan Waszczykowski</w:t>
            </w:r>
          </w:p>
        </w:tc>
      </w:tr>
      <w:tr w:rsidR="004259D9" w:rsidRPr="00B55FCC" w:rsidTr="00C60948">
        <w:trPr>
          <w:cantSplit/>
        </w:trPr>
        <w:tc>
          <w:tcPr>
            <w:tcW w:w="1701" w:type="dxa"/>
            <w:shd w:val="clear" w:color="auto" w:fill="FFFFFF"/>
          </w:tcPr>
          <w:p w:rsidR="004259D9" w:rsidRPr="00E80428" w:rsidRDefault="004259D9" w:rsidP="00C60948">
            <w:pPr>
              <w:pStyle w:val="RollCallTable"/>
            </w:pPr>
            <w:r>
              <w:t>ID</w:t>
            </w:r>
          </w:p>
        </w:tc>
        <w:tc>
          <w:tcPr>
            <w:tcW w:w="7371" w:type="dxa"/>
            <w:shd w:val="clear" w:color="auto" w:fill="FFFFFF"/>
          </w:tcPr>
          <w:p w:rsidR="004259D9" w:rsidRPr="00B55FCC" w:rsidRDefault="004259D9" w:rsidP="00C60948">
            <w:pPr>
              <w:pStyle w:val="RollCallTable"/>
              <w:rPr>
                <w:lang w:val="it-IT"/>
              </w:rPr>
            </w:pPr>
            <w:r w:rsidRPr="00B55FCC">
              <w:rPr>
                <w:lang w:val="it-IT"/>
              </w:rPr>
              <w:t>Paola Ghidoni, Virginie Joron, Danilo Oscar Lancini, Thierry Mariani</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NI</w:t>
            </w:r>
          </w:p>
        </w:tc>
        <w:tc>
          <w:tcPr>
            <w:tcW w:w="7371" w:type="dxa"/>
            <w:shd w:val="clear" w:color="auto" w:fill="FFFFFF"/>
          </w:tcPr>
          <w:p w:rsidR="004259D9" w:rsidRPr="00E80428" w:rsidRDefault="004259D9" w:rsidP="00C60948">
            <w:pPr>
              <w:pStyle w:val="RollCallTable"/>
            </w:pPr>
            <w:r>
              <w:t>Andrea Bocskor, Enikő Győri</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S&amp;D</w:t>
            </w:r>
          </w:p>
        </w:tc>
        <w:tc>
          <w:tcPr>
            <w:tcW w:w="7371" w:type="dxa"/>
            <w:shd w:val="clear" w:color="auto" w:fill="FFFFFF"/>
          </w:tcPr>
          <w:p w:rsidR="004259D9" w:rsidRPr="00E80428" w:rsidRDefault="004259D9" w:rsidP="00C60948">
            <w:pPr>
              <w:pStyle w:val="RollCallTable"/>
            </w:pPr>
            <w:r>
              <w:t>Ivo Hristov</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The Left</w:t>
            </w:r>
          </w:p>
        </w:tc>
        <w:tc>
          <w:tcPr>
            <w:tcW w:w="7371" w:type="dxa"/>
            <w:shd w:val="clear" w:color="auto" w:fill="FFFFFF"/>
          </w:tcPr>
          <w:p w:rsidR="004259D9" w:rsidRPr="00E80428" w:rsidRDefault="004259D9" w:rsidP="00C60948">
            <w:pPr>
              <w:pStyle w:val="RollCallTable"/>
            </w:pPr>
            <w:r>
              <w:t>Emmanuel Maurel</w:t>
            </w:r>
          </w:p>
        </w:tc>
      </w:tr>
    </w:tbl>
    <w:p w:rsidR="004259D9" w:rsidRPr="00E80428" w:rsidRDefault="004259D9" w:rsidP="004259D9"/>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259D9" w:rsidRPr="00E80428" w:rsidTr="00C60948">
        <w:trPr>
          <w:cantSplit/>
        </w:trPr>
        <w:tc>
          <w:tcPr>
            <w:tcW w:w="1701" w:type="dxa"/>
            <w:shd w:val="pct10" w:color="000000" w:fill="FFFFFF"/>
            <w:vAlign w:val="center"/>
          </w:tcPr>
          <w:p w:rsidR="004259D9" w:rsidRPr="00E80428" w:rsidRDefault="004259D9" w:rsidP="00C60948">
            <w:pPr>
              <w:pStyle w:val="RollCallVotes"/>
            </w:pPr>
            <w:r>
              <w:t>1</w:t>
            </w:r>
          </w:p>
        </w:tc>
        <w:tc>
          <w:tcPr>
            <w:tcW w:w="7371" w:type="dxa"/>
            <w:shd w:val="pct10" w:color="000000" w:fill="FFFFFF"/>
          </w:tcPr>
          <w:p w:rsidR="004259D9" w:rsidRPr="00E80428" w:rsidRDefault="004259D9" w:rsidP="00C60948">
            <w:pPr>
              <w:pStyle w:val="RollCallSymbols14pt"/>
            </w:pPr>
            <w:r>
              <w:t>0</w:t>
            </w:r>
          </w:p>
        </w:tc>
      </w:tr>
      <w:tr w:rsidR="004259D9" w:rsidRPr="00E80428" w:rsidTr="00C60948">
        <w:trPr>
          <w:cantSplit/>
        </w:trPr>
        <w:tc>
          <w:tcPr>
            <w:tcW w:w="1701" w:type="dxa"/>
            <w:shd w:val="clear" w:color="auto" w:fill="FFFFFF"/>
          </w:tcPr>
          <w:p w:rsidR="004259D9" w:rsidRPr="00E80428" w:rsidRDefault="004259D9" w:rsidP="00C60948">
            <w:pPr>
              <w:pStyle w:val="RollCallTable"/>
            </w:pPr>
            <w:r>
              <w:t>ECR</w:t>
            </w:r>
          </w:p>
        </w:tc>
        <w:tc>
          <w:tcPr>
            <w:tcW w:w="7371" w:type="dxa"/>
            <w:shd w:val="clear" w:color="auto" w:fill="FFFFFF"/>
          </w:tcPr>
          <w:p w:rsidR="004259D9" w:rsidRPr="00E80428" w:rsidRDefault="004259D9" w:rsidP="00C60948">
            <w:pPr>
              <w:pStyle w:val="RollCallTable"/>
            </w:pPr>
            <w:r>
              <w:t>Jan Zahradil</w:t>
            </w:r>
          </w:p>
        </w:tc>
      </w:tr>
    </w:tbl>
    <w:p w:rsidR="004259D9" w:rsidRDefault="004259D9" w:rsidP="00147FBF">
      <w:pPr>
        <w:pStyle w:val="Normal12a"/>
      </w:pPr>
    </w:p>
    <w:p w:rsidR="004259D9" w:rsidRDefault="004259D9" w:rsidP="00B735E3">
      <w:r>
        <w:t>Légende des signes utilisés:</w:t>
      </w:r>
    </w:p>
    <w:p w:rsidR="004259D9" w:rsidRDefault="004259D9" w:rsidP="001C6342">
      <w:pPr>
        <w:pStyle w:val="RollCallTabs"/>
      </w:pPr>
      <w:r>
        <w:t>+</w:t>
      </w:r>
      <w:r>
        <w:tab/>
        <w:t>:</w:t>
      </w:r>
      <w:r>
        <w:tab/>
        <w:t>pour</w:t>
      </w:r>
    </w:p>
    <w:p w:rsidR="004259D9" w:rsidRDefault="004259D9" w:rsidP="001C6342">
      <w:pPr>
        <w:pStyle w:val="RollCallTabs"/>
      </w:pPr>
      <w:r>
        <w:t>-</w:t>
      </w:r>
      <w:r>
        <w:tab/>
        <w:t>:</w:t>
      </w:r>
      <w:r>
        <w:tab/>
        <w:t>contre</w:t>
      </w:r>
    </w:p>
    <w:p w:rsidR="004259D9" w:rsidRDefault="004259D9" w:rsidP="001C6342">
      <w:pPr>
        <w:pStyle w:val="RollCallTabs"/>
      </w:pPr>
      <w:r>
        <w:t>0</w:t>
      </w:r>
      <w:r>
        <w:tab/>
        <w:t>:</w:t>
      </w:r>
      <w:r>
        <w:tab/>
        <w:t>abstention</w:t>
      </w:r>
    </w:p>
    <w:p w:rsidR="004259D9" w:rsidRDefault="004259D9" w:rsidP="00AD5932"/>
    <w:bookmarkEnd w:id="10"/>
    <w:p w:rsidR="004259D9" w:rsidRPr="004259D9" w:rsidRDefault="004259D9" w:rsidP="004259D9"/>
    <w:sectPr w:rsidR="004259D9" w:rsidRPr="004259D9" w:rsidSect="004259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DF8" w:rsidRPr="00DE6EC0" w:rsidRDefault="00AB1DF8">
      <w:r w:rsidRPr="00DE6EC0">
        <w:separator/>
      </w:r>
    </w:p>
  </w:endnote>
  <w:endnote w:type="continuationSeparator" w:id="0">
    <w:p w:rsidR="00AB1DF8" w:rsidRPr="00DE6EC0" w:rsidRDefault="00AB1DF8">
      <w:r w:rsidRPr="00DE6E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1C" w:rsidRPr="00DE6EC0" w:rsidRDefault="009D781C" w:rsidP="009D781C">
    <w:pPr>
      <w:pStyle w:val="EPFooter"/>
    </w:pPr>
    <w:r w:rsidRPr="00DE6EC0">
      <w:t>PE</w:t>
    </w:r>
    <w:r w:rsidRPr="00DE6EC0">
      <w:rPr>
        <w:rStyle w:val="HideTWBExt"/>
      </w:rPr>
      <w:t>&lt;NoPE&gt;</w:t>
    </w:r>
    <w:r w:rsidRPr="00DE6EC0">
      <w:t>758.861</w:t>
    </w:r>
    <w:r w:rsidRPr="00DE6EC0">
      <w:rPr>
        <w:rStyle w:val="HideTWBExt"/>
      </w:rPr>
      <w:t>&lt;/NoPE&gt;&lt;Version&gt;</w:t>
    </w:r>
    <w:r w:rsidRPr="00DE6EC0">
      <w:t>v01-00</w:t>
    </w:r>
    <w:r w:rsidRPr="00DE6EC0">
      <w:rPr>
        <w:rStyle w:val="HideTWBExt"/>
      </w:rPr>
      <w:t>&lt;/Version&gt;</w:t>
    </w:r>
    <w:r w:rsidRPr="00DE6EC0">
      <w:tab/>
    </w:r>
    <w:r w:rsidRPr="00DE6EC0">
      <w:fldChar w:fldCharType="begin"/>
    </w:r>
    <w:r w:rsidRPr="00DE6EC0">
      <w:instrText xml:space="preserve"> PAGE  \* MERGEFORMAT </w:instrText>
    </w:r>
    <w:r w:rsidRPr="00DE6EC0">
      <w:fldChar w:fldCharType="separate"/>
    </w:r>
    <w:r w:rsidR="00B55FCC">
      <w:rPr>
        <w:noProof/>
      </w:rPr>
      <w:t>14</w:t>
    </w:r>
    <w:r w:rsidRPr="00DE6EC0">
      <w:fldChar w:fldCharType="end"/>
    </w:r>
    <w:r w:rsidRPr="00DE6EC0">
      <w:t>/</w:t>
    </w:r>
    <w:r w:rsidR="00B55FCC">
      <w:fldChar w:fldCharType="begin"/>
    </w:r>
    <w:r w:rsidR="00B55FCC">
      <w:instrText xml:space="preserve"> NUMPAGES  \* MERGEFORMAT </w:instrText>
    </w:r>
    <w:r w:rsidR="00B55FCC">
      <w:fldChar w:fldCharType="separate"/>
    </w:r>
    <w:r w:rsidR="00B55FCC">
      <w:rPr>
        <w:noProof/>
      </w:rPr>
      <w:t>27</w:t>
    </w:r>
    <w:r w:rsidR="00B55FCC">
      <w:rPr>
        <w:noProof/>
      </w:rPr>
      <w:fldChar w:fldCharType="end"/>
    </w:r>
    <w:r w:rsidRPr="00DE6EC0">
      <w:tab/>
    </w:r>
    <w:r w:rsidRPr="00DE6EC0">
      <w:rPr>
        <w:rStyle w:val="HideTWBExt"/>
      </w:rPr>
      <w:t>&lt;PathFdR&gt;</w:t>
    </w:r>
    <w:r w:rsidRPr="00DE6EC0">
      <w:t>RR\1298536FR.docx</w:t>
    </w:r>
    <w:r w:rsidRPr="00DE6EC0">
      <w:rPr>
        <w:rStyle w:val="HideTWBExt"/>
      </w:rPr>
      <w:t>&lt;/PathFdR&gt;</w:t>
    </w:r>
  </w:p>
  <w:p w:rsidR="00AB1DF8" w:rsidRPr="00DE6EC0" w:rsidRDefault="009D781C" w:rsidP="009D781C">
    <w:pPr>
      <w:pStyle w:val="EPFooter2"/>
    </w:pPr>
    <w:r w:rsidRPr="00DE6EC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1C" w:rsidRPr="00DE6EC0" w:rsidRDefault="009D781C" w:rsidP="009D781C">
    <w:pPr>
      <w:pStyle w:val="EPFooter"/>
    </w:pPr>
    <w:r w:rsidRPr="00DE6EC0">
      <w:rPr>
        <w:rStyle w:val="HideTWBExt"/>
      </w:rPr>
      <w:t>&lt;PathFdR&gt;</w:t>
    </w:r>
    <w:r w:rsidRPr="00DE6EC0">
      <w:t>RR\1298536FR.docx</w:t>
    </w:r>
    <w:r w:rsidRPr="00DE6EC0">
      <w:rPr>
        <w:rStyle w:val="HideTWBExt"/>
      </w:rPr>
      <w:t>&lt;/PathFdR&gt;</w:t>
    </w:r>
    <w:r w:rsidRPr="00DE6EC0">
      <w:tab/>
    </w:r>
    <w:r w:rsidRPr="00DE6EC0">
      <w:fldChar w:fldCharType="begin"/>
    </w:r>
    <w:r w:rsidRPr="00DE6EC0">
      <w:instrText xml:space="preserve"> PAGE  \* MERGEFORMAT </w:instrText>
    </w:r>
    <w:r w:rsidRPr="00DE6EC0">
      <w:fldChar w:fldCharType="separate"/>
    </w:r>
    <w:r w:rsidR="00B55FCC">
      <w:rPr>
        <w:noProof/>
      </w:rPr>
      <w:t>15</w:t>
    </w:r>
    <w:r w:rsidRPr="00DE6EC0">
      <w:fldChar w:fldCharType="end"/>
    </w:r>
    <w:r w:rsidRPr="00DE6EC0">
      <w:t>/</w:t>
    </w:r>
    <w:r w:rsidR="00B55FCC">
      <w:fldChar w:fldCharType="begin"/>
    </w:r>
    <w:r w:rsidR="00B55FCC">
      <w:instrText xml:space="preserve"> NUMPAGES  \* MERGEFORMAT </w:instrText>
    </w:r>
    <w:r w:rsidR="00B55FCC">
      <w:fldChar w:fldCharType="separate"/>
    </w:r>
    <w:r w:rsidR="00B55FCC">
      <w:rPr>
        <w:noProof/>
      </w:rPr>
      <w:t>27</w:t>
    </w:r>
    <w:r w:rsidR="00B55FCC">
      <w:rPr>
        <w:noProof/>
      </w:rPr>
      <w:fldChar w:fldCharType="end"/>
    </w:r>
    <w:r w:rsidRPr="00DE6EC0">
      <w:tab/>
      <w:t>PE</w:t>
    </w:r>
    <w:r w:rsidRPr="00DE6EC0">
      <w:rPr>
        <w:rStyle w:val="HideTWBExt"/>
      </w:rPr>
      <w:t>&lt;NoPE&gt;</w:t>
    </w:r>
    <w:r w:rsidRPr="00DE6EC0">
      <w:t>758.861</w:t>
    </w:r>
    <w:r w:rsidRPr="00DE6EC0">
      <w:rPr>
        <w:rStyle w:val="HideTWBExt"/>
      </w:rPr>
      <w:t>&lt;/NoPE&gt;&lt;Version&gt;</w:t>
    </w:r>
    <w:r w:rsidRPr="00DE6EC0">
      <w:t>v01-00</w:t>
    </w:r>
    <w:r w:rsidRPr="00DE6EC0">
      <w:rPr>
        <w:rStyle w:val="HideTWBExt"/>
      </w:rPr>
      <w:t>&lt;/Version&gt;</w:t>
    </w:r>
  </w:p>
  <w:p w:rsidR="00AB1DF8" w:rsidRPr="00DE6EC0" w:rsidRDefault="009D781C" w:rsidP="009D781C">
    <w:pPr>
      <w:pStyle w:val="EPFooter2"/>
    </w:pPr>
    <w:r w:rsidRPr="00DE6EC0">
      <w:tab/>
    </w:r>
    <w:r w:rsidRPr="00DE6EC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1C" w:rsidRPr="00DE6EC0" w:rsidRDefault="009D781C" w:rsidP="009D781C">
    <w:pPr>
      <w:pStyle w:val="EPFooter"/>
    </w:pPr>
    <w:r w:rsidRPr="00DE6EC0">
      <w:rPr>
        <w:rStyle w:val="HideTWBExt"/>
      </w:rPr>
      <w:t>&lt;PathFdR&gt;</w:t>
    </w:r>
    <w:r w:rsidRPr="00DE6EC0">
      <w:t>RR\1298536FR.docx</w:t>
    </w:r>
    <w:r w:rsidRPr="00DE6EC0">
      <w:rPr>
        <w:rStyle w:val="HideTWBExt"/>
      </w:rPr>
      <w:t>&lt;/PathFdR&gt;</w:t>
    </w:r>
    <w:r w:rsidRPr="00DE6EC0">
      <w:tab/>
    </w:r>
    <w:r w:rsidRPr="00DE6EC0">
      <w:tab/>
      <w:t>PE</w:t>
    </w:r>
    <w:r w:rsidRPr="00DE6EC0">
      <w:rPr>
        <w:rStyle w:val="HideTWBExt"/>
      </w:rPr>
      <w:t>&lt;NoPE&gt;</w:t>
    </w:r>
    <w:r w:rsidRPr="00DE6EC0">
      <w:t>758.861</w:t>
    </w:r>
    <w:r w:rsidRPr="00DE6EC0">
      <w:rPr>
        <w:rStyle w:val="HideTWBExt"/>
      </w:rPr>
      <w:t>&lt;/NoPE&gt;&lt;Version&gt;</w:t>
    </w:r>
    <w:r w:rsidRPr="00DE6EC0">
      <w:t>v01-00</w:t>
    </w:r>
    <w:r w:rsidRPr="00DE6EC0">
      <w:rPr>
        <w:rStyle w:val="HideTWBExt"/>
      </w:rPr>
      <w:t>&lt;/Version&gt;</w:t>
    </w:r>
  </w:p>
  <w:p w:rsidR="00AB1DF8" w:rsidRPr="00DE6EC0" w:rsidRDefault="009D781C" w:rsidP="009D781C">
    <w:pPr>
      <w:pStyle w:val="EPFooter2"/>
    </w:pPr>
    <w:r w:rsidRPr="00DE6EC0">
      <w:t>FR</w:t>
    </w:r>
    <w:r w:rsidRPr="00DE6EC0">
      <w:tab/>
    </w:r>
    <w:r w:rsidRPr="00DE6EC0">
      <w:rPr>
        <w:b w:val="0"/>
        <w:i/>
        <w:color w:val="C0C0C0"/>
        <w:sz w:val="22"/>
      </w:rPr>
      <w:t>Unie dans la diversité</w:t>
    </w:r>
    <w:r w:rsidRPr="00DE6EC0">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DF8" w:rsidRPr="00B55FCC" w:rsidRDefault="00AB1DF8" w:rsidP="0018149D">
    <w:pPr>
      <w:pStyle w:val="EPFooter"/>
      <w:rPr>
        <w:lang w:val="it-IT"/>
      </w:rPr>
    </w:pPr>
    <w:r w:rsidRPr="00B55FCC">
      <w:rPr>
        <w:rStyle w:val="HideTWBExt"/>
        <w:lang w:val="it-IT"/>
      </w:rPr>
      <w:t>&lt;PathFdR&gt;</w:t>
    </w:r>
    <w:r w:rsidRPr="00B55FCC">
      <w:rPr>
        <w:lang w:val="it-IT"/>
      </w:rPr>
      <w:t>AD\1297858EN.docx</w:t>
    </w:r>
    <w:r w:rsidRPr="00B55FCC">
      <w:rPr>
        <w:rStyle w:val="HideTWBExt"/>
        <w:lang w:val="it-IT"/>
      </w:rPr>
      <w:t>&lt;/PathFdR&gt;</w:t>
    </w:r>
    <w:r w:rsidRPr="00B55FCC">
      <w:rPr>
        <w:lang w:val="it-IT"/>
      </w:rPr>
      <w:tab/>
    </w:r>
    <w:r w:rsidRPr="00B55FCC">
      <w:rPr>
        <w:lang w:val="it-IT"/>
      </w:rPr>
      <w:tab/>
      <w:t>PE</w:t>
    </w:r>
    <w:r w:rsidRPr="00B55FCC">
      <w:rPr>
        <w:rStyle w:val="HideTWBExt"/>
        <w:lang w:val="it-IT"/>
      </w:rPr>
      <w:t>&lt;NoPE&gt;</w:t>
    </w:r>
    <w:r w:rsidRPr="00B55FCC">
      <w:rPr>
        <w:lang w:val="it-IT"/>
      </w:rPr>
      <w:t>759.061</w:t>
    </w:r>
    <w:r w:rsidRPr="00B55FCC">
      <w:rPr>
        <w:rStyle w:val="HideTWBExt"/>
        <w:lang w:val="it-IT"/>
      </w:rPr>
      <w:t>&lt;/NoPE&gt;&lt;Version&gt;</w:t>
    </w:r>
    <w:r w:rsidRPr="00B55FCC">
      <w:rPr>
        <w:lang w:val="it-IT"/>
      </w:rPr>
      <w:t>v03-00</w:t>
    </w:r>
    <w:r w:rsidRPr="00B55FCC">
      <w:rPr>
        <w:rStyle w:val="HideTWBExt"/>
        <w:lang w:val="it-IT"/>
      </w:rPr>
      <w:t>&lt;/Version&gt;</w:t>
    </w:r>
  </w:p>
  <w:p w:rsidR="00AB1DF8" w:rsidRPr="00DE6EC0" w:rsidRDefault="00AB1DF8" w:rsidP="0018149D">
    <w:pPr>
      <w:pStyle w:val="EPFooter2"/>
    </w:pPr>
    <w:r w:rsidRPr="00DE6EC0">
      <w:t>EN</w:t>
    </w:r>
    <w:r w:rsidRPr="00DE6EC0">
      <w:tab/>
    </w:r>
    <w:r w:rsidRPr="00DE6EC0">
      <w:rPr>
        <w:b w:val="0"/>
        <w:i/>
        <w:color w:val="C0C0C0"/>
        <w:sz w:val="22"/>
      </w:rPr>
      <w:t>United in diversity</w:t>
    </w:r>
    <w:r w:rsidRPr="00DE6EC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DF8" w:rsidRPr="00DE6EC0" w:rsidRDefault="00AB1DF8">
      <w:r w:rsidRPr="00DE6EC0">
        <w:separator/>
      </w:r>
    </w:p>
  </w:footnote>
  <w:footnote w:type="continuationSeparator" w:id="0">
    <w:p w:rsidR="00AB1DF8" w:rsidRPr="00DE6EC0" w:rsidRDefault="00AB1DF8">
      <w:r w:rsidRPr="00DE6EC0">
        <w:continuationSeparator/>
      </w:r>
    </w:p>
  </w:footnote>
  <w:footnote w:id="1">
    <w:p w:rsidR="00AB1DF8" w:rsidRPr="00DE6EC0" w:rsidRDefault="00AB1DF8" w:rsidP="009E2244">
      <w:pPr>
        <w:pStyle w:val="FootnoteText"/>
      </w:pPr>
      <w:r>
        <w:rPr>
          <w:rStyle w:val="FootnoteReference"/>
        </w:rPr>
        <w:footnoteRef/>
      </w:r>
      <w:r>
        <w:t> Règlement (UE) 2015/478 du Parlement européen et du Conseil du 11 mars 2015 relatif au régime commun applicable aux importations.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9D9" w:rsidRDefault="00425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9D9" w:rsidRDefault="004259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9D9" w:rsidRDefault="004259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DF8" w:rsidRPr="00510A01" w:rsidRDefault="00AB1D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DF8" w:rsidRPr="00510A01" w:rsidRDefault="00AB1D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DF8" w:rsidRPr="00510A01" w:rsidRDefault="00AB1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INTA"/>
    <w:docVar w:name="CONTRIBUTIONMNU" w:val=" 1"/>
    <w:docVar w:name="CopyToNetwork" w:val="-1"/>
    <w:docVar w:name="DOCDT" w:val="07/03/2024"/>
    <w:docVar w:name="DOCMNU" w:val=" 1"/>
    <w:docVar w:name="EPOJMNU" w:val=" 1"/>
    <w:docVar w:name="EPSTATMNU" w:val=" 1"/>
    <w:docVar w:name="EPSTATPLURMNU" w:val=" 1"/>
    <w:docVar w:name="INSERTOPINKEY" w:val="AGRI"/>
    <w:docVar w:name="INSTITUTIONSMNU" w:val=" 2"/>
    <w:docVar w:name="JURI1MNU" w:val=" 1"/>
    <w:docVar w:name="JURI2MNU" w:val=" 1"/>
    <w:docVar w:name="LastEditedSection" w:val=" 1"/>
    <w:docVar w:name="OTHEROJMNU" w:val=" 3"/>
    <w:docVar w:name="OTHERSTATMNU" w:val=" 1"/>
    <w:docVar w:name="OTHERSTATPLURMNU" w:val=" 1"/>
    <w:docVar w:name="PARLIAMENTSMNU" w:val=" 1"/>
    <w:docVar w:name="PARLMNU" w:val=" 1"/>
    <w:docVar w:name="strDocTypeID" w:val="PR_COD_1app"/>
    <w:docVar w:name="strSubDir" w:val="1298"/>
    <w:docVar w:name="TXTLANGUE" w:val="FR"/>
    <w:docVar w:name="TXTLANGUEMIN" w:val="fr"/>
    <w:docVar w:name="TXTNRC" w:val="1023/2011"/>
    <w:docVar w:name="TXTNRCOD" w:val="2024"/>
    <w:docVar w:name="TXTNRCOM" w:val="(2024)0050"/>
    <w:docVar w:name="TXTNRPE" w:val="758.861"/>
    <w:docVar w:name="TXTPEorAP" w:val="PE"/>
    <w:docVar w:name="TXTROUTE" w:val="RR\1298536FR.docx"/>
    <w:docVar w:name="TXTTITLE" w:val="on temporary trade-liberalisation measures supplementing trade concessions applicable to Ukrainian products under the Association Agreement between the European Union and the European Atomic Energy Community and their Member States, of the one part, and Ukraine, of the other part"/>
    <w:docVar w:name="TXTVERSION" w:val="01-00"/>
  </w:docVars>
  <w:rsids>
    <w:rsidRoot w:val="00001CF8"/>
    <w:rsid w:val="00001CF8"/>
    <w:rsid w:val="00053B97"/>
    <w:rsid w:val="000A4A3A"/>
    <w:rsid w:val="000B5585"/>
    <w:rsid w:val="000C5EDC"/>
    <w:rsid w:val="000F0425"/>
    <w:rsid w:val="00104AEE"/>
    <w:rsid w:val="001362B7"/>
    <w:rsid w:val="00157146"/>
    <w:rsid w:val="00164B9B"/>
    <w:rsid w:val="0018149D"/>
    <w:rsid w:val="00182506"/>
    <w:rsid w:val="001907B9"/>
    <w:rsid w:val="001A06D8"/>
    <w:rsid w:val="001A7679"/>
    <w:rsid w:val="001B2EFE"/>
    <w:rsid w:val="001D3524"/>
    <w:rsid w:val="001F1893"/>
    <w:rsid w:val="00225A8A"/>
    <w:rsid w:val="002329B3"/>
    <w:rsid w:val="00260FAA"/>
    <w:rsid w:val="002A1CE3"/>
    <w:rsid w:val="002A4600"/>
    <w:rsid w:val="002B272A"/>
    <w:rsid w:val="002C3187"/>
    <w:rsid w:val="002C4B02"/>
    <w:rsid w:val="00302A66"/>
    <w:rsid w:val="00313D3E"/>
    <w:rsid w:val="0031764E"/>
    <w:rsid w:val="00356DCF"/>
    <w:rsid w:val="00365E3D"/>
    <w:rsid w:val="00391A7D"/>
    <w:rsid w:val="003A07AE"/>
    <w:rsid w:val="003A4D81"/>
    <w:rsid w:val="003A53CE"/>
    <w:rsid w:val="003C5583"/>
    <w:rsid w:val="00400756"/>
    <w:rsid w:val="004078CB"/>
    <w:rsid w:val="0041661E"/>
    <w:rsid w:val="00421583"/>
    <w:rsid w:val="004259D9"/>
    <w:rsid w:val="00433573"/>
    <w:rsid w:val="00450477"/>
    <w:rsid w:val="004552F1"/>
    <w:rsid w:val="00462D01"/>
    <w:rsid w:val="00490742"/>
    <w:rsid w:val="00490D5F"/>
    <w:rsid w:val="00491B2B"/>
    <w:rsid w:val="004D7B3B"/>
    <w:rsid w:val="004F67E3"/>
    <w:rsid w:val="00543B7B"/>
    <w:rsid w:val="00554488"/>
    <w:rsid w:val="005571A0"/>
    <w:rsid w:val="005663F7"/>
    <w:rsid w:val="005E70AB"/>
    <w:rsid w:val="0065285A"/>
    <w:rsid w:val="006F5E2D"/>
    <w:rsid w:val="00705E9B"/>
    <w:rsid w:val="00756309"/>
    <w:rsid w:val="007908B5"/>
    <w:rsid w:val="007C298F"/>
    <w:rsid w:val="007D611D"/>
    <w:rsid w:val="007E3117"/>
    <w:rsid w:val="00814B44"/>
    <w:rsid w:val="00825D3E"/>
    <w:rsid w:val="00830A38"/>
    <w:rsid w:val="00837978"/>
    <w:rsid w:val="0085682D"/>
    <w:rsid w:val="008663F8"/>
    <w:rsid w:val="008A07E3"/>
    <w:rsid w:val="008B26BF"/>
    <w:rsid w:val="008B5034"/>
    <w:rsid w:val="008D6E09"/>
    <w:rsid w:val="008E22DF"/>
    <w:rsid w:val="008E4B14"/>
    <w:rsid w:val="00911B49"/>
    <w:rsid w:val="00913414"/>
    <w:rsid w:val="009160B7"/>
    <w:rsid w:val="0096707E"/>
    <w:rsid w:val="00972ED6"/>
    <w:rsid w:val="00974FD5"/>
    <w:rsid w:val="009B4566"/>
    <w:rsid w:val="009D781C"/>
    <w:rsid w:val="009E2244"/>
    <w:rsid w:val="00A02CEA"/>
    <w:rsid w:val="00A40C66"/>
    <w:rsid w:val="00A43E6A"/>
    <w:rsid w:val="00A62C81"/>
    <w:rsid w:val="00A74E5C"/>
    <w:rsid w:val="00A83D53"/>
    <w:rsid w:val="00AB1DF8"/>
    <w:rsid w:val="00AD26AD"/>
    <w:rsid w:val="00AE4E74"/>
    <w:rsid w:val="00AF7573"/>
    <w:rsid w:val="00B318EC"/>
    <w:rsid w:val="00B37926"/>
    <w:rsid w:val="00B52B6C"/>
    <w:rsid w:val="00B5444E"/>
    <w:rsid w:val="00B55FCC"/>
    <w:rsid w:val="00BA5740"/>
    <w:rsid w:val="00BD28D4"/>
    <w:rsid w:val="00BD7123"/>
    <w:rsid w:val="00BE1457"/>
    <w:rsid w:val="00BE4EC7"/>
    <w:rsid w:val="00BF6269"/>
    <w:rsid w:val="00C54859"/>
    <w:rsid w:val="00C71A3C"/>
    <w:rsid w:val="00C82EBC"/>
    <w:rsid w:val="00C92800"/>
    <w:rsid w:val="00CE12B6"/>
    <w:rsid w:val="00D065CB"/>
    <w:rsid w:val="00D1777C"/>
    <w:rsid w:val="00D319AE"/>
    <w:rsid w:val="00D87D55"/>
    <w:rsid w:val="00D919CF"/>
    <w:rsid w:val="00DC3DED"/>
    <w:rsid w:val="00DD46FB"/>
    <w:rsid w:val="00DE6EC0"/>
    <w:rsid w:val="00DF6C13"/>
    <w:rsid w:val="00E24902"/>
    <w:rsid w:val="00E24C8D"/>
    <w:rsid w:val="00E363E1"/>
    <w:rsid w:val="00E6066C"/>
    <w:rsid w:val="00E80428"/>
    <w:rsid w:val="00EC76FD"/>
    <w:rsid w:val="00ED0609"/>
    <w:rsid w:val="00ED0821"/>
    <w:rsid w:val="00EF394E"/>
    <w:rsid w:val="00F0202A"/>
    <w:rsid w:val="00F31E31"/>
    <w:rsid w:val="00F722FB"/>
    <w:rsid w:val="00FA75F2"/>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A1390"/>
  <w15:chartTrackingRefBased/>
  <w15:docId w15:val="{0E2E94BA-0F76-4ECE-92D4-113FD52C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830A38"/>
    <w:pPr>
      <w:tabs>
        <w:tab w:val="right" w:pos="454"/>
        <w:tab w:val="left" w:pos="737"/>
      </w:tabs>
      <w:ind w:left="737" w:hanging="737"/>
    </w:pPr>
    <w:rPr>
      <w:snapToGrid w:val="0"/>
      <w:sz w:val="18"/>
      <w:lang w:eastAsia="en-US"/>
    </w:rPr>
  </w:style>
  <w:style w:type="paragraph" w:customStyle="1" w:styleId="Lgendetitre">
    <w:name w:val="Légende titre"/>
    <w:basedOn w:val="Normal"/>
    <w:rsid w:val="00830A38"/>
    <w:pPr>
      <w:spacing w:before="240" w:after="240"/>
    </w:pPr>
    <w:rPr>
      <w:b/>
      <w:i/>
      <w:snapToGrid w:val="0"/>
      <w:lang w:eastAsia="en-US"/>
    </w:rPr>
  </w:style>
  <w:style w:type="paragraph" w:customStyle="1" w:styleId="Lgendestandard">
    <w:name w:val="Légende standard"/>
    <w:basedOn w:val="Normal"/>
    <w:rsid w:val="00830A38"/>
    <w:rPr>
      <w:sz w:val="18"/>
    </w:rPr>
  </w:style>
  <w:style w:type="paragraph" w:styleId="FootnoteText">
    <w:name w:val="footnote text"/>
    <w:basedOn w:val="Normal"/>
    <w:link w:val="FootnoteTextChar"/>
    <w:unhideWhenUsed/>
    <w:rsid w:val="009160B7"/>
    <w:rPr>
      <w:sz w:val="20"/>
    </w:rPr>
  </w:style>
  <w:style w:type="character" w:customStyle="1" w:styleId="FootnoteTextChar">
    <w:name w:val="Footnote Text Char"/>
    <w:basedOn w:val="DefaultParagraphFont"/>
    <w:link w:val="FootnoteText"/>
    <w:rsid w:val="009160B7"/>
  </w:style>
  <w:style w:type="character" w:styleId="FootnoteReference">
    <w:name w:val="footnote reference"/>
    <w:basedOn w:val="DefaultParagraphFont"/>
    <w:unhideWhenUsed/>
    <w:rsid w:val="009160B7"/>
    <w:rPr>
      <w:vertAlign w:val="superscript"/>
    </w:rPr>
  </w:style>
  <w:style w:type="paragraph" w:styleId="BalloonText">
    <w:name w:val="Balloon Text"/>
    <w:basedOn w:val="Normal"/>
    <w:link w:val="BalloonTextChar"/>
    <w:semiHidden/>
    <w:unhideWhenUsed/>
    <w:rsid w:val="00F722FB"/>
    <w:rPr>
      <w:rFonts w:ascii="Segoe UI" w:hAnsi="Segoe UI" w:cs="Segoe UI"/>
      <w:sz w:val="18"/>
      <w:szCs w:val="18"/>
    </w:rPr>
  </w:style>
  <w:style w:type="character" w:customStyle="1" w:styleId="BalloonTextChar">
    <w:name w:val="Balloon Text Char"/>
    <w:basedOn w:val="DefaultParagraphFont"/>
    <w:link w:val="BalloonText"/>
    <w:semiHidden/>
    <w:rsid w:val="00F722FB"/>
    <w:rPr>
      <w:rFonts w:ascii="Segoe UI" w:hAnsi="Segoe UI" w:cs="Segoe UI"/>
      <w:sz w:val="18"/>
      <w:szCs w:val="18"/>
    </w:rPr>
  </w:style>
  <w:style w:type="paragraph" w:customStyle="1" w:styleId="Normal24a">
    <w:name w:val="Normal24a"/>
    <w:basedOn w:val="Normal"/>
    <w:rsid w:val="0018149D"/>
    <w:pPr>
      <w:spacing w:after="480"/>
    </w:pPr>
  </w:style>
  <w:style w:type="paragraph" w:customStyle="1" w:styleId="NormalBoldCenter">
    <w:name w:val="NormalBoldCenter"/>
    <w:basedOn w:val="Normal"/>
    <w:rsid w:val="0018149D"/>
    <w:pPr>
      <w:jc w:val="center"/>
    </w:pPr>
    <w:rPr>
      <w:b/>
    </w:rPr>
  </w:style>
  <w:style w:type="paragraph" w:customStyle="1" w:styleId="Normal12a">
    <w:name w:val="Normal12a"/>
    <w:basedOn w:val="Normal"/>
    <w:rsid w:val="0018149D"/>
    <w:pPr>
      <w:spacing w:after="240"/>
    </w:pPr>
  </w:style>
  <w:style w:type="paragraph" w:customStyle="1" w:styleId="Normal6a">
    <w:name w:val="Normal6a"/>
    <w:basedOn w:val="Normal"/>
    <w:rsid w:val="0018149D"/>
    <w:pPr>
      <w:spacing w:after="120"/>
    </w:pPr>
  </w:style>
  <w:style w:type="paragraph" w:customStyle="1" w:styleId="PageHeadingNotTOC">
    <w:name w:val="PageHeadingNotTOC"/>
    <w:basedOn w:val="Normal"/>
    <w:rsid w:val="0018149D"/>
    <w:pPr>
      <w:keepNext/>
      <w:spacing w:after="480"/>
      <w:jc w:val="center"/>
    </w:pPr>
    <w:rPr>
      <w:rFonts w:ascii="Arial" w:hAnsi="Arial" w:cs="Arial"/>
      <w:b/>
    </w:rPr>
  </w:style>
  <w:style w:type="paragraph" w:customStyle="1" w:styleId="AmJustText">
    <w:name w:val="AmJustText"/>
    <w:basedOn w:val="Normal"/>
    <w:rsid w:val="0018149D"/>
    <w:pPr>
      <w:spacing w:after="240"/>
    </w:pPr>
    <w:rPr>
      <w:i/>
    </w:rPr>
  </w:style>
  <w:style w:type="paragraph" w:customStyle="1" w:styleId="AmJustTitle">
    <w:name w:val="AmJustTitle"/>
    <w:basedOn w:val="Normal"/>
    <w:next w:val="AmJustText"/>
    <w:rsid w:val="0018149D"/>
    <w:pPr>
      <w:keepNext/>
      <w:spacing w:before="240" w:after="240"/>
      <w:jc w:val="center"/>
    </w:pPr>
    <w:rPr>
      <w:i/>
    </w:rPr>
  </w:style>
  <w:style w:type="paragraph" w:customStyle="1" w:styleId="AmHeadingPA">
    <w:name w:val="AmHeadingPA"/>
    <w:basedOn w:val="Normal"/>
    <w:next w:val="Normal"/>
    <w:rsid w:val="0018149D"/>
    <w:pPr>
      <w:spacing w:before="480" w:after="240"/>
      <w:jc w:val="center"/>
    </w:pPr>
    <w:rPr>
      <w:rFonts w:ascii="Arial" w:hAnsi="Arial"/>
      <w:b/>
      <w:caps/>
      <w:snapToGrid w:val="0"/>
      <w:szCs w:val="24"/>
      <w:lang w:eastAsia="en-US"/>
    </w:rPr>
  </w:style>
  <w:style w:type="paragraph" w:customStyle="1" w:styleId="AmColumnHeading">
    <w:name w:val="AmColumnHeading"/>
    <w:basedOn w:val="Normal"/>
    <w:rsid w:val="0018149D"/>
    <w:pPr>
      <w:spacing w:after="240"/>
      <w:jc w:val="center"/>
    </w:pPr>
    <w:rPr>
      <w:i/>
    </w:rPr>
  </w:style>
  <w:style w:type="paragraph" w:customStyle="1" w:styleId="AmNumberTabs">
    <w:name w:val="AmNumberTabs"/>
    <w:basedOn w:val="Normal"/>
    <w:link w:val="AmNumberTabsChar"/>
    <w:rsid w:val="001814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8149D"/>
    <w:pPr>
      <w:spacing w:before="240"/>
    </w:pPr>
    <w:rPr>
      <w:b/>
    </w:rPr>
  </w:style>
  <w:style w:type="character" w:customStyle="1" w:styleId="Normal6Char">
    <w:name w:val="Normal6 Char"/>
    <w:basedOn w:val="DefaultParagraphFont"/>
    <w:link w:val="Normal6"/>
    <w:locked/>
    <w:rsid w:val="0018149D"/>
    <w:rPr>
      <w:sz w:val="24"/>
      <w:lang w:val="fr-FR"/>
    </w:rPr>
  </w:style>
  <w:style w:type="paragraph" w:customStyle="1" w:styleId="Normal6">
    <w:name w:val="Normal6"/>
    <w:basedOn w:val="Normal"/>
    <w:link w:val="Normal6Char"/>
    <w:rsid w:val="0018149D"/>
    <w:pPr>
      <w:spacing w:after="120"/>
    </w:pPr>
  </w:style>
  <w:style w:type="character" w:customStyle="1" w:styleId="NormalBoldChar">
    <w:name w:val="NormalBold Char"/>
    <w:basedOn w:val="DefaultParagraphFont"/>
    <w:link w:val="NormalBold"/>
    <w:locked/>
    <w:rsid w:val="0018149D"/>
    <w:rPr>
      <w:b/>
      <w:sz w:val="24"/>
    </w:rPr>
  </w:style>
  <w:style w:type="paragraph" w:customStyle="1" w:styleId="ColumnHeading">
    <w:name w:val="ColumnHeading"/>
    <w:basedOn w:val="Normal"/>
    <w:rsid w:val="0018149D"/>
    <w:pPr>
      <w:spacing w:after="240"/>
      <w:jc w:val="center"/>
    </w:pPr>
    <w:rPr>
      <w:i/>
    </w:rPr>
  </w:style>
  <w:style w:type="paragraph" w:customStyle="1" w:styleId="AMNumberTabs0">
    <w:name w:val="AMNumberTabs"/>
    <w:basedOn w:val="Normal"/>
    <w:rsid w:val="001814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8149D"/>
    <w:rPr>
      <w:b/>
      <w:sz w:val="24"/>
    </w:rPr>
  </w:style>
  <w:style w:type="character" w:customStyle="1" w:styleId="NormalBold12bChar">
    <w:name w:val="NormalBold12b Char"/>
    <w:basedOn w:val="AmNumberTabsChar"/>
    <w:link w:val="NormalBold12b"/>
    <w:rsid w:val="0018149D"/>
    <w:rPr>
      <w:b/>
      <w:sz w:val="24"/>
    </w:rPr>
  </w:style>
  <w:style w:type="paragraph" w:customStyle="1" w:styleId="RollCallSymbols14pt">
    <w:name w:val="RollCallSymbols14pt"/>
    <w:basedOn w:val="Normal"/>
    <w:rsid w:val="001814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8149D"/>
    <w:pPr>
      <w:tabs>
        <w:tab w:val="center" w:pos="284"/>
        <w:tab w:val="left" w:pos="426"/>
      </w:tabs>
    </w:pPr>
    <w:rPr>
      <w:snapToGrid w:val="0"/>
      <w:lang w:eastAsia="en-US"/>
    </w:rPr>
  </w:style>
  <w:style w:type="paragraph" w:customStyle="1" w:styleId="RollCallVotes">
    <w:name w:val="RollCallVotes"/>
    <w:basedOn w:val="Normal"/>
    <w:rsid w:val="0018149D"/>
    <w:pPr>
      <w:spacing w:before="120" w:after="120"/>
      <w:jc w:val="center"/>
    </w:pPr>
    <w:rPr>
      <w:b/>
      <w:bCs/>
      <w:snapToGrid w:val="0"/>
      <w:sz w:val="16"/>
      <w:lang w:eastAsia="en-US"/>
    </w:rPr>
  </w:style>
  <w:style w:type="paragraph" w:customStyle="1" w:styleId="RollCallTable">
    <w:name w:val="RollCallTable"/>
    <w:basedOn w:val="Normal"/>
    <w:rsid w:val="0018149D"/>
    <w:pPr>
      <w:spacing w:before="120" w:after="120"/>
    </w:pPr>
    <w:rPr>
      <w:snapToGrid w:val="0"/>
      <w:sz w:val="16"/>
      <w:lang w:eastAsia="en-US"/>
    </w:rPr>
  </w:style>
  <w:style w:type="paragraph" w:styleId="Footer">
    <w:name w:val="footer"/>
    <w:basedOn w:val="Normal"/>
    <w:link w:val="FooterChar"/>
    <w:semiHidden/>
    <w:rsid w:val="00911B49"/>
    <w:pPr>
      <w:tabs>
        <w:tab w:val="center" w:pos="4513"/>
        <w:tab w:val="right" w:pos="9026"/>
      </w:tabs>
    </w:pPr>
  </w:style>
  <w:style w:type="character" w:customStyle="1" w:styleId="FooterChar">
    <w:name w:val="Footer Char"/>
    <w:basedOn w:val="DefaultParagraphFont"/>
    <w:link w:val="Footer"/>
    <w:semiHidden/>
    <w:rsid w:val="00911B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462426">
      <w:bodyDiv w:val="1"/>
      <w:marLeft w:val="0"/>
      <w:marRight w:val="0"/>
      <w:marTop w:val="0"/>
      <w:marBottom w:val="0"/>
      <w:divBdr>
        <w:top w:val="none" w:sz="0" w:space="0" w:color="auto"/>
        <w:left w:val="none" w:sz="0" w:space="0" w:color="auto"/>
        <w:bottom w:val="none" w:sz="0" w:space="0" w:color="auto"/>
        <w:right w:val="none" w:sz="0" w:space="0" w:color="auto"/>
      </w:divBdr>
    </w:div>
    <w:div w:id="138178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56924-8237-4830-A9C3-4C003C706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6817</Words>
  <Characters>38790</Characters>
  <Application>Microsoft Office Word</Application>
  <DocSecurity>0</DocSecurity>
  <Lines>1385</Lines>
  <Paragraphs>506</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45101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RAMASAUSKAITE Edita</dc:creator>
  <cp:keywords/>
  <dc:description/>
  <cp:lastModifiedBy>MACCIONE Stéphane</cp:lastModifiedBy>
  <cp:revision>2</cp:revision>
  <cp:lastPrinted>2004-11-04T10:10:00Z</cp:lastPrinted>
  <dcterms:created xsi:type="dcterms:W3CDTF">2024-03-12T09:18:00Z</dcterms:created>
  <dcterms:modified xsi:type="dcterms:W3CDTF">2024-03-12T09:18:00Z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[20240111]</vt:lpwstr>
  </property>
  <property fmtid="{D5CDD505-2E9C-101B-9397-08002B2CF9AE}" pid="4" name="LastEdited with">
    <vt:lpwstr>9.17.2 Build [20240212]</vt:lpwstr>
  </property>
  <property fmtid="{D5CDD505-2E9C-101B-9397-08002B2CF9AE}" pid="5" name="&lt;FdR&gt;">
    <vt:lpwstr>1298536</vt:lpwstr>
  </property>
  <property fmtid="{D5CDD505-2E9C-101B-9397-08002B2CF9AE}" pid="6" name="&lt;Type&gt;">
    <vt:lpwstr>RR</vt:lpwstr>
  </property>
  <property fmtid="{D5CDD505-2E9C-101B-9397-08002B2CF9AE}" pid="7" name="&lt;ModelCod&gt;">
    <vt:lpwstr>\\eiciBRUpr1\pdocep$\DocEP\DOCS\General\PR\PR_Leg\COD\COD_1st\PR_COD_1app.dotx(23/03/2022 10:54:04)</vt:lpwstr>
  </property>
  <property fmtid="{D5CDD505-2E9C-101B-9397-08002B2CF9AE}" pid="8" name="&lt;ModelTra&gt;">
    <vt:lpwstr>\\eiciBRUpr1\pdocep$\DocEP\TRANSFIL\EN\PR_COD_1app.EN(29/06/2022 09:21:37)</vt:lpwstr>
  </property>
  <property fmtid="{D5CDD505-2E9C-101B-9397-08002B2CF9AE}" pid="9" name="&lt;Model&gt;">
    <vt:lpwstr>PR_COD_1app</vt:lpwstr>
  </property>
  <property fmtid="{D5CDD505-2E9C-101B-9397-08002B2CF9AE}" pid="10" name="FooterPath">
    <vt:lpwstr>RR\1298536FR.docx</vt:lpwstr>
  </property>
  <property fmtid="{D5CDD505-2E9C-101B-9397-08002B2CF9AE}" pid="11" name="PE number">
    <vt:lpwstr>758.861</vt:lpwstr>
  </property>
  <property fmtid="{D5CDD505-2E9C-101B-9397-08002B2CF9AE}" pid="12" name="SendToEpades">
    <vt:lpwstr/>
  </property>
  <property fmtid="{D5CDD505-2E9C-101B-9397-08002B2CF9AE}" pid="13" name="Bookout">
    <vt:lpwstr>OK - 2024/03/12 10:18</vt:lpwstr>
  </property>
  <property fmtid="{D5CDD505-2E9C-101B-9397-08002B2CF9AE}" pid="14" name="SDLStudio">
    <vt:lpwstr/>
  </property>
</Properties>
</file>