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1945F6" w:rsidTr="00C85D0F">
        <w:trPr>
          <w:trHeight w:hRule="exact" w:val="1418"/>
        </w:trPr>
        <w:tc>
          <w:tcPr>
            <w:tcW w:w="6804" w:type="dxa"/>
            <w:shd w:val="clear" w:color="auto" w:fill="auto"/>
            <w:vAlign w:val="center"/>
          </w:tcPr>
          <w:p w:rsidR="00C05DD8" w:rsidRPr="001945F6" w:rsidRDefault="00514052" w:rsidP="00C85D0F">
            <w:pPr>
              <w:pStyle w:val="EPName"/>
            </w:pPr>
            <w:r>
              <w:t>Parlement européen</w:t>
            </w:r>
          </w:p>
          <w:p w:rsidR="00C05DD8" w:rsidRPr="001945F6" w:rsidRDefault="005D046D" w:rsidP="005D046D">
            <w:pPr>
              <w:pStyle w:val="EPTerm"/>
            </w:pPr>
            <w:r>
              <w:t>2019-2024</w:t>
            </w:r>
          </w:p>
        </w:tc>
        <w:tc>
          <w:tcPr>
            <w:tcW w:w="2268" w:type="dxa"/>
            <w:shd w:val="clear" w:color="auto" w:fill="auto"/>
          </w:tcPr>
          <w:p w:rsidR="00C05DD8" w:rsidRPr="001945F6" w:rsidRDefault="00C05DD8" w:rsidP="00C85D0F">
            <w:pPr>
              <w:pStyle w:val="EPLogo"/>
            </w:pPr>
            <w:r w:rsidRPr="001945F6">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1945F6" w:rsidRDefault="009612AA" w:rsidP="009612AA">
      <w:pPr>
        <w:pStyle w:val="LineTop"/>
      </w:pPr>
    </w:p>
    <w:p w:rsidR="009612AA" w:rsidRPr="001945F6" w:rsidRDefault="0002190F" w:rsidP="009612AA">
      <w:pPr>
        <w:pStyle w:val="EPBody"/>
      </w:pPr>
      <w:r>
        <w:t>Document de séance</w:t>
      </w:r>
    </w:p>
    <w:p w:rsidR="009612AA" w:rsidRPr="001945F6" w:rsidRDefault="009612AA" w:rsidP="009612AA">
      <w:pPr>
        <w:pStyle w:val="LineBottom"/>
      </w:pPr>
    </w:p>
    <w:p w:rsidR="00363B94" w:rsidRPr="001945F6" w:rsidRDefault="0002190F">
      <w:pPr>
        <w:pStyle w:val="CoverReference"/>
      </w:pPr>
      <w:r>
        <w:rPr>
          <w:rStyle w:val="HideTWBExt"/>
        </w:rPr>
        <w:t>&lt;NoDocSe&gt;</w:t>
      </w:r>
      <w:r>
        <w:t>A9</w:t>
      </w:r>
      <w:r>
        <w:noBreakHyphen/>
        <w:t>0147/2024</w:t>
      </w:r>
      <w:r>
        <w:rPr>
          <w:rStyle w:val="HideTWBExt"/>
        </w:rPr>
        <w:t>&lt;/NoDocSe&gt;</w:t>
      </w:r>
    </w:p>
    <w:p w:rsidR="00363B94" w:rsidRPr="001945F6" w:rsidRDefault="00363B94">
      <w:pPr>
        <w:pStyle w:val="CoverDate"/>
      </w:pPr>
      <w:r>
        <w:rPr>
          <w:rStyle w:val="HideTWBExt"/>
        </w:rPr>
        <w:t>&lt;Date&gt;</w:t>
      </w:r>
      <w:r>
        <w:rPr>
          <w:rStyle w:val="HideTWBInt"/>
        </w:rPr>
        <w:t>{22/03/2024}</w:t>
      </w:r>
      <w:r>
        <w:t>22.3.2024</w:t>
      </w:r>
      <w:r>
        <w:rPr>
          <w:rStyle w:val="HideTWBExt"/>
        </w:rPr>
        <w:t>&lt;/Date&gt;</w:t>
      </w:r>
    </w:p>
    <w:p w:rsidR="00363B94" w:rsidRPr="001945F6" w:rsidRDefault="00363B94">
      <w:pPr>
        <w:pStyle w:val="CoverDocType"/>
      </w:pPr>
      <w:r>
        <w:rPr>
          <w:rStyle w:val="HideTWBExt"/>
          <w:b w:val="0"/>
        </w:rPr>
        <w:t>&lt;RefProcLect&gt;</w:t>
      </w:r>
      <w:r>
        <w:t>***</w:t>
      </w:r>
      <w:r>
        <w:rPr>
          <w:rStyle w:val="HideTWBExt"/>
          <w:b w:val="0"/>
        </w:rPr>
        <w:t>&lt;/RefProcLect&gt;</w:t>
      </w:r>
    </w:p>
    <w:p w:rsidR="00363B94" w:rsidRPr="001945F6" w:rsidRDefault="00363B94">
      <w:pPr>
        <w:pStyle w:val="CoverDocType24a"/>
      </w:pPr>
      <w:r>
        <w:rPr>
          <w:rStyle w:val="HideTWBExt"/>
          <w:b w:val="0"/>
        </w:rPr>
        <w:t>&lt;TitreType&gt;</w:t>
      </w:r>
      <w:r>
        <w:t>RECOMMANDATION</w:t>
      </w:r>
      <w:r>
        <w:rPr>
          <w:rStyle w:val="HideTWBExt"/>
          <w:b w:val="0"/>
        </w:rPr>
        <w:t>&lt;/TitreType&gt;</w:t>
      </w:r>
    </w:p>
    <w:p w:rsidR="00363B94" w:rsidRPr="001945F6" w:rsidRDefault="00363B94">
      <w:pPr>
        <w:pStyle w:val="CoverNormal"/>
      </w:pPr>
      <w:r>
        <w:rPr>
          <w:rStyle w:val="HideTWBExt"/>
        </w:rPr>
        <w:t>&lt;Titre&gt;</w:t>
      </w:r>
      <w:r>
        <w:t>sur la proposition de décision du Conseil relative à la conclusion, au nom de l’Union européenne, de l’accord de partenariat entre l’Union européenne et ses États membres, d’une part, et les membres de l’Organisation des États d’Afrique, des Caraïbes et du Pacifique, d’autre part</w:t>
      </w:r>
      <w:r>
        <w:rPr>
          <w:rStyle w:val="HideTWBExt"/>
        </w:rPr>
        <w:t>&lt;/Titre&gt;</w:t>
      </w:r>
    </w:p>
    <w:p w:rsidR="00363B94" w:rsidRPr="001945F6" w:rsidRDefault="00363B94">
      <w:pPr>
        <w:pStyle w:val="CoverNormal24a"/>
      </w:pPr>
      <w:r>
        <w:rPr>
          <w:rStyle w:val="HideTWBExt"/>
        </w:rPr>
        <w:t>&lt;DocRef&gt;</w:t>
      </w:r>
      <w:r>
        <w:t>(COM(2023)0791 – C9</w:t>
      </w:r>
      <w:r>
        <w:noBreakHyphen/>
        <w:t>0029/2024 – 2023/0464(NLE))</w:t>
      </w:r>
      <w:r>
        <w:rPr>
          <w:rStyle w:val="HideTWBExt"/>
        </w:rPr>
        <w:t>&lt;/DocRef&gt;</w:t>
      </w:r>
    </w:p>
    <w:p w:rsidR="00363B94" w:rsidRPr="001945F6" w:rsidRDefault="00363B94">
      <w:pPr>
        <w:pStyle w:val="CoverNormal24a"/>
      </w:pPr>
      <w:r>
        <w:rPr>
          <w:rStyle w:val="HideTWBExt"/>
        </w:rPr>
        <w:t>&lt;Commission&gt;</w:t>
      </w:r>
      <w:r>
        <w:rPr>
          <w:rStyle w:val="HideTWBInt"/>
        </w:rPr>
        <w:t>{DEVE}</w:t>
      </w:r>
      <w:r>
        <w:t>Commission du développement</w:t>
      </w:r>
      <w:r>
        <w:rPr>
          <w:rStyle w:val="HideTWBExt"/>
        </w:rPr>
        <w:t>&lt;/Commission&gt;</w:t>
      </w:r>
    </w:p>
    <w:p w:rsidR="00363B94" w:rsidRPr="001945F6" w:rsidRDefault="005D046D">
      <w:pPr>
        <w:pStyle w:val="CoverNormal24a"/>
      </w:pPr>
      <w:r>
        <w:t xml:space="preserve">Rapporteur: </w:t>
      </w:r>
      <w:r>
        <w:rPr>
          <w:rStyle w:val="HideTWBExt"/>
        </w:rPr>
        <w:t>&lt;Depute&gt;</w:t>
      </w:r>
      <w:r>
        <w:t>Tomas Tobé</w:t>
      </w:r>
      <w:r>
        <w:rPr>
          <w:rStyle w:val="HideTWBExt"/>
        </w:rPr>
        <w:t>&lt;/Depute&gt;</w:t>
      </w:r>
    </w:p>
    <w:p w:rsidR="00B42885" w:rsidRPr="001945F6" w:rsidRDefault="00B42885" w:rsidP="00B42885">
      <w:pPr>
        <w:pStyle w:val="CoverNormal"/>
      </w:pPr>
    </w:p>
    <w:p w:rsidR="005D046D" w:rsidRPr="001945F6" w:rsidRDefault="00363B94" w:rsidP="00016E55">
      <w:r>
        <w:br w:type="page"/>
      </w:r>
      <w:fldSimple w:instr=" TITLE  \* MERGEFORMAT ">
        <w:r w:rsidR="007D4463">
          <w:t>PR_NLE-AP_Agreement</w:t>
        </w:r>
      </w:fldSimple>
    </w:p>
    <w:p w:rsidR="005D046D" w:rsidRPr="001945F6" w:rsidRDefault="005D046D" w:rsidP="00016E55"/>
    <w:p w:rsidR="005D046D" w:rsidRPr="001945F6" w:rsidRDefault="005D046D"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D046D" w:rsidRPr="001945F6">
        <w:tc>
          <w:tcPr>
            <w:tcW w:w="5811" w:type="dxa"/>
          </w:tcPr>
          <w:p w:rsidR="005D046D" w:rsidRPr="001945F6" w:rsidRDefault="005D046D" w:rsidP="00016E55">
            <w:pPr>
              <w:pStyle w:val="Lgendetitre"/>
            </w:pPr>
            <w:r>
              <w:t>Légende des signes utilisés</w:t>
            </w:r>
          </w:p>
        </w:tc>
      </w:tr>
      <w:tr w:rsidR="005D046D" w:rsidRPr="001945F6" w:rsidTr="007948A1">
        <w:trPr>
          <w:cantSplit/>
          <w:trHeight w:val="1944"/>
        </w:trPr>
        <w:tc>
          <w:tcPr>
            <w:tcW w:w="5811" w:type="dxa"/>
            <w:tcBorders>
              <w:bottom w:val="single" w:sz="4" w:space="0" w:color="auto"/>
            </w:tcBorders>
          </w:tcPr>
          <w:p w:rsidR="005D046D" w:rsidRPr="001945F6" w:rsidRDefault="005D046D" w:rsidP="00016E55">
            <w:pPr>
              <w:pStyle w:val="Lgendesigne"/>
            </w:pPr>
            <w:r>
              <w:tab/>
              <w:t>*</w:t>
            </w:r>
            <w:r>
              <w:tab/>
              <w:t>Procédure de consultation</w:t>
            </w:r>
          </w:p>
          <w:p w:rsidR="005D046D" w:rsidRPr="001945F6" w:rsidRDefault="005D046D" w:rsidP="00016E55">
            <w:pPr>
              <w:pStyle w:val="Lgendesigne"/>
            </w:pPr>
            <w:r>
              <w:tab/>
              <w:t>***</w:t>
            </w:r>
            <w:r>
              <w:tab/>
              <w:t>Procédure d’approbation</w:t>
            </w:r>
          </w:p>
          <w:p w:rsidR="005D046D" w:rsidRPr="001945F6" w:rsidRDefault="005D046D" w:rsidP="00016E55">
            <w:pPr>
              <w:pStyle w:val="Lgendesigne"/>
            </w:pPr>
            <w:r>
              <w:tab/>
              <w:t>***I</w:t>
            </w:r>
            <w:r>
              <w:tab/>
              <w:t>Procédure législative ordinaire (première lecture)</w:t>
            </w:r>
          </w:p>
          <w:p w:rsidR="005D046D" w:rsidRPr="001945F6" w:rsidRDefault="005D046D" w:rsidP="00016E55">
            <w:pPr>
              <w:pStyle w:val="Lgendesigne"/>
            </w:pPr>
            <w:r>
              <w:tab/>
              <w:t>***II</w:t>
            </w:r>
            <w:r>
              <w:tab/>
              <w:t>Procédure législative ordinaire (deuxième lecture)</w:t>
            </w:r>
          </w:p>
          <w:p w:rsidR="005D046D" w:rsidRPr="001945F6" w:rsidRDefault="005D046D" w:rsidP="00016E55">
            <w:pPr>
              <w:pStyle w:val="Lgendesigne"/>
            </w:pPr>
            <w:r>
              <w:tab/>
              <w:t>***III</w:t>
            </w:r>
            <w:r>
              <w:tab/>
              <w:t>Procédure législative ordinaire (troisième lecture)</w:t>
            </w:r>
          </w:p>
          <w:p w:rsidR="005D046D" w:rsidRPr="001945F6" w:rsidRDefault="005D046D" w:rsidP="00016E55">
            <w:pPr>
              <w:pStyle w:val="Lgendestandard"/>
            </w:pPr>
          </w:p>
          <w:p w:rsidR="005D046D" w:rsidRPr="001945F6" w:rsidRDefault="005D046D" w:rsidP="00016E55">
            <w:pPr>
              <w:pStyle w:val="Lgendestandard"/>
            </w:pPr>
            <w:r>
              <w:t>(La procédure indiquée est fondée sur la base juridique proposée par le projet d’acte.)</w:t>
            </w:r>
          </w:p>
          <w:p w:rsidR="005D046D" w:rsidRPr="001945F6" w:rsidRDefault="005D046D" w:rsidP="000F1972">
            <w:pPr>
              <w:pStyle w:val="Lgendestandard"/>
            </w:pPr>
          </w:p>
        </w:tc>
      </w:tr>
    </w:tbl>
    <w:p w:rsidR="005D046D" w:rsidRPr="001945F6" w:rsidRDefault="005D046D" w:rsidP="00016E55"/>
    <w:p w:rsidR="00363B94" w:rsidRPr="001945F6" w:rsidRDefault="00363B94" w:rsidP="00613F2E">
      <w:pPr>
        <w:widowControl/>
        <w:tabs>
          <w:tab w:val="center" w:pos="4677"/>
        </w:tabs>
      </w:pPr>
    </w:p>
    <w:p w:rsidR="00363B94" w:rsidRPr="001945F6" w:rsidRDefault="00363B94">
      <w:pPr>
        <w:pStyle w:val="TOCHeading"/>
      </w:pPr>
      <w:r>
        <w:br w:type="page"/>
      </w:r>
      <w:r>
        <w:lastRenderedPageBreak/>
        <w:t>SOMMAIRE</w:t>
      </w:r>
    </w:p>
    <w:p w:rsidR="00363B94" w:rsidRPr="001945F6" w:rsidRDefault="00514052">
      <w:pPr>
        <w:pStyle w:val="TOCPage"/>
      </w:pPr>
      <w:r>
        <w:t>Page</w:t>
      </w:r>
    </w:p>
    <w:p w:rsidR="007D4463" w:rsidRDefault="00EF48F2">
      <w:pPr>
        <w:pStyle w:val="TOC1"/>
        <w:tabs>
          <w:tab w:val="right" w:leader="dot" w:pos="9060"/>
        </w:tabs>
        <w:rPr>
          <w:rFonts w:asciiTheme="minorHAnsi" w:eastAsiaTheme="minorEastAsia" w:hAnsiTheme="minorHAnsi" w:cstheme="minorBidi"/>
          <w:noProof/>
          <w:sz w:val="22"/>
          <w:szCs w:val="22"/>
          <w:lang w:eastAsia="fr-FR"/>
        </w:rPr>
      </w:pPr>
      <w:r w:rsidRPr="001945F6">
        <w:fldChar w:fldCharType="begin"/>
      </w:r>
      <w:r w:rsidRPr="001945F6">
        <w:instrText xml:space="preserve"> TOC \t "PageHeading</w:instrText>
      </w:r>
      <w:r w:rsidR="0002190F" w:rsidRPr="001945F6">
        <w:instrText>;</w:instrText>
      </w:r>
      <w:r w:rsidRPr="001945F6">
        <w:instrText xml:space="preserve">1" </w:instrText>
      </w:r>
      <w:r w:rsidRPr="001945F6">
        <w:fldChar w:fldCharType="separate"/>
      </w:r>
      <w:r w:rsidR="007D4463">
        <w:rPr>
          <w:noProof/>
        </w:rPr>
        <w:t>PROJET DE RÉSOLUTION LÉGISLATIVE DU PARLEMENT EUROPÉEN</w:t>
      </w:r>
      <w:r w:rsidR="007D4463">
        <w:rPr>
          <w:noProof/>
        </w:rPr>
        <w:tab/>
      </w:r>
      <w:r w:rsidR="007D4463">
        <w:rPr>
          <w:noProof/>
        </w:rPr>
        <w:fldChar w:fldCharType="begin"/>
      </w:r>
      <w:r w:rsidR="007D4463">
        <w:rPr>
          <w:noProof/>
        </w:rPr>
        <w:instrText xml:space="preserve"> PAGEREF _Toc162348816 \h </w:instrText>
      </w:r>
      <w:r w:rsidR="007D4463">
        <w:rPr>
          <w:noProof/>
        </w:rPr>
      </w:r>
      <w:r w:rsidR="007D4463">
        <w:rPr>
          <w:noProof/>
        </w:rPr>
        <w:fldChar w:fldCharType="separate"/>
      </w:r>
      <w:r w:rsidR="007D4463">
        <w:rPr>
          <w:noProof/>
        </w:rPr>
        <w:t>5</w:t>
      </w:r>
      <w:r w:rsidR="007D4463">
        <w:rPr>
          <w:noProof/>
        </w:rPr>
        <w:fldChar w:fldCharType="end"/>
      </w:r>
    </w:p>
    <w:p w:rsidR="007D4463" w:rsidRDefault="007D4463">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_Toc162348817 \h </w:instrText>
      </w:r>
      <w:r>
        <w:rPr>
          <w:noProof/>
        </w:rPr>
      </w:r>
      <w:r>
        <w:rPr>
          <w:noProof/>
        </w:rPr>
        <w:fldChar w:fldCharType="separate"/>
      </w:r>
      <w:r>
        <w:rPr>
          <w:noProof/>
        </w:rPr>
        <w:t>6</w:t>
      </w:r>
      <w:r>
        <w:rPr>
          <w:noProof/>
        </w:rPr>
        <w:fldChar w:fldCharType="end"/>
      </w:r>
    </w:p>
    <w:p w:rsidR="007D4463" w:rsidRDefault="007D4463">
      <w:pPr>
        <w:pStyle w:val="TOC1"/>
        <w:tabs>
          <w:tab w:val="right" w:leader="dot" w:pos="9060"/>
        </w:tabs>
        <w:rPr>
          <w:rFonts w:asciiTheme="minorHAnsi" w:eastAsiaTheme="minorEastAsia" w:hAnsiTheme="minorHAnsi" w:cstheme="minorBidi"/>
          <w:noProof/>
          <w:sz w:val="22"/>
          <w:szCs w:val="22"/>
          <w:lang w:eastAsia="fr-FR"/>
        </w:rPr>
      </w:pPr>
      <w:r>
        <w:rPr>
          <w:noProof/>
        </w:rPr>
        <w:t>ANNEXE: ENTITÉS OU PERSONNES DONT LE RAPPORTEURE A REÇU DES CONTRIBUTIONS</w:t>
      </w:r>
      <w:r>
        <w:rPr>
          <w:noProof/>
        </w:rPr>
        <w:tab/>
      </w:r>
      <w:r>
        <w:rPr>
          <w:noProof/>
        </w:rPr>
        <w:fldChar w:fldCharType="begin"/>
      </w:r>
      <w:r>
        <w:rPr>
          <w:noProof/>
        </w:rPr>
        <w:instrText xml:space="preserve"> PAGEREF _Toc162348818 \h </w:instrText>
      </w:r>
      <w:r>
        <w:rPr>
          <w:noProof/>
        </w:rPr>
      </w:r>
      <w:r>
        <w:rPr>
          <w:noProof/>
        </w:rPr>
        <w:fldChar w:fldCharType="separate"/>
      </w:r>
      <w:r>
        <w:rPr>
          <w:noProof/>
        </w:rPr>
        <w:t>8</w:t>
      </w:r>
      <w:r>
        <w:rPr>
          <w:noProof/>
        </w:rPr>
        <w:fldChar w:fldCharType="end"/>
      </w:r>
    </w:p>
    <w:p w:rsidR="007D4463" w:rsidRDefault="007D4463">
      <w:pPr>
        <w:pStyle w:val="TOC1"/>
        <w:tabs>
          <w:tab w:val="right" w:leader="dot" w:pos="9060"/>
        </w:tabs>
        <w:rPr>
          <w:rFonts w:asciiTheme="minorHAnsi" w:eastAsiaTheme="minorEastAsia" w:hAnsiTheme="minorHAnsi" w:cstheme="minorBidi"/>
          <w:noProof/>
          <w:sz w:val="22"/>
          <w:szCs w:val="22"/>
          <w:lang w:eastAsia="fr-FR"/>
        </w:rPr>
      </w:pPr>
      <w:r>
        <w:rPr>
          <w:noProof/>
        </w:rPr>
        <w:t>AVIS DE LA COMMISSION DU COMMERCE INTERNATIONAL</w:t>
      </w:r>
      <w:r>
        <w:rPr>
          <w:noProof/>
        </w:rPr>
        <w:tab/>
      </w:r>
      <w:r>
        <w:rPr>
          <w:noProof/>
        </w:rPr>
        <w:fldChar w:fldCharType="begin"/>
      </w:r>
      <w:r>
        <w:rPr>
          <w:noProof/>
        </w:rPr>
        <w:instrText xml:space="preserve"> PAGEREF _Toc162348819 \h </w:instrText>
      </w:r>
      <w:r>
        <w:rPr>
          <w:noProof/>
        </w:rPr>
      </w:r>
      <w:r>
        <w:rPr>
          <w:noProof/>
        </w:rPr>
        <w:fldChar w:fldCharType="separate"/>
      </w:r>
      <w:r>
        <w:rPr>
          <w:noProof/>
        </w:rPr>
        <w:t>9</w:t>
      </w:r>
      <w:r>
        <w:rPr>
          <w:noProof/>
        </w:rPr>
        <w:fldChar w:fldCharType="end"/>
      </w:r>
    </w:p>
    <w:p w:rsidR="007D4463" w:rsidRDefault="007D4463">
      <w:pPr>
        <w:pStyle w:val="TOC1"/>
        <w:tabs>
          <w:tab w:val="right" w:leader="dot" w:pos="9060"/>
        </w:tabs>
        <w:rPr>
          <w:rFonts w:asciiTheme="minorHAnsi" w:eastAsiaTheme="minorEastAsia" w:hAnsiTheme="minorHAnsi" w:cstheme="minorBidi"/>
          <w:noProof/>
          <w:sz w:val="22"/>
          <w:szCs w:val="22"/>
          <w:lang w:eastAsia="fr-FR"/>
        </w:rPr>
      </w:pPr>
      <w:r>
        <w:rPr>
          <w:noProof/>
        </w:rPr>
        <w:t>LETTRE DE LA COMMISSION DES AFFAIRES ÉTRANGÈRES</w:t>
      </w:r>
      <w:r>
        <w:rPr>
          <w:noProof/>
        </w:rPr>
        <w:tab/>
      </w:r>
      <w:r>
        <w:rPr>
          <w:noProof/>
        </w:rPr>
        <w:fldChar w:fldCharType="begin"/>
      </w:r>
      <w:r>
        <w:rPr>
          <w:noProof/>
        </w:rPr>
        <w:instrText xml:space="preserve"> PAGEREF _Toc162348820 \h </w:instrText>
      </w:r>
      <w:r>
        <w:rPr>
          <w:noProof/>
        </w:rPr>
      </w:r>
      <w:r>
        <w:rPr>
          <w:noProof/>
        </w:rPr>
        <w:fldChar w:fldCharType="separate"/>
      </w:r>
      <w:r>
        <w:rPr>
          <w:noProof/>
        </w:rPr>
        <w:t>14</w:t>
      </w:r>
      <w:r>
        <w:rPr>
          <w:noProof/>
        </w:rPr>
        <w:fldChar w:fldCharType="end"/>
      </w:r>
    </w:p>
    <w:p w:rsidR="007D4463" w:rsidRDefault="007D4463">
      <w:pPr>
        <w:pStyle w:val="TOC1"/>
        <w:tabs>
          <w:tab w:val="right" w:leader="dot" w:pos="9060"/>
        </w:tabs>
        <w:rPr>
          <w:rFonts w:asciiTheme="minorHAnsi" w:eastAsiaTheme="minorEastAsia" w:hAnsiTheme="minorHAnsi" w:cstheme="minorBidi"/>
          <w:noProof/>
          <w:sz w:val="22"/>
          <w:szCs w:val="22"/>
          <w:lang w:eastAsia="fr-FR"/>
        </w:rPr>
      </w:pPr>
      <w:r>
        <w:rPr>
          <w:noProof/>
        </w:rPr>
        <w:t>PROCÉDURE DE LA COMMISSION COMPÉTENTE AU FOND</w:t>
      </w:r>
      <w:r>
        <w:rPr>
          <w:noProof/>
        </w:rPr>
        <w:tab/>
      </w:r>
      <w:r>
        <w:rPr>
          <w:noProof/>
        </w:rPr>
        <w:fldChar w:fldCharType="begin"/>
      </w:r>
      <w:r>
        <w:rPr>
          <w:noProof/>
        </w:rPr>
        <w:instrText xml:space="preserve"> PAGEREF _Toc162348821 \h </w:instrText>
      </w:r>
      <w:r>
        <w:rPr>
          <w:noProof/>
        </w:rPr>
      </w:r>
      <w:r>
        <w:rPr>
          <w:noProof/>
        </w:rPr>
        <w:fldChar w:fldCharType="separate"/>
      </w:r>
      <w:r>
        <w:rPr>
          <w:noProof/>
        </w:rPr>
        <w:t>16</w:t>
      </w:r>
      <w:r>
        <w:rPr>
          <w:noProof/>
        </w:rPr>
        <w:fldChar w:fldCharType="end"/>
      </w:r>
    </w:p>
    <w:p w:rsidR="007D4463" w:rsidRDefault="007D4463">
      <w:pPr>
        <w:pStyle w:val="TOC1"/>
        <w:tabs>
          <w:tab w:val="right" w:leader="dot" w:pos="9060"/>
        </w:tabs>
        <w:rPr>
          <w:rFonts w:asciiTheme="minorHAnsi" w:eastAsiaTheme="minorEastAsia" w:hAnsiTheme="minorHAnsi" w:cstheme="minorBidi"/>
          <w:noProof/>
          <w:sz w:val="22"/>
          <w:szCs w:val="22"/>
          <w:lang w:eastAsia="fr-FR"/>
        </w:rPr>
      </w:pPr>
      <w:r>
        <w:rPr>
          <w:noProof/>
        </w:rPr>
        <w:t>VOTE FINAL PAR APPEL NOMINAL EN COMMISSION COMPÉTENTE AU FOND</w:t>
      </w:r>
      <w:r>
        <w:rPr>
          <w:noProof/>
        </w:rPr>
        <w:tab/>
      </w:r>
      <w:r>
        <w:rPr>
          <w:noProof/>
        </w:rPr>
        <w:fldChar w:fldCharType="begin"/>
      </w:r>
      <w:r>
        <w:rPr>
          <w:noProof/>
        </w:rPr>
        <w:instrText xml:space="preserve"> PAGEREF _Toc162348822 \h </w:instrText>
      </w:r>
      <w:r>
        <w:rPr>
          <w:noProof/>
        </w:rPr>
      </w:r>
      <w:r>
        <w:rPr>
          <w:noProof/>
        </w:rPr>
        <w:fldChar w:fldCharType="separate"/>
      </w:r>
      <w:r>
        <w:rPr>
          <w:noProof/>
        </w:rPr>
        <w:t>17</w:t>
      </w:r>
      <w:r>
        <w:rPr>
          <w:noProof/>
        </w:rPr>
        <w:fldChar w:fldCharType="end"/>
      </w:r>
    </w:p>
    <w:p w:rsidR="004E1650" w:rsidRPr="001945F6" w:rsidRDefault="00EF48F2" w:rsidP="00F04010">
      <w:r w:rsidRPr="001945F6">
        <w:fldChar w:fldCharType="end"/>
      </w:r>
    </w:p>
    <w:p w:rsidR="00363B94" w:rsidRPr="001945F6" w:rsidRDefault="00363B94" w:rsidP="0006167F">
      <w:pPr>
        <w:pStyle w:val="PageHeading"/>
      </w:pPr>
      <w:r>
        <w:br w:type="page"/>
      </w:r>
      <w:r>
        <w:lastRenderedPageBreak/>
        <w:br w:type="page"/>
      </w:r>
      <w:bookmarkStart w:id="0" w:name="_Toc162348816"/>
      <w:r>
        <w:lastRenderedPageBreak/>
        <w:t>PROJET DE RÉSOLUTION LÉGISLATIVE DU PARLEMENT EUROPÉEN</w:t>
      </w:r>
      <w:bookmarkEnd w:id="0"/>
    </w:p>
    <w:p w:rsidR="005D046D" w:rsidRPr="001945F6" w:rsidRDefault="005D046D" w:rsidP="005D046D">
      <w:pPr>
        <w:pStyle w:val="NormalBold"/>
      </w:pPr>
      <w:r>
        <w:t>sur la proposition de décision du Conseil relative à la conclusion, au nom de l’Union européenne, de l’accord de partenariat entre l’Union européenne et ses États membres, d’une part, et les membres de l’Organisation des États d’Afrique, des Caraïbes et du Pacifique, d’autre part</w:t>
      </w:r>
    </w:p>
    <w:p w:rsidR="005D046D" w:rsidRPr="001945F6" w:rsidRDefault="005D046D" w:rsidP="005D046D">
      <w:pPr>
        <w:pStyle w:val="NormalBold12a"/>
      </w:pPr>
      <w:r>
        <w:t>(COM(2023)0791 – C9</w:t>
      </w:r>
      <w:r>
        <w:noBreakHyphen/>
        <w:t>0029/2024 – 2023/0464(NLE))</w:t>
      </w:r>
    </w:p>
    <w:p w:rsidR="00363B94" w:rsidRPr="001945F6" w:rsidRDefault="00514052" w:rsidP="00893FBD">
      <w:pPr>
        <w:pStyle w:val="NormalBold"/>
      </w:pPr>
      <w:r>
        <w:t>(Approbation)</w:t>
      </w:r>
    </w:p>
    <w:p w:rsidR="00363B94" w:rsidRPr="001945F6" w:rsidRDefault="00514052">
      <w:pPr>
        <w:pStyle w:val="EPComma"/>
      </w:pPr>
      <w:r>
        <w:rPr>
          <w:i/>
        </w:rPr>
        <w:t>Le Parlement euro</w:t>
      </w:r>
      <w:bookmarkStart w:id="1" w:name="_GoBack"/>
      <w:bookmarkEnd w:id="1"/>
      <w:r>
        <w:rPr>
          <w:i/>
        </w:rPr>
        <w:t>péen</w:t>
      </w:r>
      <w:r>
        <w:t>,</w:t>
      </w:r>
    </w:p>
    <w:p w:rsidR="001945F6" w:rsidRPr="001945F6" w:rsidRDefault="001945F6" w:rsidP="001945F6">
      <w:pPr>
        <w:pStyle w:val="EPComma"/>
        <w:ind w:left="567" w:hanging="567"/>
      </w:pPr>
      <w:r>
        <w:t>–</w:t>
      </w:r>
      <w:r>
        <w:tab/>
        <w:t>vu la proposition de décision du Conseil (COM(2023)0791),</w:t>
      </w:r>
    </w:p>
    <w:p w:rsidR="001945F6" w:rsidRPr="001945F6" w:rsidRDefault="001945F6" w:rsidP="001945F6">
      <w:pPr>
        <w:pStyle w:val="NormalHanging12a"/>
      </w:pPr>
      <w:r>
        <w:t>–</w:t>
      </w:r>
      <w:r>
        <w:tab/>
        <w:t>vu l’accord de partenariat entre l’Union européenne et ses États membres, d’une part, et les membres de l’Organisation des États d’Afrique, des Caraïbes et du Pacifique, d’autre part (08372/2023),</w:t>
      </w:r>
    </w:p>
    <w:p w:rsidR="001945F6" w:rsidRPr="001945F6" w:rsidRDefault="001945F6" w:rsidP="001945F6">
      <w:pPr>
        <w:pStyle w:val="NormalHanging12a"/>
      </w:pPr>
      <w:r>
        <w:t>–</w:t>
      </w:r>
      <w:r>
        <w:tab/>
        <w:t>vu la demande d’approbation présentée par le Conseil conformément à l’article 207, paragraphe 4, premier alinéa, et à l’article 218, paragraphe 6, deuxième alinéa, point a) v), du traité sur le fonctionnement de l’Union européenne (ci-après le «traité FUE») (C9</w:t>
      </w:r>
      <w:r>
        <w:noBreakHyphen/>
        <w:t>0029/2024),</w:t>
      </w:r>
    </w:p>
    <w:p w:rsidR="001945F6" w:rsidRPr="001945F6" w:rsidRDefault="001945F6" w:rsidP="001945F6">
      <w:pPr>
        <w:pStyle w:val="NormalHanging12a"/>
      </w:pPr>
      <w:r>
        <w:t>–</w:t>
      </w:r>
      <w:r>
        <w:tab/>
        <w:t>vu sa résolution non législative du (..) sur la proposition de décision du Conseil relative à la conclusion, au nom de l’Union européenne, de l’accord de partenariat entre l’Union européenne et ses États membres, d’une part, et les membres de l’Organisation des États d’Afrique, des Caraïbes et du Pacifique, d’autre part,</w:t>
      </w:r>
    </w:p>
    <w:p w:rsidR="001945F6" w:rsidRPr="001945F6" w:rsidRDefault="001945F6" w:rsidP="001945F6">
      <w:pPr>
        <w:pStyle w:val="NormalHanging12a"/>
      </w:pPr>
      <w:r>
        <w:t>–</w:t>
      </w:r>
      <w:r>
        <w:tab/>
        <w:t>vu l’article 105, paragraphes 1 et 4, ainsi que l’article 114, paragraphe 7, de son règlement intérieur,</w:t>
      </w:r>
    </w:p>
    <w:p w:rsidR="001945F6" w:rsidRPr="001945F6" w:rsidRDefault="001945F6" w:rsidP="001945F6">
      <w:pPr>
        <w:pStyle w:val="NormalHanging12a"/>
        <w:rPr>
          <w:szCs w:val="24"/>
        </w:rPr>
      </w:pPr>
      <w:r>
        <w:t>–</w:t>
      </w:r>
      <w:r>
        <w:tab/>
        <w:t>vu l’avis de la commission du commerce international,</w:t>
      </w:r>
    </w:p>
    <w:p w:rsidR="001945F6" w:rsidRPr="001945F6" w:rsidRDefault="001945F6" w:rsidP="001945F6">
      <w:pPr>
        <w:pStyle w:val="NormalHanging12a"/>
      </w:pPr>
      <w:r>
        <w:t>–</w:t>
      </w:r>
      <w:r>
        <w:tab/>
        <w:t>vu la lettre de la commission des affaires étrangères,</w:t>
      </w:r>
    </w:p>
    <w:p w:rsidR="001945F6" w:rsidRPr="001945F6" w:rsidRDefault="001945F6" w:rsidP="001945F6">
      <w:pPr>
        <w:pStyle w:val="NormalHanging12a"/>
      </w:pPr>
      <w:r>
        <w:t>–</w:t>
      </w:r>
      <w:r>
        <w:tab/>
        <w:t>vu la recommandation de la commission du développement (A9-0147/2024),</w:t>
      </w:r>
    </w:p>
    <w:p w:rsidR="001945F6" w:rsidRPr="001945F6" w:rsidRDefault="001945F6" w:rsidP="001945F6">
      <w:pPr>
        <w:pStyle w:val="NormalHanging12a"/>
      </w:pPr>
      <w:r>
        <w:t>1.</w:t>
      </w:r>
      <w:r>
        <w:tab/>
        <w:t>donne son approbation à la conclusion de l’accord;</w:t>
      </w:r>
    </w:p>
    <w:p w:rsidR="001945F6" w:rsidRPr="001945F6" w:rsidRDefault="001945F6" w:rsidP="001945F6">
      <w:pPr>
        <w:pStyle w:val="NormalHanging12a"/>
      </w:pPr>
      <w:r>
        <w:t>2.</w:t>
      </w:r>
      <w:r>
        <w:tab/>
        <w:t>charge sa Présidente de transmettre la position du Parlement au Conseil et à la Commission, ainsi qu’aux gouvernements et aux parlements des États membres et des membres de l’Organisation des États d’Afrique, des Caraïbes et du Pacifique.</w:t>
      </w:r>
    </w:p>
    <w:p w:rsidR="005D046D" w:rsidRPr="001945F6" w:rsidRDefault="005D046D" w:rsidP="005D046D">
      <w:pPr>
        <w:widowControl/>
      </w:pPr>
      <w:r>
        <w:br w:type="page"/>
      </w:r>
    </w:p>
    <w:p w:rsidR="005D046D" w:rsidRPr="001945F6" w:rsidRDefault="005D046D" w:rsidP="005D046D">
      <w:pPr>
        <w:pStyle w:val="PageHeading"/>
      </w:pPr>
      <w:bookmarkStart w:id="2" w:name="_Toc162348817"/>
      <w:r>
        <w:lastRenderedPageBreak/>
        <w:t>EXPOSÉ DES MOTIFS</w:t>
      </w:r>
      <w:bookmarkEnd w:id="2"/>
    </w:p>
    <w:p w:rsidR="001945F6" w:rsidRPr="001945F6" w:rsidRDefault="001945F6" w:rsidP="001945F6">
      <w:pPr>
        <w:pStyle w:val="EPComma"/>
        <w:spacing w:before="0" w:after="0"/>
      </w:pPr>
      <w:r>
        <w:t>Signé en 2000 pour une période de 20 ans, l’accord de Cotonou, qui régit les relations entre l’Union et les pays d’Afrique, des Caraïbes et du Pacifique (ACP) de l’époque, devait expirer en février 2020.  Si les négociations relatives à un accord destiné à lui succéder ont pris fin en décembre 2020, la signature de l’accord n’a eu lieu que le 15 novembre 2023 au Samoa en raison de retards répétés.</w:t>
      </w:r>
    </w:p>
    <w:p w:rsidR="001945F6" w:rsidRPr="001945F6" w:rsidRDefault="001945F6" w:rsidP="001945F6">
      <w:pPr>
        <w:pStyle w:val="EPComma"/>
        <w:spacing w:before="0" w:after="0"/>
      </w:pPr>
    </w:p>
    <w:p w:rsidR="001945F6" w:rsidRPr="001945F6" w:rsidRDefault="001945F6" w:rsidP="001945F6">
      <w:pPr>
        <w:pStyle w:val="EPComma"/>
        <w:spacing w:before="0" w:after="0"/>
      </w:pPr>
      <w:r>
        <w:t>L’accord de Samoa est entré en vigueur à titre provisoire en janvier 2024, ce dont il faut se féliciter, étant donné que le nouvel accord prévoit un cadre de coopération renforcé, modernisé et plus ambitieux qui va au-delà de la coopération au développement traditionnelle. Le nouvel accord se fonde sur un acquis important et établit un cadre flexible, articulé autour d’un socle commun applicable à toutes les parties et de protocoles régionaux sur mesure pour l’Afrique, les Caraïbes et le Pacifique respectivement. En outre, le nouveau partenariat s’appuie sur plusieurs accords internationaux et fait référence au programme de développement durable à l’horizon 2030 des Nations unies et à l’accord de Paris sur le changement climatique comme des cadres d’orientation généraux.</w:t>
      </w:r>
    </w:p>
    <w:p w:rsidR="001945F6" w:rsidRPr="001945F6" w:rsidRDefault="001945F6" w:rsidP="001945F6">
      <w:pPr>
        <w:pStyle w:val="EPComma"/>
        <w:spacing w:before="0" w:after="0"/>
      </w:pPr>
    </w:p>
    <w:p w:rsidR="001945F6" w:rsidRPr="001945F6" w:rsidRDefault="001945F6" w:rsidP="001945F6">
      <w:pPr>
        <w:pStyle w:val="EPComma"/>
        <w:spacing w:before="0" w:after="0"/>
      </w:pPr>
      <w:r>
        <w:t>L’accord de Samoa repose sur six priorités communes: droits de l’homme, démocratie et gouvernance; développement humain et social; croissance et développement économiques inclusifs et durables; durabilité environnementale et changement climatique; migrations et mobilité. Le nouvel accord de partenariat offre un espace de dialogue renforcé et le rapporteur accueille favorablement les dispositions relatives aux alliances mondiales et à la coopération internationale, les parties soulignant leur attachement à l’ordre international fondé sur des règles, à la promotion du dialogue international et à la recherche de solutions multilatérales pour faire avancer l’action mondiale.</w:t>
      </w:r>
    </w:p>
    <w:p w:rsidR="001945F6" w:rsidRPr="001945F6" w:rsidRDefault="001945F6" w:rsidP="001945F6">
      <w:pPr>
        <w:pStyle w:val="EPComma"/>
        <w:spacing w:before="0" w:after="0"/>
      </w:pPr>
    </w:p>
    <w:p w:rsidR="001945F6" w:rsidRPr="001945F6" w:rsidRDefault="001945F6" w:rsidP="001945F6">
      <w:pPr>
        <w:pStyle w:val="EPComma"/>
        <w:spacing w:before="0" w:after="0"/>
      </w:pPr>
      <w:r>
        <w:t>Le rapporteur souligne qu’il importe de garantir l’efficacité du développement et ses résultats. Il se félicite en outre que l’accord reconnaisse que les moyens de coopération devraient être diversifiés et englober toute une série de politiques et d’instruments, provenant de tous les acteurs et sources disponibles. Toutefois, la mise en œuvre de l’accord doit être soutenue par un budget substantiel au titre de l’instrument IVCDCI – Europe dans le monde, et des efforts doivent être déployés pour maintenir le niveau de soutien aux partenaires ACP dans les années à venir.</w:t>
      </w:r>
    </w:p>
    <w:p w:rsidR="001945F6" w:rsidRPr="001945F6" w:rsidRDefault="001945F6" w:rsidP="001945F6">
      <w:pPr>
        <w:pStyle w:val="EPComma"/>
        <w:spacing w:before="0" w:after="0"/>
      </w:pPr>
    </w:p>
    <w:p w:rsidR="001945F6" w:rsidRPr="001945F6" w:rsidRDefault="001945F6" w:rsidP="001945F6">
      <w:pPr>
        <w:pStyle w:val="EPComma"/>
        <w:spacing w:before="0" w:after="0"/>
      </w:pPr>
      <w:r>
        <w:t>Il s’agit également de garantir des liens étroits entre l’accord de Samoa et l’initiative «Global Gateway», lancée en décembre 2021. Compte tenu de l’ampleur des besoins et du niveau d’investissement requis pour réaliser le Programme à l’horizon 2030, le rapporteur estime qu’il est essentiel de mobiliser d’autres formes de financement du développement, qui doivent être alignées sur les objectifs stratégiques de développement.</w:t>
      </w:r>
    </w:p>
    <w:p w:rsidR="001945F6" w:rsidRPr="001945F6" w:rsidRDefault="001945F6" w:rsidP="001945F6">
      <w:pPr>
        <w:pStyle w:val="EPComma"/>
        <w:spacing w:before="0" w:after="0"/>
      </w:pPr>
    </w:p>
    <w:p w:rsidR="001945F6" w:rsidRPr="001945F6" w:rsidRDefault="001945F6" w:rsidP="001945F6">
      <w:pPr>
        <w:pStyle w:val="EPComma"/>
        <w:spacing w:before="0" w:after="0"/>
      </w:pPr>
      <w:r>
        <w:t>Le rapporteur insiste sur l’importance de la diplomatie parlementaire pour ce qui est de renforcer le dialogue politique entre l’Union et l’OEACP. La responsabilité démocratique doit être garantie à tous les niveaux de l’accord. L’Assemblée parlementaire paritaire OEACP-UE et les trois nouvelles assemblées régionales jouent un rôle important à cet égard.</w:t>
      </w:r>
    </w:p>
    <w:p w:rsidR="001945F6" w:rsidRPr="001945F6" w:rsidRDefault="001945F6" w:rsidP="001945F6">
      <w:pPr>
        <w:pStyle w:val="EPComma"/>
        <w:spacing w:before="0" w:after="0"/>
      </w:pPr>
    </w:p>
    <w:p w:rsidR="001945F6" w:rsidRPr="001945F6" w:rsidRDefault="001945F6" w:rsidP="001945F6">
      <w:pPr>
        <w:pStyle w:val="EPComma"/>
        <w:spacing w:before="0" w:after="0"/>
      </w:pPr>
      <w:r>
        <w:t xml:space="preserve">L’accord de Samoa reconnaît que le dialogue avec les parties prenantes, notamment les autorités locales, la société civile et les représentants du secteur privé, fait partie intégrante </w:t>
      </w:r>
      <w:r>
        <w:lastRenderedPageBreak/>
        <w:t>d’une prise de décision en connaissance de cause et de la promotion des objectifs de ce partenariat. Le rapporteur demande donc la mise en place rapide d’un mécanisme ouvert et transparent de coopération structurée afin de garantir la participation effective des parties prenantes pendant la phase de mise en œuvre de l’accord.</w:t>
      </w:r>
    </w:p>
    <w:p w:rsidR="001945F6" w:rsidRPr="001945F6" w:rsidRDefault="001945F6" w:rsidP="001945F6">
      <w:pPr>
        <w:pStyle w:val="EPComma"/>
        <w:spacing w:before="0" w:after="0"/>
      </w:pPr>
    </w:p>
    <w:p w:rsidR="001945F6" w:rsidRPr="001945F6" w:rsidRDefault="001945F6" w:rsidP="001945F6">
      <w:pPr>
        <w:pStyle w:val="EPComma"/>
        <w:spacing w:before="0" w:after="0"/>
      </w:pPr>
      <w:r>
        <w:t>L’article 218, paragraphe 6, du traité FUE requiert l’approbation du Parlement européen pour que le Conseil puisse adopter une décision relative à la conclusion de l’accord.</w:t>
      </w:r>
    </w:p>
    <w:p w:rsidR="001945F6" w:rsidRPr="001945F6" w:rsidRDefault="001945F6" w:rsidP="001945F6">
      <w:pPr>
        <w:pStyle w:val="EPComma"/>
        <w:spacing w:before="0" w:after="0"/>
      </w:pPr>
    </w:p>
    <w:p w:rsidR="001945F6" w:rsidRPr="001945F6" w:rsidRDefault="001945F6" w:rsidP="001945F6">
      <w:pPr>
        <w:pStyle w:val="EPComma"/>
        <w:spacing w:before="0" w:after="0"/>
      </w:pPr>
      <w:r>
        <w:t>À la lumière des remarques précédentes, le rapporteur recommande au Parlement de donner son approbation à la conclusion de l’accord.</w:t>
      </w:r>
    </w:p>
    <w:p w:rsidR="001945F6" w:rsidRPr="001945F6" w:rsidRDefault="001945F6" w:rsidP="001945F6">
      <w:pPr>
        <w:pStyle w:val="EPComma"/>
        <w:spacing w:before="0" w:after="0"/>
        <w:sectPr w:rsidR="001945F6" w:rsidRPr="001945F6" w:rsidSect="001945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1945F6" w:rsidRPr="001945F6" w:rsidRDefault="001945F6" w:rsidP="001945F6">
      <w:pPr>
        <w:pStyle w:val="PageHeading"/>
        <w:rPr>
          <w:noProof/>
        </w:rPr>
      </w:pPr>
      <w:bookmarkStart w:id="3" w:name="_Toc161915897"/>
      <w:bookmarkStart w:id="4" w:name="_Toc162003938"/>
      <w:bookmarkStart w:id="5" w:name="FootprintPageRR"/>
      <w:bookmarkStart w:id="6" w:name="_Toc162348818"/>
      <w:r>
        <w:lastRenderedPageBreak/>
        <w:t>ANNEXE: ENTITÉS OU PERSONNES</w:t>
      </w:r>
      <w:r>
        <w:br/>
        <w:t>DONT LE RAPPORTEURE A REÇU DES CONTRIBUTIONS</w:t>
      </w:r>
      <w:bookmarkEnd w:id="3"/>
      <w:bookmarkEnd w:id="4"/>
      <w:bookmarkEnd w:id="6"/>
    </w:p>
    <w:p w:rsidR="001945F6" w:rsidRPr="001945F6" w:rsidRDefault="001945F6" w:rsidP="001945F6">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945F6" w:rsidRPr="001945F6" w:rsidTr="00D72DB4">
        <w:tc>
          <w:tcPr>
            <w:tcW w:w="9060" w:type="dxa"/>
            <w:shd w:val="clear" w:color="auto" w:fill="auto"/>
          </w:tcPr>
          <w:p w:rsidR="001945F6" w:rsidRPr="001945F6" w:rsidRDefault="001945F6" w:rsidP="00D72DB4">
            <w:pPr>
              <w:pStyle w:val="NormalBoldCenter"/>
            </w:pPr>
            <w:r>
              <w:t>Entité et/ou personne</w:t>
            </w:r>
          </w:p>
        </w:tc>
      </w:tr>
      <w:tr w:rsidR="001945F6" w:rsidRPr="001945F6" w:rsidTr="00D72DB4">
        <w:tc>
          <w:tcPr>
            <w:tcW w:w="9060" w:type="dxa"/>
            <w:shd w:val="clear" w:color="auto" w:fill="auto"/>
          </w:tcPr>
          <w:p w:rsidR="001945F6" w:rsidRPr="001945F6" w:rsidRDefault="001945F6" w:rsidP="00D72DB4">
            <w:pPr>
              <w:rPr>
                <w:b/>
              </w:rPr>
            </w:pPr>
            <w:r>
              <w:rPr>
                <w:snapToGrid w:val="0"/>
              </w:rPr>
              <w:t>Professor Robert Dussey, Togo’s Minister of Foreign Affairs, African Integration and Togolese Abroad, the OACPS’ Chief Negotiator and Chair of the Ministerial Central Negotiating Group</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European Commission</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EEAS</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European Investment Bank</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European Economic and Social Committee</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CONCORD Europe</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DSW</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UNICEF</w:t>
            </w:r>
          </w:p>
        </w:tc>
      </w:tr>
      <w:tr w:rsidR="001945F6" w:rsidRPr="001945F6" w:rsidTr="00D72DB4">
        <w:tc>
          <w:tcPr>
            <w:tcW w:w="9060" w:type="dxa"/>
            <w:shd w:val="clear" w:color="auto" w:fill="auto"/>
          </w:tcPr>
          <w:p w:rsidR="001945F6" w:rsidRPr="001945F6" w:rsidRDefault="001945F6" w:rsidP="00D72DB4">
            <w:pPr>
              <w:rPr>
                <w:snapToGrid w:val="0"/>
              </w:rPr>
            </w:pPr>
            <w:r>
              <w:rPr>
                <w:snapToGrid w:val="0"/>
              </w:rPr>
              <w:t>ECDPM</w:t>
            </w:r>
          </w:p>
        </w:tc>
      </w:tr>
    </w:tbl>
    <w:p w:rsidR="001945F6" w:rsidRPr="001945F6" w:rsidRDefault="001945F6" w:rsidP="001945F6"/>
    <w:p w:rsidR="001945F6" w:rsidRPr="001945F6" w:rsidRDefault="001945F6" w:rsidP="001945F6">
      <w:pPr>
        <w:rPr>
          <w:szCs w:val="24"/>
        </w:rPr>
      </w:pPr>
      <w:r>
        <w:t>La liste ci-dessus est établie sous la responsabilité exclusive du rapporteur.</w:t>
      </w:r>
      <w:bookmarkEnd w:id="5"/>
    </w:p>
    <w:p w:rsidR="005D046D" w:rsidRPr="001945F6" w:rsidRDefault="005D046D" w:rsidP="005D046D"/>
    <w:p w:rsidR="001945F6" w:rsidRPr="001945F6" w:rsidRDefault="001945F6" w:rsidP="0002190F">
      <w:pPr>
        <w:sectPr w:rsidR="001945F6" w:rsidRPr="001945F6" w:rsidSect="001945F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45F6" w:rsidRPr="001945F6" w:rsidRDefault="001945F6" w:rsidP="001945F6">
      <w:pPr>
        <w:pStyle w:val="Normal24a"/>
      </w:pPr>
      <w:r>
        <w:rPr>
          <w:rStyle w:val="HideTWBExt"/>
        </w:rPr>
        <w:lastRenderedPageBreak/>
        <w:t>&lt;Date&gt;</w:t>
      </w:r>
      <w:r>
        <w:rPr>
          <w:rStyle w:val="HideTWBInt"/>
        </w:rPr>
        <w:t>{07/03/2024}</w:t>
      </w:r>
      <w:r>
        <w:t>7.3.2024</w:t>
      </w:r>
      <w:r>
        <w:rPr>
          <w:rStyle w:val="HideTWBExt"/>
        </w:rPr>
        <w:t>&lt;/Date&gt;</w:t>
      </w:r>
    </w:p>
    <w:p w:rsidR="001945F6" w:rsidRPr="001945F6" w:rsidRDefault="001945F6" w:rsidP="001945F6">
      <w:pPr>
        <w:pStyle w:val="PageHeading"/>
      </w:pPr>
      <w:r>
        <w:rPr>
          <w:rStyle w:val="HideTWBExt"/>
        </w:rPr>
        <w:t>&lt;CommissionResp&gt;</w:t>
      </w:r>
      <w:bookmarkStart w:id="7" w:name="OpinionToc_1"/>
      <w:bookmarkStart w:id="8" w:name="_Toc162348819"/>
      <w:r>
        <w:t>AVIS DE LA COMMISSION DU COMMERCE INTERNATIONAL</w:t>
      </w:r>
      <w:bookmarkEnd w:id="7"/>
      <w:bookmarkEnd w:id="8"/>
      <w:r>
        <w:rPr>
          <w:rStyle w:val="HideTWBExt"/>
        </w:rPr>
        <w:t>&lt;/CommissionResp&gt;</w:t>
      </w:r>
    </w:p>
    <w:p w:rsidR="001945F6" w:rsidRPr="001945F6" w:rsidRDefault="001945F6" w:rsidP="001945F6">
      <w:pPr>
        <w:pStyle w:val="Normal12a"/>
      </w:pPr>
      <w:r>
        <w:rPr>
          <w:rStyle w:val="HideTWBExt"/>
        </w:rPr>
        <w:t>&lt;CommissionInt&gt;</w:t>
      </w:r>
      <w:r>
        <w:t>à l’intention de la commission du développement</w:t>
      </w:r>
      <w:r>
        <w:rPr>
          <w:rStyle w:val="HideTWBExt"/>
        </w:rPr>
        <w:t>&lt;/CommissionInt&gt;</w:t>
      </w:r>
    </w:p>
    <w:p w:rsidR="001945F6" w:rsidRPr="001945F6" w:rsidRDefault="001945F6" w:rsidP="001945F6">
      <w:r>
        <w:rPr>
          <w:rStyle w:val="HideTWBExt"/>
        </w:rPr>
        <w:t>&lt;Titre&gt;</w:t>
      </w:r>
      <w:r>
        <w:t>sur la proposition de décision du Conseil relative à l’accord de partenariat entre l’Union européenne et ses États membres, d’une part, et les membres de l’Organisation des États d’Afrique, des Caraïbes et du Pacifique, d’autre part</w:t>
      </w:r>
      <w:r>
        <w:rPr>
          <w:rStyle w:val="HideTWBExt"/>
        </w:rPr>
        <w:t>&lt;/Titre&gt;</w:t>
      </w:r>
    </w:p>
    <w:p w:rsidR="001945F6" w:rsidRPr="001945F6" w:rsidRDefault="001945F6" w:rsidP="001945F6">
      <w:pPr>
        <w:pStyle w:val="Normal12a"/>
      </w:pPr>
      <w:r>
        <w:rPr>
          <w:rStyle w:val="HideTWBExt"/>
        </w:rPr>
        <w:t>&lt;DocRef&gt;</w:t>
      </w:r>
      <w:r>
        <w:t>(COM(2023)0791 – C9</w:t>
      </w:r>
      <w:r>
        <w:noBreakHyphen/>
        <w:t>0029/2024 – 2023/0464(NLE))</w:t>
      </w:r>
      <w:r>
        <w:rPr>
          <w:rStyle w:val="HideTWBExt"/>
        </w:rPr>
        <w:t>&lt;/DocRef&gt;</w:t>
      </w:r>
    </w:p>
    <w:p w:rsidR="001945F6" w:rsidRPr="001945F6" w:rsidRDefault="001945F6" w:rsidP="001945F6">
      <w:pPr>
        <w:pStyle w:val="Normal24a"/>
      </w:pPr>
      <w:r>
        <w:t xml:space="preserve">Rapporteure pour avis: </w:t>
      </w:r>
      <w:r>
        <w:rPr>
          <w:rStyle w:val="HideTWBExt"/>
        </w:rPr>
        <w:t>&lt;Depute&gt;</w:t>
      </w:r>
      <w:r>
        <w:t>Samira Rafaela</w:t>
      </w:r>
      <w:r>
        <w:rPr>
          <w:rStyle w:val="HideTWBExt"/>
        </w:rPr>
        <w:t>&lt;/Depute&gt;</w:t>
      </w:r>
    </w:p>
    <w:p w:rsidR="001945F6" w:rsidRPr="001945F6" w:rsidRDefault="001945F6" w:rsidP="005757E6">
      <w:pPr>
        <w:widowControl/>
        <w:tabs>
          <w:tab w:val="center" w:pos="4677"/>
        </w:tabs>
      </w:pPr>
    </w:p>
    <w:p w:rsidR="001945F6" w:rsidRPr="001945F6" w:rsidRDefault="001945F6" w:rsidP="005757E6">
      <w:pPr>
        <w:pStyle w:val="PageHeadingNotTOC"/>
        <w:widowControl/>
      </w:pPr>
      <w:r>
        <w:t>JUSTIFICATION SUCCINCTE</w:t>
      </w:r>
    </w:p>
    <w:p w:rsidR="001945F6" w:rsidRPr="001945F6" w:rsidRDefault="001945F6" w:rsidP="005757E6">
      <w:pPr>
        <w:pStyle w:val="Normal12a"/>
        <w:widowControl/>
      </w:pPr>
      <w:r>
        <w:t>Le 15 novembre 2023, l’Union européenne et l’Organisation des États d’Afrique, des Caraïbes et du Pacifique (OEACP) ont signé l’accord de Samoa, qui a établi le cadre global des relations de l’Union avec les pays d’Afrique, des Caraïbes et du Pacifique. Cet accord remplacera l’accord de Cotonou, qui avait été signé en 2000 pour une durée de 20 ans et qui devait donc être prorogé. L’accord de Samoa comprend six domaines prioritaires: démocratie et droits de l’homme, croissance et développement économiques durables, changement climatique, développement humain et social, paix et sécurité, et migration et mobilité. Se plaçant au point de vue de la commission du commerce international (INTA), votre rapporteure pour avis tient à souligner les points suivants:</w:t>
      </w:r>
    </w:p>
    <w:p w:rsidR="001945F6" w:rsidRPr="001945F6" w:rsidRDefault="001945F6" w:rsidP="005757E6">
      <w:pPr>
        <w:pStyle w:val="Normal12a"/>
        <w:widowControl/>
      </w:pPr>
      <w:r>
        <w:t>Premièrement, l’accord devrait profiter au commerce intra-africain et à l’intégration économique du continent africain par l’intermédiaire de la zone de libre-échange continentale africaine (ZLECAf). Les instruments utiles que sont les accords de partenariat économique (APE) devraient contribuer à atteindre cet objectif.</w:t>
      </w:r>
    </w:p>
    <w:p w:rsidR="001945F6" w:rsidRPr="001945F6" w:rsidRDefault="001945F6" w:rsidP="005757E6">
      <w:pPr>
        <w:pStyle w:val="Normal12a"/>
        <w:widowControl/>
      </w:pPr>
      <w:r>
        <w:t>Deuxièmement, il convient de se féliciter que l’accord comporte des orientations en vue de réaliser les objectifs de développement durable et l’accord de Paris, ainsi que de mettre en œuvre le principe du consentement préalable, libre et éclairé des Nations unies. Cet accord devrait favoriser le développement durable dans les deux régions, dans lesquelles les divers instruments commerciaux de l’Union, notamment les accords de partenariat économique, le système de préférences généralisées et l’aide au commerce, mais aussi le mécanisme d’ajustement carbone aux frontières et le règlement sur la lutte contre la déforestation, devraient se renforcer mutuellement.</w:t>
      </w:r>
    </w:p>
    <w:p w:rsidR="001945F6" w:rsidRPr="001945F6" w:rsidRDefault="001945F6" w:rsidP="005757E6">
      <w:pPr>
        <w:pStyle w:val="Normal12a"/>
        <w:widowControl/>
      </w:pPr>
      <w:r>
        <w:t>Troisièmement, les accords de partenariat économique entre l’Union européenne et les pays africains devraient contribuer au développement durable à long terme, réduire la pauvreté et renforcer l’intégration régionale. Ces accords devraient profiter à la population africaine et au commerce intra-africain.</w:t>
      </w:r>
    </w:p>
    <w:p w:rsidR="001945F6" w:rsidRPr="001945F6" w:rsidRDefault="001945F6" w:rsidP="005757E6">
      <w:pPr>
        <w:pStyle w:val="Normal12a"/>
        <w:widowControl/>
      </w:pPr>
      <w:r>
        <w:t xml:space="preserve">Quatrièmement, les dispositions de l’accord relatives au commerce et aux investissements devraient profiter à toutes les parties. L’Union européenne devrait dès lors tenir compte d’un </w:t>
      </w:r>
      <w:r>
        <w:lastRenderedPageBreak/>
        <w:t xml:space="preserve">éventuel déséquilibre quant aux bénéfices des relations en matière de commerce et d’investissement avec les pays de l’OEACP, notamment en ce qui concerne la durabilité. </w:t>
      </w:r>
    </w:p>
    <w:p w:rsidR="001945F6" w:rsidRPr="001945F6" w:rsidRDefault="001945F6" w:rsidP="005757E6">
      <w:pPr>
        <w:pStyle w:val="Normal12a"/>
        <w:widowControl/>
      </w:pPr>
      <w:r>
        <w:t>Cinquièmement, si nécessaire, l’Union européenne devrait se mobiliser en faveur du renforcement des capacités et soutenir des activités liées aux sciences, à la technologie, à la recherche, à l’innovation et à la transformation numérique dans les pays de l’OEACP. Elle devrait également dialoguer avec les pays de l’OEACP au sujet de la législation commerciale de l’Union, nouvelle et existante, dont le mécanisme d’ajustement carbone aux frontières et l’interdiction du travail forcé.</w:t>
      </w:r>
    </w:p>
    <w:p w:rsidR="001945F6" w:rsidRPr="001945F6" w:rsidRDefault="001945F6" w:rsidP="005757E6">
      <w:pPr>
        <w:pStyle w:val="Normal12a"/>
        <w:widowControl/>
      </w:pPr>
      <w:r>
        <w:t>Sixièmement, il convient de se féliciter que l’accord comporte de solides engagements en faveur des droits de l’homme. Cet accord devrait contribuer à lutter contre les inégalités et sa mise en œuvre devrait tenir compte de l’intégration de la dimension de genre, ce qui inclut, entre autres, des aspects liés à l’égalité de genre et au commerce ainsi que des chapitres consacrés au genre dans les accords commerciaux.</w:t>
      </w:r>
    </w:p>
    <w:p w:rsidR="001945F6" w:rsidRPr="001945F6" w:rsidRDefault="001945F6" w:rsidP="005757E6">
      <w:pPr>
        <w:pStyle w:val="NormalCenter12a"/>
        <w:widowControl/>
      </w:pPr>
      <w:r>
        <w:t>******</w:t>
      </w:r>
    </w:p>
    <w:p w:rsidR="001945F6" w:rsidRPr="001945F6" w:rsidRDefault="001945F6" w:rsidP="005757E6">
      <w:pPr>
        <w:pStyle w:val="Normal12a"/>
        <w:widowControl/>
      </w:pPr>
      <w:r>
        <w:t>La commission du commerce international invite la commission du développement, compétente au fond, à recommander que le Parlement approuve la proposition de décision du Conseil relative à l’accord de partenariat entre l’Union européenne et ses États membres, d’une part, et les membres de l’Organisation des États d’Afrique, des Caraïbes et du Pacifique, d’autre part.</w:t>
      </w:r>
    </w:p>
    <w:p w:rsidR="001945F6" w:rsidRPr="001945F6" w:rsidRDefault="001945F6" w:rsidP="005757E6">
      <w:pPr>
        <w:widowControl/>
        <w:sectPr w:rsidR="001945F6" w:rsidRPr="001945F6" w:rsidSect="001945F6">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45F6" w:rsidRPr="001945F6" w:rsidRDefault="001945F6" w:rsidP="005757E6">
      <w:pPr>
        <w:widowControl/>
      </w:pPr>
    </w:p>
    <w:p w:rsidR="001945F6" w:rsidRPr="001945F6" w:rsidRDefault="001945F6" w:rsidP="005757E6">
      <w:pPr>
        <w:pStyle w:val="PageHeadingNotTOC"/>
        <w:widowControl/>
        <w:rPr>
          <w:noProof/>
        </w:rPr>
      </w:pPr>
      <w:bookmarkStart w:id="9" w:name="FootprintPageAD"/>
      <w:r>
        <w:t>ANNEXE: ENTITÉS OU PERSONNES</w:t>
      </w:r>
      <w:r>
        <w:br/>
        <w:t>DONT LA RAPPORTEURE POUR AVIS A REÇU DES CONTRIBUTIONS</w:t>
      </w:r>
    </w:p>
    <w:p w:rsidR="001945F6" w:rsidRPr="001945F6" w:rsidRDefault="001945F6" w:rsidP="005757E6">
      <w:pPr>
        <w:pStyle w:val="Normal24a"/>
        <w:widowControl/>
      </w:pPr>
      <w:r>
        <w:rPr>
          <w:rStyle w:val="HideTWBExt"/>
        </w:rPr>
        <w:t>&lt;FootprintIntro&gt;</w:t>
      </w:r>
      <w:r>
        <w:t>La rapporteure pour avis a reçu des contributions des entités ou personnes suivantes pour l’élaboration de l’avis,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945F6" w:rsidRPr="001945F6" w:rsidTr="00F42F07">
        <w:tc>
          <w:tcPr>
            <w:tcW w:w="9286" w:type="dxa"/>
            <w:shd w:val="clear" w:color="auto" w:fill="auto"/>
          </w:tcPr>
          <w:p w:rsidR="001945F6" w:rsidRPr="001945F6" w:rsidRDefault="001945F6" w:rsidP="005757E6">
            <w:pPr>
              <w:pStyle w:val="NormalBoldCenter"/>
              <w:widowControl/>
            </w:pPr>
            <w:r>
              <w:t>Entité et/ou personne</w:t>
            </w:r>
          </w:p>
        </w:tc>
      </w:tr>
      <w:tr w:rsidR="001945F6" w:rsidRPr="001945F6" w:rsidTr="00F42F07">
        <w:tc>
          <w:tcPr>
            <w:tcW w:w="9286" w:type="dxa"/>
            <w:shd w:val="clear" w:color="auto" w:fill="auto"/>
          </w:tcPr>
          <w:p w:rsidR="001945F6" w:rsidRPr="001945F6" w:rsidRDefault="001945F6" w:rsidP="005757E6">
            <w:pPr>
              <w:widowControl/>
            </w:pPr>
            <w:r>
              <w:rPr>
                <w:snapToGrid w:val="0"/>
              </w:rPr>
              <w:t>Dr. James Nyomakwa-Obimpeh (PhD)</w:t>
            </w:r>
          </w:p>
        </w:tc>
      </w:tr>
      <w:tr w:rsidR="001945F6" w:rsidRPr="001945F6" w:rsidTr="00F42F07">
        <w:tc>
          <w:tcPr>
            <w:tcW w:w="9286" w:type="dxa"/>
            <w:shd w:val="clear" w:color="auto" w:fill="auto"/>
          </w:tcPr>
          <w:p w:rsidR="001945F6" w:rsidRPr="001945F6" w:rsidRDefault="001945F6" w:rsidP="005757E6">
            <w:pPr>
              <w:widowControl/>
            </w:pPr>
            <w:r>
              <w:rPr>
                <w:snapToGrid w:val="0"/>
              </w:rPr>
              <w:t>Professor Robert Dussey, Togo’s Minister of Foreign Affairs, African Integration and Togolese Abroad, the OACPS’ Chief Negotiator and Chair of the Ministerial Central Negotiating Group</w:t>
            </w:r>
          </w:p>
        </w:tc>
      </w:tr>
      <w:tr w:rsidR="001945F6" w:rsidRPr="001945F6" w:rsidTr="00F42F07">
        <w:tc>
          <w:tcPr>
            <w:tcW w:w="9286" w:type="dxa"/>
            <w:shd w:val="clear" w:color="auto" w:fill="auto"/>
          </w:tcPr>
          <w:p w:rsidR="001945F6" w:rsidRPr="001945F6" w:rsidRDefault="001945F6" w:rsidP="005757E6">
            <w:pPr>
              <w:widowControl/>
            </w:pPr>
            <w:r>
              <w:rPr>
                <w:snapToGrid w:val="0"/>
              </w:rPr>
              <w:t>CONCORD Europe</w:t>
            </w:r>
          </w:p>
        </w:tc>
      </w:tr>
    </w:tbl>
    <w:p w:rsidR="001945F6" w:rsidRPr="001945F6" w:rsidRDefault="001945F6" w:rsidP="005757E6">
      <w:pPr>
        <w:widowControl/>
      </w:pPr>
    </w:p>
    <w:p w:rsidR="001945F6" w:rsidRPr="001945F6" w:rsidRDefault="001945F6" w:rsidP="005757E6">
      <w:pPr>
        <w:widowControl/>
        <w:rPr>
          <w:szCs w:val="24"/>
        </w:rPr>
      </w:pPr>
      <w:r>
        <w:t>La liste ci-dessus est établie sous la responsabilité exclusive de la rapporteure pour avis.</w:t>
      </w:r>
    </w:p>
    <w:p w:rsidR="001945F6" w:rsidRPr="001945F6" w:rsidRDefault="001945F6" w:rsidP="005757E6">
      <w:pPr>
        <w:widowControl/>
      </w:pPr>
    </w:p>
    <w:bookmarkEnd w:id="9"/>
    <w:p w:rsidR="001945F6" w:rsidRPr="001945F6" w:rsidRDefault="001945F6" w:rsidP="005757E6">
      <w:pPr>
        <w:widowControl/>
      </w:pPr>
      <w:r>
        <w:br w:type="page"/>
      </w:r>
    </w:p>
    <w:p w:rsidR="001945F6" w:rsidRPr="001945F6" w:rsidRDefault="001945F6" w:rsidP="005757E6">
      <w:pPr>
        <w:pStyle w:val="PageHeadingNotTOC"/>
        <w:widowControl/>
      </w:pPr>
      <w:r>
        <w:lastRenderedPageBreak/>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945F6"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Accord de partenariat entre l’Union européenne et ses États membres, d’une part, et les membres de l’Organisation des États d’Afrique, des Caraïbes et du Pacifique, d’autre part</w:t>
            </w:r>
          </w:p>
        </w:tc>
      </w:tr>
      <w:tr w:rsidR="001945F6"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05789/2024 – C9-0029/2024 – 2023/0464(NLE)</w:t>
            </w:r>
          </w:p>
        </w:tc>
      </w:tr>
      <w:tr w:rsidR="001945F6"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Commission compétente au fond</w:t>
            </w:r>
          </w:p>
          <w:p w:rsidR="001945F6" w:rsidRPr="001945F6" w:rsidRDefault="001945F6" w:rsidP="005757E6">
            <w:pPr>
              <w:widowControl/>
              <w:autoSpaceDE w:val="0"/>
              <w:autoSpaceDN w:val="0"/>
              <w:adjustRightInd w:val="0"/>
              <w:rPr>
                <w:color w:val="000000"/>
                <w:sz w:val="20"/>
              </w:rPr>
            </w:pP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DEVE</w:t>
            </w:r>
          </w:p>
          <w:p w:rsidR="001945F6" w:rsidRPr="001945F6" w:rsidRDefault="001945F6" w:rsidP="005757E6">
            <w:pPr>
              <w:widowControl/>
              <w:autoSpaceDE w:val="0"/>
              <w:autoSpaceDN w:val="0"/>
              <w:adjustRightInd w:val="0"/>
              <w:rPr>
                <w:color w:val="000000"/>
                <w:sz w:val="2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rFonts w:ascii="sans-serif" w:hAnsi="sans-serif" w:cs="sans-serif"/>
                <w:color w:val="000000"/>
                <w:szCs w:val="24"/>
              </w:rPr>
            </w:pPr>
          </w:p>
        </w:tc>
      </w:tr>
      <w:tr w:rsidR="001945F6"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Rapporteur(e) pour avis</w:t>
            </w:r>
          </w:p>
          <w:p w:rsidR="001945F6" w:rsidRPr="001945F6" w:rsidRDefault="001945F6" w:rsidP="005757E6">
            <w:pPr>
              <w:widowControl/>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Samira Rafaela</w:t>
            </w:r>
          </w:p>
          <w:p w:rsidR="001945F6" w:rsidRPr="001945F6" w:rsidRDefault="001945F6" w:rsidP="005757E6">
            <w:pPr>
              <w:widowControl/>
              <w:autoSpaceDE w:val="0"/>
              <w:autoSpaceDN w:val="0"/>
              <w:adjustRightInd w:val="0"/>
              <w:rPr>
                <w:color w:val="000000"/>
                <w:sz w:val="20"/>
              </w:rPr>
            </w:pPr>
            <w:r>
              <w:rPr>
                <w:color w:val="000000"/>
                <w:sz w:val="20"/>
              </w:rPr>
              <w:t>24.1.2024</w:t>
            </w:r>
          </w:p>
        </w:tc>
      </w:tr>
      <w:tr w:rsidR="001945F6"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7.3.2024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rFonts w:ascii="sans-serif" w:hAnsi="sans-serif" w:cs="sans-serif"/>
                <w:color w:val="000000"/>
                <w:szCs w:val="24"/>
              </w:rPr>
            </w:pPr>
          </w:p>
        </w:tc>
      </w:tr>
      <w:tr w:rsidR="001945F6"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w:t>
            </w:r>
          </w:p>
          <w:p w:rsidR="001945F6" w:rsidRPr="001945F6" w:rsidRDefault="001945F6" w:rsidP="005757E6">
            <w:pPr>
              <w:widowControl/>
              <w:autoSpaceDE w:val="0"/>
              <w:autoSpaceDN w:val="0"/>
              <w:adjustRightInd w:val="0"/>
              <w:rPr>
                <w:color w:val="000000"/>
                <w:sz w:val="20"/>
              </w:rPr>
            </w:pPr>
            <w:r>
              <w:rPr>
                <w:color w:val="000000"/>
                <w:sz w:val="20"/>
              </w:rPr>
              <w:t>–:</w:t>
            </w:r>
          </w:p>
          <w:p w:rsidR="001945F6" w:rsidRPr="001945F6" w:rsidRDefault="001945F6" w:rsidP="005757E6">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29</w:t>
            </w:r>
          </w:p>
          <w:p w:rsidR="001945F6" w:rsidRPr="001945F6" w:rsidRDefault="001945F6" w:rsidP="005757E6">
            <w:pPr>
              <w:widowControl/>
              <w:autoSpaceDE w:val="0"/>
              <w:autoSpaceDN w:val="0"/>
              <w:adjustRightInd w:val="0"/>
              <w:rPr>
                <w:color w:val="000000"/>
                <w:sz w:val="20"/>
              </w:rPr>
            </w:pPr>
            <w:r>
              <w:rPr>
                <w:color w:val="000000"/>
                <w:sz w:val="20"/>
              </w:rPr>
              <w:t>2</w:t>
            </w:r>
          </w:p>
          <w:p w:rsidR="001945F6" w:rsidRPr="001945F6" w:rsidRDefault="001945F6" w:rsidP="005757E6">
            <w:pPr>
              <w:widowControl/>
              <w:autoSpaceDE w:val="0"/>
              <w:autoSpaceDN w:val="0"/>
              <w:adjustRightInd w:val="0"/>
              <w:rPr>
                <w:color w:val="000000"/>
                <w:sz w:val="20"/>
              </w:rPr>
            </w:pPr>
            <w:r>
              <w:rPr>
                <w:color w:val="000000"/>
                <w:sz w:val="20"/>
              </w:rPr>
              <w:t>5</w:t>
            </w:r>
          </w:p>
        </w:tc>
      </w:tr>
      <w:tr w:rsidR="001945F6"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Barry Andrews, Geert Bourgeois, Saskia Bricmont, Jordi Cañas, Danuta Maria Hübner, Karin Karlsbro, Danilo Oscar Lancini, Bernd Lange, Thierry Mariani, Margarida Marques, Emmanuel Maurel, Samira Rafaela, Catharina Rinzema, Inma Rodríguez-Piñero, Helmut Scholz, Dominik Tarczyński, Kathleen Van Brempt, Marie-Pierre Vedrenne, Jörgen Warborn, Jan Zahradil</w:t>
            </w:r>
          </w:p>
        </w:tc>
      </w:tr>
      <w:tr w:rsidR="001945F6"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Marek Belka, Anna Cavazzini, José Manuel García-Margallo y Marfil, Enikő Győri, Cristina Maestre Martín De Almagro, Javier Moreno Sánchez, Manuela Ripa, Witold Jan Waszczykowski</w:t>
            </w:r>
          </w:p>
        </w:tc>
      </w:tr>
      <w:tr w:rsidR="001945F6"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945F6" w:rsidRPr="001945F6" w:rsidRDefault="001945F6" w:rsidP="005757E6">
            <w:pPr>
              <w:widowControl/>
              <w:autoSpaceDE w:val="0"/>
              <w:autoSpaceDN w:val="0"/>
              <w:adjustRightInd w:val="0"/>
              <w:rPr>
                <w:color w:val="000000"/>
                <w:sz w:val="20"/>
              </w:rPr>
            </w:pPr>
            <w:r>
              <w:rPr>
                <w:color w:val="000000"/>
                <w:sz w:val="20"/>
              </w:rPr>
              <w:t>Andrea Bocskor, Paola Ghidoni, Ivo Hristov, Virginie Joron, Ska Keller, Dace Melbārde, Wolfram Pirchner, Aušra Seibutytė</w:t>
            </w:r>
          </w:p>
        </w:tc>
      </w:tr>
    </w:tbl>
    <w:p w:rsidR="001945F6" w:rsidRPr="001945F6" w:rsidRDefault="001945F6" w:rsidP="005757E6">
      <w:pPr>
        <w:widowControl/>
      </w:pPr>
    </w:p>
    <w:p w:rsidR="001945F6" w:rsidRPr="001945F6" w:rsidRDefault="001945F6" w:rsidP="005757E6">
      <w:pPr>
        <w:widowControl/>
        <w:sectPr w:rsidR="001945F6" w:rsidRPr="001945F6" w:rsidSect="001945F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45F6" w:rsidRPr="001945F6" w:rsidRDefault="001945F6" w:rsidP="005757E6">
      <w:pPr>
        <w:pStyle w:val="PageHeadingNotTOC"/>
        <w:widowControl/>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5F6" w:rsidRPr="001945F6" w:rsidTr="006D06EB">
        <w:trPr>
          <w:cantSplit/>
        </w:trPr>
        <w:tc>
          <w:tcPr>
            <w:tcW w:w="1701" w:type="dxa"/>
            <w:shd w:val="pct10" w:color="000000" w:fill="FFFFFF"/>
            <w:vAlign w:val="center"/>
          </w:tcPr>
          <w:p w:rsidR="001945F6" w:rsidRPr="001945F6" w:rsidRDefault="001945F6" w:rsidP="005757E6">
            <w:pPr>
              <w:pStyle w:val="RollCallVotes"/>
              <w:widowControl/>
            </w:pPr>
            <w:r>
              <w:t>29</w:t>
            </w:r>
          </w:p>
        </w:tc>
        <w:tc>
          <w:tcPr>
            <w:tcW w:w="7371" w:type="dxa"/>
            <w:shd w:val="pct10" w:color="000000" w:fill="FFFFFF"/>
          </w:tcPr>
          <w:p w:rsidR="001945F6" w:rsidRPr="001945F6" w:rsidRDefault="001945F6" w:rsidP="005757E6">
            <w:pPr>
              <w:pStyle w:val="RollCallSymbols14pt"/>
              <w:widowControl/>
            </w:pPr>
            <w:r>
              <w:t>+</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ECR</w:t>
            </w:r>
          </w:p>
        </w:tc>
        <w:tc>
          <w:tcPr>
            <w:tcW w:w="7371" w:type="dxa"/>
            <w:shd w:val="clear" w:color="auto" w:fill="FFFFFF"/>
          </w:tcPr>
          <w:p w:rsidR="001945F6" w:rsidRPr="001945F6" w:rsidRDefault="001945F6" w:rsidP="005757E6">
            <w:pPr>
              <w:pStyle w:val="RollCallTable"/>
              <w:widowControl/>
            </w:pPr>
            <w:r>
              <w:t>Geert Bourgeois, Dominik Tarczyński, Witold Jan Waszczykowski, Jan Zahradil</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ID</w:t>
            </w:r>
          </w:p>
        </w:tc>
        <w:tc>
          <w:tcPr>
            <w:tcW w:w="7371" w:type="dxa"/>
            <w:shd w:val="clear" w:color="auto" w:fill="FFFFFF"/>
          </w:tcPr>
          <w:p w:rsidR="001945F6" w:rsidRPr="001945F6" w:rsidRDefault="001945F6" w:rsidP="005757E6">
            <w:pPr>
              <w:pStyle w:val="RollCallTable"/>
              <w:widowControl/>
            </w:pPr>
            <w:r>
              <w:t>Paola Ghidoni, Danilo Oscar Lancini</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NI</w:t>
            </w:r>
          </w:p>
        </w:tc>
        <w:tc>
          <w:tcPr>
            <w:tcW w:w="7371" w:type="dxa"/>
            <w:shd w:val="clear" w:color="auto" w:fill="FFFFFF"/>
          </w:tcPr>
          <w:p w:rsidR="001945F6" w:rsidRPr="001945F6" w:rsidRDefault="001945F6" w:rsidP="005757E6">
            <w:pPr>
              <w:pStyle w:val="RollCallTable"/>
              <w:widowControl/>
            </w:pPr>
            <w:r>
              <w:t>Andrea Bocskor, Enikő Győri</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PPE</w:t>
            </w:r>
          </w:p>
        </w:tc>
        <w:tc>
          <w:tcPr>
            <w:tcW w:w="7371" w:type="dxa"/>
            <w:shd w:val="clear" w:color="auto" w:fill="FFFFFF"/>
          </w:tcPr>
          <w:p w:rsidR="001945F6" w:rsidRPr="001945F6" w:rsidRDefault="001945F6" w:rsidP="005757E6">
            <w:pPr>
              <w:pStyle w:val="RollCallTable"/>
              <w:widowControl/>
            </w:pPr>
            <w:r>
              <w:t>José Manuel García-Margallo y Marfil, Danuta Maria Hübner, Dace Melbārde, Wolfram Pirchner, Aušra Seibutytė, Jörgen Warborn</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Renew</w:t>
            </w:r>
          </w:p>
        </w:tc>
        <w:tc>
          <w:tcPr>
            <w:tcW w:w="7371" w:type="dxa"/>
            <w:shd w:val="clear" w:color="auto" w:fill="FFFFFF"/>
          </w:tcPr>
          <w:p w:rsidR="001945F6" w:rsidRPr="001945F6" w:rsidRDefault="001945F6" w:rsidP="005757E6">
            <w:pPr>
              <w:pStyle w:val="RollCallTable"/>
              <w:widowControl/>
            </w:pPr>
            <w:r>
              <w:t>Barry Andrews, Jordi Cañas, Karin Karlsbro, Samira Rafaela, Catharina Rinzema, Marie-Pierre Vedrenne</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S&amp;D</w:t>
            </w:r>
          </w:p>
        </w:tc>
        <w:tc>
          <w:tcPr>
            <w:tcW w:w="7371" w:type="dxa"/>
            <w:shd w:val="clear" w:color="auto" w:fill="FFFFFF"/>
          </w:tcPr>
          <w:p w:rsidR="001945F6" w:rsidRPr="001945F6" w:rsidRDefault="001945F6" w:rsidP="005757E6">
            <w:pPr>
              <w:pStyle w:val="RollCallTable"/>
              <w:widowControl/>
            </w:pPr>
            <w:r>
              <w:t>Marek Belka, Ivo Hristov, Bernd Lange, Cristina Maestre Martín De Almagro, Margarida Marques, Javier Moreno Sánchez, Inma Rodríguez-Piñero, Kathleen Van Brempt</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The Left</w:t>
            </w:r>
          </w:p>
        </w:tc>
        <w:tc>
          <w:tcPr>
            <w:tcW w:w="7371" w:type="dxa"/>
            <w:shd w:val="clear" w:color="auto" w:fill="FFFFFF"/>
          </w:tcPr>
          <w:p w:rsidR="001945F6" w:rsidRPr="001945F6" w:rsidRDefault="001945F6" w:rsidP="005757E6">
            <w:pPr>
              <w:pStyle w:val="RollCallTable"/>
              <w:widowControl/>
            </w:pPr>
            <w:r>
              <w:t>Helmut Scholz</w:t>
            </w:r>
          </w:p>
        </w:tc>
      </w:tr>
    </w:tbl>
    <w:p w:rsidR="001945F6" w:rsidRPr="001945F6" w:rsidRDefault="001945F6" w:rsidP="005757E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5F6" w:rsidRPr="001945F6" w:rsidTr="006D06EB">
        <w:trPr>
          <w:cantSplit/>
        </w:trPr>
        <w:tc>
          <w:tcPr>
            <w:tcW w:w="1701" w:type="dxa"/>
            <w:shd w:val="pct10" w:color="000000" w:fill="FFFFFF"/>
            <w:vAlign w:val="center"/>
          </w:tcPr>
          <w:p w:rsidR="001945F6" w:rsidRPr="001945F6" w:rsidRDefault="001945F6" w:rsidP="005757E6">
            <w:pPr>
              <w:pStyle w:val="RollCallVotes"/>
              <w:widowControl/>
            </w:pPr>
            <w:r>
              <w:t>2</w:t>
            </w:r>
          </w:p>
        </w:tc>
        <w:tc>
          <w:tcPr>
            <w:tcW w:w="7371" w:type="dxa"/>
            <w:shd w:val="pct10" w:color="000000" w:fill="FFFFFF"/>
          </w:tcPr>
          <w:p w:rsidR="001945F6" w:rsidRPr="001945F6" w:rsidRDefault="001945F6" w:rsidP="005757E6">
            <w:pPr>
              <w:pStyle w:val="RollCallSymbols14pt"/>
              <w:widowControl/>
            </w:pPr>
            <w:r>
              <w:t>-</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ID</w:t>
            </w:r>
          </w:p>
        </w:tc>
        <w:tc>
          <w:tcPr>
            <w:tcW w:w="7371" w:type="dxa"/>
            <w:shd w:val="clear" w:color="auto" w:fill="FFFFFF"/>
          </w:tcPr>
          <w:p w:rsidR="001945F6" w:rsidRPr="001945F6" w:rsidRDefault="001945F6" w:rsidP="005757E6">
            <w:pPr>
              <w:pStyle w:val="RollCallTable"/>
              <w:widowControl/>
            </w:pPr>
            <w:r>
              <w:t>Thierry Mariani</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The Left</w:t>
            </w:r>
          </w:p>
        </w:tc>
        <w:tc>
          <w:tcPr>
            <w:tcW w:w="7371" w:type="dxa"/>
            <w:shd w:val="clear" w:color="auto" w:fill="FFFFFF"/>
          </w:tcPr>
          <w:p w:rsidR="001945F6" w:rsidRPr="001945F6" w:rsidRDefault="001945F6" w:rsidP="005757E6">
            <w:pPr>
              <w:pStyle w:val="RollCallTable"/>
              <w:widowControl/>
            </w:pPr>
            <w:r>
              <w:t>Emmanuel Maurel</w:t>
            </w:r>
          </w:p>
        </w:tc>
      </w:tr>
    </w:tbl>
    <w:p w:rsidR="001945F6" w:rsidRPr="001945F6" w:rsidRDefault="001945F6" w:rsidP="005757E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5F6" w:rsidRPr="001945F6" w:rsidTr="006D06EB">
        <w:trPr>
          <w:cantSplit/>
        </w:trPr>
        <w:tc>
          <w:tcPr>
            <w:tcW w:w="1701" w:type="dxa"/>
            <w:shd w:val="pct10" w:color="000000" w:fill="FFFFFF"/>
            <w:vAlign w:val="center"/>
          </w:tcPr>
          <w:p w:rsidR="001945F6" w:rsidRPr="001945F6" w:rsidRDefault="001945F6" w:rsidP="005757E6">
            <w:pPr>
              <w:pStyle w:val="RollCallVotes"/>
              <w:widowControl/>
            </w:pPr>
            <w:r>
              <w:t>5</w:t>
            </w:r>
          </w:p>
        </w:tc>
        <w:tc>
          <w:tcPr>
            <w:tcW w:w="7371" w:type="dxa"/>
            <w:shd w:val="pct10" w:color="000000" w:fill="FFFFFF"/>
          </w:tcPr>
          <w:p w:rsidR="001945F6" w:rsidRPr="001945F6" w:rsidRDefault="001945F6" w:rsidP="005757E6">
            <w:pPr>
              <w:pStyle w:val="RollCallSymbols14pt"/>
              <w:widowControl/>
            </w:pPr>
            <w:r>
              <w:t>0</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ID</w:t>
            </w:r>
          </w:p>
        </w:tc>
        <w:tc>
          <w:tcPr>
            <w:tcW w:w="7371" w:type="dxa"/>
            <w:shd w:val="clear" w:color="auto" w:fill="FFFFFF"/>
          </w:tcPr>
          <w:p w:rsidR="001945F6" w:rsidRPr="001945F6" w:rsidRDefault="001945F6" w:rsidP="005757E6">
            <w:pPr>
              <w:pStyle w:val="RollCallTable"/>
              <w:widowControl/>
            </w:pPr>
            <w:r>
              <w:t>Virginie Joron</w:t>
            </w:r>
          </w:p>
        </w:tc>
      </w:tr>
      <w:tr w:rsidR="001945F6" w:rsidRPr="001945F6" w:rsidTr="006D06EB">
        <w:trPr>
          <w:cantSplit/>
        </w:trPr>
        <w:tc>
          <w:tcPr>
            <w:tcW w:w="1701" w:type="dxa"/>
            <w:shd w:val="clear" w:color="auto" w:fill="FFFFFF"/>
          </w:tcPr>
          <w:p w:rsidR="001945F6" w:rsidRPr="001945F6" w:rsidRDefault="001945F6" w:rsidP="005757E6">
            <w:pPr>
              <w:pStyle w:val="RollCallTable"/>
              <w:widowControl/>
            </w:pPr>
            <w:r>
              <w:t>Verts/ALE</w:t>
            </w:r>
          </w:p>
        </w:tc>
        <w:tc>
          <w:tcPr>
            <w:tcW w:w="7371" w:type="dxa"/>
            <w:shd w:val="clear" w:color="auto" w:fill="FFFFFF"/>
          </w:tcPr>
          <w:p w:rsidR="001945F6" w:rsidRPr="001945F6" w:rsidRDefault="001945F6" w:rsidP="005757E6">
            <w:pPr>
              <w:pStyle w:val="RollCallTable"/>
              <w:widowControl/>
            </w:pPr>
            <w:r>
              <w:t>Saskia Bricmont, Anna Cavazzini, Ska Keller, Manuela Ripa</w:t>
            </w:r>
          </w:p>
        </w:tc>
      </w:tr>
    </w:tbl>
    <w:p w:rsidR="001945F6" w:rsidRPr="001945F6" w:rsidRDefault="001945F6" w:rsidP="005757E6">
      <w:pPr>
        <w:pStyle w:val="Normal12a"/>
        <w:widowControl/>
      </w:pPr>
    </w:p>
    <w:p w:rsidR="001945F6" w:rsidRPr="001945F6" w:rsidRDefault="001945F6" w:rsidP="005757E6">
      <w:pPr>
        <w:widowControl/>
      </w:pPr>
      <w:r>
        <w:t>Légende des signes utilisés:</w:t>
      </w:r>
    </w:p>
    <w:p w:rsidR="001945F6" w:rsidRPr="001945F6" w:rsidRDefault="001945F6" w:rsidP="005757E6">
      <w:pPr>
        <w:pStyle w:val="RollCallTabs"/>
        <w:widowControl/>
      </w:pPr>
      <w:r>
        <w:t>+</w:t>
      </w:r>
      <w:r>
        <w:tab/>
        <w:t>:</w:t>
      </w:r>
      <w:r>
        <w:tab/>
        <w:t>pour</w:t>
      </w:r>
    </w:p>
    <w:p w:rsidR="001945F6" w:rsidRPr="001945F6" w:rsidRDefault="001945F6" w:rsidP="005757E6">
      <w:pPr>
        <w:pStyle w:val="RollCallTabs"/>
        <w:widowControl/>
      </w:pPr>
      <w:r>
        <w:t>-</w:t>
      </w:r>
      <w:r>
        <w:tab/>
        <w:t>:</w:t>
      </w:r>
      <w:r>
        <w:tab/>
        <w:t>contre</w:t>
      </w:r>
    </w:p>
    <w:p w:rsidR="001945F6" w:rsidRPr="001945F6" w:rsidRDefault="001945F6" w:rsidP="005757E6">
      <w:pPr>
        <w:pStyle w:val="RollCallTabs"/>
        <w:widowControl/>
      </w:pPr>
      <w:r>
        <w:t>0</w:t>
      </w:r>
      <w:r>
        <w:tab/>
        <w:t>:</w:t>
      </w:r>
      <w:r>
        <w:tab/>
        <w:t>abstention</w:t>
      </w:r>
    </w:p>
    <w:p w:rsidR="001945F6" w:rsidRPr="001945F6" w:rsidRDefault="001945F6" w:rsidP="005757E6">
      <w:pPr>
        <w:widowControl/>
      </w:pPr>
    </w:p>
    <w:p w:rsidR="001945F6" w:rsidRPr="001945F6" w:rsidRDefault="001945F6" w:rsidP="005757E6">
      <w:pPr>
        <w:widowControl/>
      </w:pPr>
    </w:p>
    <w:p w:rsidR="001945F6" w:rsidRPr="001945F6" w:rsidRDefault="001945F6" w:rsidP="001945F6">
      <w:pPr>
        <w:sectPr w:rsidR="001945F6" w:rsidRPr="001945F6" w:rsidSect="001945F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45F6" w:rsidRPr="001945F6" w:rsidRDefault="001945F6" w:rsidP="001945F6">
      <w:pPr>
        <w:pStyle w:val="Normal24a"/>
      </w:pPr>
      <w:r>
        <w:rPr>
          <w:rStyle w:val="HideTWBExt"/>
        </w:rPr>
        <w:lastRenderedPageBreak/>
        <w:t>&lt;Date&gt;</w:t>
      </w:r>
      <w:r>
        <w:rPr>
          <w:rStyle w:val="HideTWBInt"/>
        </w:rPr>
        <w:t>{01/03/2024}</w:t>
      </w:r>
      <w:r>
        <w:t>1.3.2024</w:t>
      </w:r>
      <w:r>
        <w:rPr>
          <w:rStyle w:val="HideTWBExt"/>
        </w:rPr>
        <w:t>&lt;/Date&gt;</w:t>
      </w:r>
    </w:p>
    <w:p w:rsidR="001945F6" w:rsidRPr="001945F6" w:rsidRDefault="001945F6" w:rsidP="001945F6">
      <w:pPr>
        <w:pStyle w:val="PageHeading"/>
      </w:pPr>
      <w:bookmarkStart w:id="10" w:name="OpinionToc_2"/>
      <w:bookmarkStart w:id="11" w:name="_Toc162348820"/>
      <w:r>
        <w:t>LETTRE DE LA COMMISSION DES AFFAIRES ÉTRANGÈRES</w:t>
      </w:r>
      <w:bookmarkEnd w:id="10"/>
      <w:bookmarkEnd w:id="11"/>
    </w:p>
    <w:p w:rsidR="001945F6" w:rsidRPr="001945F6" w:rsidRDefault="001945F6">
      <w:r>
        <w:t>M. Tomas Tobé</w:t>
      </w:r>
    </w:p>
    <w:p w:rsidR="001945F6" w:rsidRPr="001945F6" w:rsidRDefault="001945F6">
      <w:r>
        <w:t>Président</w:t>
      </w:r>
    </w:p>
    <w:p w:rsidR="001945F6" w:rsidRPr="001945F6" w:rsidRDefault="001945F6">
      <w:r>
        <w:t>Commission du développement</w:t>
      </w:r>
    </w:p>
    <w:p w:rsidR="001945F6" w:rsidRPr="001945F6" w:rsidRDefault="001945F6" w:rsidP="007E6CFE">
      <w:pPr>
        <w:pStyle w:val="LetterSubject"/>
      </w:pPr>
      <w:r>
        <w:t>Objet:</w:t>
      </w:r>
      <w:r>
        <w:tab/>
      </w:r>
      <w:r>
        <w:rPr>
          <w:rStyle w:val="HideTWBExt"/>
        </w:rPr>
        <w:t>&lt;Titre&gt;</w:t>
      </w:r>
      <w:r>
        <w:t>Avis sur la proposition de décision du Conseil relative à la conclusion, au nom de l’Union européenne, de l’accord de partenariat entre l’Union européenne et ses États membres, d’une part, et les membres de l’Organisation des États d’Afrique, des Caraïbes et du Pacifique, d’autre part</w:t>
      </w:r>
      <w:r>
        <w:rPr>
          <w:rStyle w:val="HideTWBExt"/>
        </w:rPr>
        <w:t>&lt;/Titre&gt;</w:t>
      </w:r>
      <w:r>
        <w:t xml:space="preserve"> </w:t>
      </w:r>
      <w:r>
        <w:rPr>
          <w:rStyle w:val="HideTWBExt"/>
        </w:rPr>
        <w:t>&lt;DocRef&gt;</w:t>
      </w:r>
      <w:r>
        <w:t>(COM(2023)0791 – C9</w:t>
      </w:r>
      <w:r>
        <w:noBreakHyphen/>
        <w:t>0029/2024 – 2023/0464(NLE))</w:t>
      </w:r>
      <w:r>
        <w:rPr>
          <w:rStyle w:val="HideTWBExt"/>
        </w:rPr>
        <w:t>&lt;/DocRef&gt;</w:t>
      </w:r>
    </w:p>
    <w:p w:rsidR="001945F6" w:rsidRPr="001945F6" w:rsidRDefault="001945F6" w:rsidP="00CD50D9">
      <w:pPr>
        <w:pStyle w:val="LetterSalutation"/>
        <w:spacing w:before="360"/>
      </w:pPr>
      <w:r>
        <w:t xml:space="preserve">Monsieur le Président, </w:t>
      </w:r>
    </w:p>
    <w:p w:rsidR="001945F6" w:rsidRPr="001945F6" w:rsidRDefault="001945F6" w:rsidP="00CD50D9">
      <w:pPr>
        <w:pStyle w:val="Normal12a"/>
      </w:pPr>
      <w:r>
        <w:t>Dans le cadre de la procédure susmentionnée, la commission des affaires étrangères (AFET) a décidé, lors de sa réunion du 22 février 2024</w:t>
      </w:r>
      <w:r w:rsidRPr="001945F6">
        <w:rPr>
          <w:rStyle w:val="FootnoteReference"/>
        </w:rPr>
        <w:footnoteReference w:id="1"/>
      </w:r>
      <w:r>
        <w:t xml:space="preserve">, de transmettre l’avis sous forme de lettre et, en particulier, d’inviter la commission du développement, compétente au fond, à recommander l’approbation de la proposition de décision du Conseil. </w:t>
      </w:r>
    </w:p>
    <w:p w:rsidR="001945F6" w:rsidRPr="001945F6" w:rsidRDefault="001945F6" w:rsidP="00CD50D9">
      <w:r>
        <w:t>Je vous saurais gré de bien vouloir intégrer l’avis de la commission AFET ci-joint dans votre recommandation.</w:t>
      </w:r>
    </w:p>
    <w:p w:rsidR="001945F6" w:rsidRPr="001945F6" w:rsidRDefault="001945F6" w:rsidP="00CD50D9"/>
    <w:p w:rsidR="001945F6" w:rsidRPr="001945F6" w:rsidRDefault="001945F6" w:rsidP="00566D96">
      <w:pPr>
        <w:pStyle w:val="Normal12a"/>
        <w:spacing w:after="0"/>
      </w:pPr>
      <w:r>
        <w:t>Veuillez agréer, Monsieur le Président, l’expression de ma haute considération.</w:t>
      </w:r>
    </w:p>
    <w:p w:rsidR="001945F6" w:rsidRPr="001945F6" w:rsidRDefault="001945F6" w:rsidP="00566D96">
      <w:pPr>
        <w:pStyle w:val="Normal12a"/>
        <w:spacing w:after="0"/>
      </w:pPr>
    </w:p>
    <w:p w:rsidR="001945F6" w:rsidRPr="001945F6" w:rsidRDefault="001945F6" w:rsidP="00566D96">
      <w:pPr>
        <w:pStyle w:val="Normal12a"/>
        <w:spacing w:after="0"/>
      </w:pPr>
    </w:p>
    <w:p w:rsidR="001945F6" w:rsidRPr="001945F6" w:rsidRDefault="001945F6" w:rsidP="00566D96">
      <w:pPr>
        <w:pStyle w:val="Normal12a"/>
        <w:spacing w:after="0"/>
      </w:pPr>
      <w:r>
        <w:t>David McAllister</w:t>
      </w:r>
    </w:p>
    <w:p w:rsidR="001945F6" w:rsidRPr="001945F6" w:rsidRDefault="001945F6" w:rsidP="00CD50D9">
      <w:pPr>
        <w:keepNext/>
        <w:spacing w:after="480"/>
        <w:jc w:val="center"/>
        <w:rPr>
          <w:rFonts w:ascii="Arial" w:hAnsi="Arial" w:cs="Arial"/>
          <w:b/>
        </w:rPr>
      </w:pPr>
      <w:r>
        <w:rPr>
          <w:rFonts w:ascii="Arial" w:hAnsi="Arial"/>
          <w:b/>
        </w:rPr>
        <w:t>SUGGESTIONS</w:t>
      </w:r>
    </w:p>
    <w:p w:rsidR="001945F6" w:rsidRPr="001945F6" w:rsidRDefault="001945F6" w:rsidP="00CD50D9">
      <w:pPr>
        <w:jc w:val="both"/>
      </w:pPr>
      <w:r>
        <w:t>La commission des affaires étrangères invite la commission du développement, compétente au fond, à recommander l’approbation de la proposition de décision du Conseil relative à la conclusion, au nom de l’Union européenne, de l’accord de partenariat entre l’Union européenne et ses États membres, d’une part, et les membres de l’Organisation des États d’Afrique, des Caraïbes et du Pacifique, d’autre part.</w:t>
      </w:r>
    </w:p>
    <w:p w:rsidR="001945F6" w:rsidRPr="001945F6" w:rsidRDefault="001945F6" w:rsidP="00CD50D9">
      <w:pPr>
        <w:jc w:val="both"/>
      </w:pPr>
    </w:p>
    <w:p w:rsidR="001945F6" w:rsidRPr="001945F6" w:rsidRDefault="001945F6" w:rsidP="00CD50D9">
      <w:pPr>
        <w:spacing w:after="480"/>
        <w:jc w:val="both"/>
      </w:pPr>
    </w:p>
    <w:p w:rsidR="001945F6" w:rsidRPr="001945F6" w:rsidRDefault="001945F6" w:rsidP="00CD50D9"/>
    <w:p w:rsidR="001945F6" w:rsidRPr="001945F6" w:rsidRDefault="001945F6">
      <w:pPr>
        <w:widowControl/>
        <w:rPr>
          <w:rFonts w:ascii="Arial" w:hAnsi="Arial" w:cs="Arial"/>
          <w:b/>
        </w:rPr>
      </w:pPr>
      <w:bookmarkStart w:id="12" w:name="ProcPageRR"/>
      <w:r>
        <w:br w:type="page"/>
      </w:r>
    </w:p>
    <w:p w:rsidR="0002190F" w:rsidRPr="001945F6" w:rsidRDefault="0002190F" w:rsidP="0002190F">
      <w:pPr>
        <w:pStyle w:val="PageHeading"/>
      </w:pPr>
      <w:bookmarkStart w:id="13" w:name="_Toc162348821"/>
      <w:r>
        <w:lastRenderedPageBreak/>
        <w:t>PROCÉDURE DE LA COMMISSION COMPÉTENTE AU FOND</w:t>
      </w:r>
      <w:bookmarkEnd w:id="1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Accord de partenariat entre l’Union européenne et ses États membres, d’une part, et les membres de l’Organisation des États d’Afrique, des Caraïbes et du Pacifique, d’autre part</w:t>
            </w:r>
          </w:p>
        </w:tc>
      </w:tr>
      <w:tr w:rsidR="0002190F"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05789/2024 – C9-0029/2024 – 2023/0464(NLE)</w:t>
            </w:r>
          </w:p>
        </w:tc>
      </w:tr>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19.2.2024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r>
      <w:tr w:rsidR="0002190F"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Commission compétente au fond</w:t>
            </w:r>
          </w:p>
          <w:p w:rsidR="0002190F" w:rsidRPr="001945F6" w:rsidRDefault="0002190F">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DEVE</w:t>
            </w:r>
          </w:p>
          <w:p w:rsidR="0002190F" w:rsidRPr="001945F6" w:rsidRDefault="0002190F">
            <w:pPr>
              <w:autoSpaceDE w:val="0"/>
              <w:autoSpaceDN w:val="0"/>
              <w:adjustRightInd w:val="0"/>
              <w:rPr>
                <w:color w:val="000000"/>
                <w:sz w:val="20"/>
              </w:rPr>
            </w:pPr>
            <w:r>
              <w:rPr>
                <w:color w:val="000000"/>
                <w:sz w:val="20"/>
              </w:rPr>
              <w:t>11.3.2024</w:t>
            </w:r>
          </w:p>
        </w:tc>
        <w:tc>
          <w:tcPr>
            <w:tcW w:w="1474" w:type="dxa"/>
            <w:tcBorders>
              <w:top w:val="nil"/>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r>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Commissions saisies pour avis</w:t>
            </w:r>
          </w:p>
          <w:p w:rsidR="0002190F" w:rsidRPr="001945F6" w:rsidRDefault="0002190F">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AFET</w:t>
            </w:r>
          </w:p>
          <w:p w:rsidR="0002190F" w:rsidRPr="001945F6" w:rsidRDefault="0002190F">
            <w:pPr>
              <w:autoSpaceDE w:val="0"/>
              <w:autoSpaceDN w:val="0"/>
              <w:adjustRightInd w:val="0"/>
              <w:rPr>
                <w:color w:val="000000"/>
                <w:sz w:val="20"/>
              </w:rPr>
            </w:pPr>
            <w:r>
              <w:rPr>
                <w:color w:val="000000"/>
                <w:sz w:val="20"/>
              </w:rPr>
              <w:t>11.3.2024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INTA</w:t>
            </w:r>
          </w:p>
          <w:p w:rsidR="0002190F" w:rsidRPr="001945F6" w:rsidRDefault="0002190F">
            <w:pPr>
              <w:autoSpaceDE w:val="0"/>
              <w:autoSpaceDN w:val="0"/>
              <w:adjustRightInd w:val="0"/>
              <w:rPr>
                <w:color w:val="000000"/>
                <w:sz w:val="20"/>
              </w:rPr>
            </w:pPr>
            <w:r>
              <w:rPr>
                <w:color w:val="000000"/>
                <w:sz w:val="20"/>
              </w:rPr>
              <w:t>11.3.2024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r>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Rapporteurs</w:t>
            </w:r>
          </w:p>
          <w:p w:rsidR="0002190F" w:rsidRPr="001945F6" w:rsidRDefault="0002190F">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Tomas Tobé</w:t>
            </w:r>
          </w:p>
          <w:p w:rsidR="0002190F" w:rsidRPr="001945F6" w:rsidRDefault="0002190F">
            <w:pPr>
              <w:autoSpaceDE w:val="0"/>
              <w:autoSpaceDN w:val="0"/>
              <w:adjustRightInd w:val="0"/>
              <w:rPr>
                <w:color w:val="000000"/>
                <w:sz w:val="20"/>
              </w:rPr>
            </w:pPr>
            <w:r>
              <w:rPr>
                <w:color w:val="000000"/>
                <w:sz w:val="20"/>
              </w:rPr>
              <w:t>14.6.2021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r>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r>
      <w:tr w:rsidR="0002190F"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19.3.2024</w:t>
            </w:r>
          </w:p>
        </w:tc>
        <w:tc>
          <w:tcPr>
            <w:tcW w:w="1474" w:type="dxa"/>
            <w:tcBorders>
              <w:top w:val="nil"/>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rFonts w:ascii="sans-serif" w:hAnsi="sans-serif" w:cs="sans-serif"/>
                <w:color w:val="000000"/>
                <w:szCs w:val="24"/>
              </w:rPr>
            </w:pPr>
          </w:p>
        </w:tc>
      </w:tr>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w:t>
            </w:r>
          </w:p>
          <w:p w:rsidR="0002190F" w:rsidRPr="001945F6" w:rsidRDefault="0002190F">
            <w:pPr>
              <w:autoSpaceDE w:val="0"/>
              <w:autoSpaceDN w:val="0"/>
              <w:adjustRightInd w:val="0"/>
              <w:rPr>
                <w:color w:val="000000"/>
                <w:sz w:val="20"/>
              </w:rPr>
            </w:pPr>
            <w:r>
              <w:rPr>
                <w:color w:val="000000"/>
                <w:sz w:val="20"/>
              </w:rPr>
              <w:t>–:</w:t>
            </w:r>
          </w:p>
          <w:p w:rsidR="0002190F" w:rsidRPr="001945F6" w:rsidRDefault="0002190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13</w:t>
            </w:r>
          </w:p>
          <w:p w:rsidR="0002190F" w:rsidRPr="001945F6" w:rsidRDefault="0002190F">
            <w:pPr>
              <w:autoSpaceDE w:val="0"/>
              <w:autoSpaceDN w:val="0"/>
              <w:adjustRightInd w:val="0"/>
              <w:rPr>
                <w:color w:val="000000"/>
                <w:sz w:val="20"/>
              </w:rPr>
            </w:pPr>
            <w:r>
              <w:rPr>
                <w:color w:val="000000"/>
                <w:sz w:val="20"/>
              </w:rPr>
              <w:t>1</w:t>
            </w:r>
          </w:p>
          <w:p w:rsidR="0002190F" w:rsidRPr="001945F6" w:rsidRDefault="0002190F">
            <w:pPr>
              <w:autoSpaceDE w:val="0"/>
              <w:autoSpaceDN w:val="0"/>
              <w:adjustRightInd w:val="0"/>
              <w:rPr>
                <w:color w:val="000000"/>
                <w:sz w:val="20"/>
              </w:rPr>
            </w:pPr>
            <w:r>
              <w:rPr>
                <w:color w:val="000000"/>
                <w:sz w:val="20"/>
              </w:rPr>
              <w:t>4</w:t>
            </w:r>
          </w:p>
        </w:tc>
      </w:tr>
      <w:tr w:rsidR="0002190F" w:rsidRPr="001945F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Barry Andrews, Stéphane Bijoux, Mercedes Bresso, Catherine Chabaud, Ryszard Czarnecki, Mónica Silvana González, Pierrette Herzberger-Fofana, György Hölvényi, Rasa Juknevičienė, Beata Kempa, Christian Sagartz, François Thiollet, Tomas Tobé, Miguel Urbán Crespo, Bernhard Zimniok</w:t>
            </w:r>
          </w:p>
        </w:tc>
      </w:tr>
      <w:tr w:rsidR="0002190F"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Caroline Roose, Carlos Zorrinho</w:t>
            </w:r>
          </w:p>
        </w:tc>
      </w:tr>
      <w:tr w:rsidR="0002190F"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Sven Simon</w:t>
            </w:r>
          </w:p>
        </w:tc>
      </w:tr>
      <w:tr w:rsidR="0002190F" w:rsidRPr="001945F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2190F" w:rsidRPr="001945F6" w:rsidRDefault="0002190F">
            <w:pPr>
              <w:autoSpaceDE w:val="0"/>
              <w:autoSpaceDN w:val="0"/>
              <w:adjustRightInd w:val="0"/>
              <w:rPr>
                <w:color w:val="000000"/>
                <w:sz w:val="20"/>
              </w:rPr>
            </w:pPr>
            <w:r>
              <w:rPr>
                <w:color w:val="000000"/>
                <w:sz w:val="20"/>
              </w:rPr>
              <w:t>22.3.2024</w:t>
            </w:r>
          </w:p>
        </w:tc>
      </w:tr>
    </w:tbl>
    <w:p w:rsidR="0002190F" w:rsidRPr="001945F6" w:rsidRDefault="0002190F"/>
    <w:bookmarkEnd w:id="12"/>
    <w:p w:rsidR="001945F6" w:rsidRPr="001945F6" w:rsidRDefault="001945F6" w:rsidP="001945F6">
      <w:pPr>
        <w:sectPr w:rsidR="001945F6" w:rsidRPr="001945F6" w:rsidSect="001945F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45F6" w:rsidRPr="001945F6" w:rsidRDefault="001945F6" w:rsidP="001945F6"/>
    <w:p w:rsidR="001945F6" w:rsidRPr="001945F6" w:rsidRDefault="001945F6" w:rsidP="008B71C9">
      <w:pPr>
        <w:pStyle w:val="PageHeading"/>
      </w:pPr>
      <w:bookmarkStart w:id="14" w:name="RollCallPageRR"/>
      <w:bookmarkStart w:id="15" w:name="_Toc162348822"/>
      <w:r>
        <w:t>VOTE FINAL PAR APPEL NOMINAL</w:t>
      </w:r>
      <w:r>
        <w:br/>
        <w:t>EN COMMISSION COMPÉTENTE AU FOND</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5F6" w:rsidRPr="001945F6" w:rsidTr="00D72DB4">
        <w:trPr>
          <w:cantSplit/>
        </w:trPr>
        <w:tc>
          <w:tcPr>
            <w:tcW w:w="1701" w:type="dxa"/>
            <w:shd w:val="pct10" w:color="000000" w:fill="FFFFFF"/>
            <w:vAlign w:val="center"/>
          </w:tcPr>
          <w:p w:rsidR="001945F6" w:rsidRPr="001945F6" w:rsidRDefault="001945F6" w:rsidP="00D72DB4">
            <w:pPr>
              <w:pStyle w:val="RollCallVotes"/>
            </w:pPr>
            <w:r>
              <w:t>13</w:t>
            </w:r>
          </w:p>
        </w:tc>
        <w:tc>
          <w:tcPr>
            <w:tcW w:w="7371" w:type="dxa"/>
            <w:shd w:val="pct10" w:color="000000" w:fill="FFFFFF"/>
          </w:tcPr>
          <w:p w:rsidR="001945F6" w:rsidRPr="001945F6" w:rsidRDefault="001945F6" w:rsidP="00D72DB4">
            <w:pPr>
              <w:pStyle w:val="RollCallSymbols14pt"/>
            </w:pPr>
            <w:r>
              <w:t>+</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ECR</w:t>
            </w:r>
          </w:p>
        </w:tc>
        <w:tc>
          <w:tcPr>
            <w:tcW w:w="7371" w:type="dxa"/>
            <w:shd w:val="clear" w:color="auto" w:fill="FFFFFF"/>
          </w:tcPr>
          <w:p w:rsidR="001945F6" w:rsidRPr="001945F6" w:rsidRDefault="001945F6" w:rsidP="00D72DB4">
            <w:pPr>
              <w:pStyle w:val="RollCallTable"/>
            </w:pPr>
            <w:r>
              <w:t>Ryszard Czarnecki, Beata Kempa</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PPE</w:t>
            </w:r>
          </w:p>
        </w:tc>
        <w:tc>
          <w:tcPr>
            <w:tcW w:w="7371" w:type="dxa"/>
            <w:shd w:val="clear" w:color="auto" w:fill="FFFFFF"/>
          </w:tcPr>
          <w:p w:rsidR="001945F6" w:rsidRPr="001945F6" w:rsidRDefault="001945F6" w:rsidP="00D72DB4">
            <w:pPr>
              <w:pStyle w:val="RollCallTable"/>
            </w:pPr>
            <w:r>
              <w:t>György Hölvényi, Rasa Juknevičienė, Christian Sagartz, Sven Simon, Tomas Tobé</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Renew</w:t>
            </w:r>
          </w:p>
        </w:tc>
        <w:tc>
          <w:tcPr>
            <w:tcW w:w="7371" w:type="dxa"/>
            <w:shd w:val="clear" w:color="auto" w:fill="FFFFFF"/>
          </w:tcPr>
          <w:p w:rsidR="001945F6" w:rsidRPr="001945F6" w:rsidRDefault="001945F6" w:rsidP="00D72DB4">
            <w:pPr>
              <w:pStyle w:val="RollCallTable"/>
            </w:pPr>
            <w:r>
              <w:t>Barry Andrews, Stéphane Bijoux, Catherine Chabaud</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S&amp;D</w:t>
            </w:r>
          </w:p>
        </w:tc>
        <w:tc>
          <w:tcPr>
            <w:tcW w:w="7371" w:type="dxa"/>
            <w:shd w:val="clear" w:color="auto" w:fill="FFFFFF"/>
          </w:tcPr>
          <w:p w:rsidR="001945F6" w:rsidRPr="001945F6" w:rsidRDefault="001945F6" w:rsidP="00D72DB4">
            <w:pPr>
              <w:pStyle w:val="RollCallTable"/>
            </w:pPr>
            <w:r>
              <w:t>Mercedes Bresso, Mónica Silvana González, Carlos Zorrinho</w:t>
            </w:r>
          </w:p>
        </w:tc>
      </w:tr>
    </w:tbl>
    <w:p w:rsidR="001945F6" w:rsidRPr="001945F6" w:rsidRDefault="001945F6" w:rsidP="001945F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5F6" w:rsidRPr="001945F6" w:rsidTr="00D72DB4">
        <w:trPr>
          <w:cantSplit/>
        </w:trPr>
        <w:tc>
          <w:tcPr>
            <w:tcW w:w="1701" w:type="dxa"/>
            <w:shd w:val="pct10" w:color="000000" w:fill="FFFFFF"/>
            <w:vAlign w:val="center"/>
          </w:tcPr>
          <w:p w:rsidR="001945F6" w:rsidRPr="001945F6" w:rsidRDefault="001945F6" w:rsidP="00D72DB4">
            <w:pPr>
              <w:pStyle w:val="RollCallVotes"/>
            </w:pPr>
            <w:r>
              <w:t>1</w:t>
            </w:r>
          </w:p>
        </w:tc>
        <w:tc>
          <w:tcPr>
            <w:tcW w:w="7371" w:type="dxa"/>
            <w:shd w:val="pct10" w:color="000000" w:fill="FFFFFF"/>
          </w:tcPr>
          <w:p w:rsidR="001945F6" w:rsidRPr="001945F6" w:rsidRDefault="001945F6" w:rsidP="00D72DB4">
            <w:pPr>
              <w:pStyle w:val="RollCallSymbols14pt"/>
            </w:pPr>
            <w:r>
              <w:t>-</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ID</w:t>
            </w:r>
          </w:p>
        </w:tc>
        <w:tc>
          <w:tcPr>
            <w:tcW w:w="7371" w:type="dxa"/>
            <w:shd w:val="clear" w:color="auto" w:fill="FFFFFF"/>
          </w:tcPr>
          <w:p w:rsidR="001945F6" w:rsidRPr="001945F6" w:rsidRDefault="001945F6" w:rsidP="00D72DB4">
            <w:pPr>
              <w:pStyle w:val="RollCallTable"/>
            </w:pPr>
            <w:r>
              <w:t>Bernhard Zimniok</w:t>
            </w:r>
          </w:p>
        </w:tc>
      </w:tr>
    </w:tbl>
    <w:p w:rsidR="001945F6" w:rsidRPr="001945F6" w:rsidRDefault="001945F6" w:rsidP="001945F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5F6" w:rsidRPr="001945F6" w:rsidTr="00D72DB4">
        <w:trPr>
          <w:cantSplit/>
        </w:trPr>
        <w:tc>
          <w:tcPr>
            <w:tcW w:w="1701" w:type="dxa"/>
            <w:shd w:val="pct10" w:color="000000" w:fill="FFFFFF"/>
            <w:vAlign w:val="center"/>
          </w:tcPr>
          <w:p w:rsidR="001945F6" w:rsidRPr="001945F6" w:rsidRDefault="001945F6" w:rsidP="00D72DB4">
            <w:pPr>
              <w:pStyle w:val="RollCallVotes"/>
            </w:pPr>
            <w:r>
              <w:t>4</w:t>
            </w:r>
          </w:p>
        </w:tc>
        <w:tc>
          <w:tcPr>
            <w:tcW w:w="7371" w:type="dxa"/>
            <w:shd w:val="pct10" w:color="000000" w:fill="FFFFFF"/>
          </w:tcPr>
          <w:p w:rsidR="001945F6" w:rsidRPr="001945F6" w:rsidRDefault="001945F6" w:rsidP="00D72DB4">
            <w:pPr>
              <w:pStyle w:val="RollCallSymbols14pt"/>
            </w:pPr>
            <w:r>
              <w:t>0</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The Left</w:t>
            </w:r>
          </w:p>
        </w:tc>
        <w:tc>
          <w:tcPr>
            <w:tcW w:w="7371" w:type="dxa"/>
            <w:shd w:val="clear" w:color="auto" w:fill="FFFFFF"/>
          </w:tcPr>
          <w:p w:rsidR="001945F6" w:rsidRPr="001945F6" w:rsidRDefault="001945F6" w:rsidP="00D72DB4">
            <w:pPr>
              <w:pStyle w:val="RollCallTable"/>
            </w:pPr>
            <w:r>
              <w:t>Miguel Urbán Crespo</w:t>
            </w:r>
          </w:p>
        </w:tc>
      </w:tr>
      <w:tr w:rsidR="001945F6" w:rsidRPr="001945F6" w:rsidTr="00D72DB4">
        <w:trPr>
          <w:cantSplit/>
        </w:trPr>
        <w:tc>
          <w:tcPr>
            <w:tcW w:w="1701" w:type="dxa"/>
            <w:shd w:val="clear" w:color="auto" w:fill="FFFFFF"/>
          </w:tcPr>
          <w:p w:rsidR="001945F6" w:rsidRPr="001945F6" w:rsidRDefault="001945F6" w:rsidP="00D72DB4">
            <w:pPr>
              <w:pStyle w:val="RollCallTable"/>
            </w:pPr>
            <w:r>
              <w:t>Verts/ALE</w:t>
            </w:r>
          </w:p>
        </w:tc>
        <w:tc>
          <w:tcPr>
            <w:tcW w:w="7371" w:type="dxa"/>
            <w:shd w:val="clear" w:color="auto" w:fill="FFFFFF"/>
          </w:tcPr>
          <w:p w:rsidR="001945F6" w:rsidRPr="001945F6" w:rsidRDefault="001945F6" w:rsidP="00D72DB4">
            <w:pPr>
              <w:pStyle w:val="RollCallTable"/>
            </w:pPr>
            <w:r>
              <w:t>Pierrette Herzberger-Fofana, Caroline Roose, François Thiollet</w:t>
            </w:r>
          </w:p>
        </w:tc>
      </w:tr>
    </w:tbl>
    <w:p w:rsidR="001945F6" w:rsidRPr="001945F6" w:rsidRDefault="001945F6" w:rsidP="00147FBF">
      <w:pPr>
        <w:pStyle w:val="Normal12a"/>
      </w:pPr>
    </w:p>
    <w:p w:rsidR="001945F6" w:rsidRPr="001945F6" w:rsidRDefault="001945F6" w:rsidP="00B735E3">
      <w:r>
        <w:t>Légende des signes utilisés:</w:t>
      </w:r>
    </w:p>
    <w:p w:rsidR="001945F6" w:rsidRPr="001945F6" w:rsidRDefault="001945F6" w:rsidP="001C6342">
      <w:pPr>
        <w:pStyle w:val="RollCallTabs"/>
      </w:pPr>
      <w:r>
        <w:t>+</w:t>
      </w:r>
      <w:r>
        <w:tab/>
        <w:t>:</w:t>
      </w:r>
      <w:r>
        <w:tab/>
        <w:t>pour</w:t>
      </w:r>
    </w:p>
    <w:p w:rsidR="001945F6" w:rsidRPr="001945F6" w:rsidRDefault="001945F6" w:rsidP="001C6342">
      <w:pPr>
        <w:pStyle w:val="RollCallTabs"/>
      </w:pPr>
      <w:r>
        <w:t>-</w:t>
      </w:r>
      <w:r>
        <w:tab/>
        <w:t>:</w:t>
      </w:r>
      <w:r>
        <w:tab/>
        <w:t>contre</w:t>
      </w:r>
    </w:p>
    <w:p w:rsidR="001945F6" w:rsidRPr="001945F6" w:rsidRDefault="001945F6" w:rsidP="001C6342">
      <w:pPr>
        <w:pStyle w:val="RollCallTabs"/>
      </w:pPr>
      <w:r>
        <w:t>0</w:t>
      </w:r>
      <w:r>
        <w:tab/>
        <w:t>:</w:t>
      </w:r>
      <w:r>
        <w:tab/>
        <w:t>abstention</w:t>
      </w:r>
    </w:p>
    <w:p w:rsidR="001945F6" w:rsidRPr="001945F6" w:rsidRDefault="001945F6" w:rsidP="00AD5932"/>
    <w:bookmarkEnd w:id="14"/>
    <w:p w:rsidR="00363B94" w:rsidRPr="001945F6" w:rsidRDefault="00363B94" w:rsidP="001945F6"/>
    <w:sectPr w:rsidR="00363B94" w:rsidRPr="001945F6" w:rsidSect="001945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052" w:rsidRPr="001945F6" w:rsidRDefault="00514052">
      <w:r w:rsidRPr="001945F6">
        <w:separator/>
      </w:r>
    </w:p>
  </w:endnote>
  <w:endnote w:type="continuationSeparator" w:id="0">
    <w:p w:rsidR="00514052" w:rsidRPr="001945F6" w:rsidRDefault="00514052">
      <w:r w:rsidRPr="00194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Pr="001945F6" w:rsidRDefault="001945F6" w:rsidP="001945F6">
    <w:pPr>
      <w:pStyle w:val="EPFooter"/>
    </w:pPr>
    <w:r w:rsidRPr="001945F6">
      <w:t>PE</w:t>
    </w:r>
    <w:r w:rsidRPr="001945F6">
      <w:rPr>
        <w:rStyle w:val="HideTWBExt"/>
      </w:rPr>
      <w:t>&lt;NoPE&gt;</w:t>
    </w:r>
    <w:r w:rsidRPr="001945F6">
      <w:t>758.023</w:t>
    </w:r>
    <w:r w:rsidRPr="001945F6">
      <w:rPr>
        <w:rStyle w:val="HideTWBExt"/>
      </w:rPr>
      <w:t>&lt;/NoPE&gt;&lt;Version&gt;</w:t>
    </w:r>
    <w:r w:rsidRPr="001945F6">
      <w:t>v02-00</w:t>
    </w:r>
    <w:r w:rsidRPr="001945F6">
      <w:rPr>
        <w:rStyle w:val="HideTWBExt"/>
      </w:rPr>
      <w:t>&lt;/Version&gt;</w:t>
    </w:r>
    <w:r w:rsidRPr="001945F6">
      <w:tab/>
    </w:r>
    <w:r w:rsidRPr="001945F6">
      <w:fldChar w:fldCharType="begin"/>
    </w:r>
    <w:r w:rsidRPr="001945F6">
      <w:instrText xml:space="preserve"> PAGE  \* MERGEFORMAT </w:instrText>
    </w:r>
    <w:r w:rsidRPr="001945F6">
      <w:fldChar w:fldCharType="separate"/>
    </w:r>
    <w:r w:rsidR="007D4463">
      <w:rPr>
        <w:noProof/>
      </w:rPr>
      <w:t>4</w:t>
    </w:r>
    <w:r w:rsidRPr="001945F6">
      <w:fldChar w:fldCharType="end"/>
    </w:r>
    <w:r w:rsidRPr="001945F6">
      <w:t>/</w:t>
    </w:r>
    <w:r w:rsidR="007D4463">
      <w:fldChar w:fldCharType="begin"/>
    </w:r>
    <w:r w:rsidR="007D4463">
      <w:instrText xml:space="preserve"> NUMPAGES  \* MERGEFORMAT </w:instrText>
    </w:r>
    <w:r w:rsidR="007D4463">
      <w:fldChar w:fldCharType="separate"/>
    </w:r>
    <w:r w:rsidR="007D4463">
      <w:rPr>
        <w:noProof/>
      </w:rPr>
      <w:t>17</w:t>
    </w:r>
    <w:r w:rsidR="007D4463">
      <w:rPr>
        <w:noProof/>
      </w:rPr>
      <w:fldChar w:fldCharType="end"/>
    </w:r>
    <w:r w:rsidRPr="001945F6">
      <w:tab/>
    </w:r>
    <w:r w:rsidRPr="001945F6">
      <w:rPr>
        <w:rStyle w:val="HideTWBExt"/>
      </w:rPr>
      <w:t>&lt;PathFdR&gt;</w:t>
    </w:r>
    <w:r w:rsidRPr="001945F6">
      <w:t>RR\1299643FR.docx</w:t>
    </w:r>
    <w:r w:rsidRPr="001945F6">
      <w:rPr>
        <w:rStyle w:val="HideTWBExt"/>
      </w:rPr>
      <w:t>&lt;/PathFdR&gt;</w:t>
    </w:r>
  </w:p>
  <w:p w:rsidR="001945F6" w:rsidRPr="001945F6" w:rsidRDefault="001945F6" w:rsidP="001945F6">
    <w:pPr>
      <w:pStyle w:val="EPFooter2"/>
    </w:pPr>
    <w:r w:rsidRPr="001945F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Pr="001945F6" w:rsidRDefault="001945F6" w:rsidP="001945F6">
    <w:pPr>
      <w:pStyle w:val="EPFooter"/>
    </w:pPr>
    <w:r w:rsidRPr="001945F6">
      <w:rPr>
        <w:rStyle w:val="HideTWBExt"/>
      </w:rPr>
      <w:t>&lt;PathFdR&gt;</w:t>
    </w:r>
    <w:r w:rsidRPr="001945F6">
      <w:t>RR\1299643FR.docx</w:t>
    </w:r>
    <w:r w:rsidRPr="001945F6">
      <w:rPr>
        <w:rStyle w:val="HideTWBExt"/>
      </w:rPr>
      <w:t>&lt;/PathFdR&gt;</w:t>
    </w:r>
    <w:r w:rsidRPr="001945F6">
      <w:tab/>
    </w:r>
    <w:r w:rsidRPr="001945F6">
      <w:fldChar w:fldCharType="begin"/>
    </w:r>
    <w:r w:rsidRPr="001945F6">
      <w:instrText xml:space="preserve"> PAGE  \* MERGEFORMAT </w:instrText>
    </w:r>
    <w:r w:rsidRPr="001945F6">
      <w:fldChar w:fldCharType="separate"/>
    </w:r>
    <w:r w:rsidR="007D4463">
      <w:rPr>
        <w:noProof/>
      </w:rPr>
      <w:t>5</w:t>
    </w:r>
    <w:r w:rsidRPr="001945F6">
      <w:fldChar w:fldCharType="end"/>
    </w:r>
    <w:r w:rsidRPr="001945F6">
      <w:t>/</w:t>
    </w:r>
    <w:r w:rsidR="007D4463">
      <w:fldChar w:fldCharType="begin"/>
    </w:r>
    <w:r w:rsidR="007D4463">
      <w:instrText xml:space="preserve"> NUMPAGES  \* MERGEFORMAT </w:instrText>
    </w:r>
    <w:r w:rsidR="007D4463">
      <w:fldChar w:fldCharType="separate"/>
    </w:r>
    <w:r w:rsidR="007D4463">
      <w:rPr>
        <w:noProof/>
      </w:rPr>
      <w:t>17</w:t>
    </w:r>
    <w:r w:rsidR="007D4463">
      <w:rPr>
        <w:noProof/>
      </w:rPr>
      <w:fldChar w:fldCharType="end"/>
    </w:r>
    <w:r w:rsidRPr="001945F6">
      <w:tab/>
      <w:t>PE</w:t>
    </w:r>
    <w:r w:rsidRPr="001945F6">
      <w:rPr>
        <w:rStyle w:val="HideTWBExt"/>
      </w:rPr>
      <w:t>&lt;NoPE&gt;</w:t>
    </w:r>
    <w:r w:rsidRPr="001945F6">
      <w:t>758.023</w:t>
    </w:r>
    <w:r w:rsidRPr="001945F6">
      <w:rPr>
        <w:rStyle w:val="HideTWBExt"/>
      </w:rPr>
      <w:t>&lt;/NoPE&gt;&lt;Version&gt;</w:t>
    </w:r>
    <w:r w:rsidRPr="001945F6">
      <w:t>v02-00</w:t>
    </w:r>
    <w:r w:rsidRPr="001945F6">
      <w:rPr>
        <w:rStyle w:val="HideTWBExt"/>
      </w:rPr>
      <w:t>&lt;/Version&gt;</w:t>
    </w:r>
  </w:p>
  <w:p w:rsidR="001945F6" w:rsidRPr="001945F6" w:rsidRDefault="001945F6" w:rsidP="001945F6">
    <w:pPr>
      <w:pStyle w:val="EPFooter2"/>
    </w:pPr>
    <w:r w:rsidRPr="001945F6">
      <w:tab/>
    </w:r>
    <w:r w:rsidRPr="001945F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Pr="001945F6" w:rsidRDefault="001945F6" w:rsidP="001945F6">
    <w:pPr>
      <w:pStyle w:val="EPFooter"/>
    </w:pPr>
    <w:r w:rsidRPr="001945F6">
      <w:rPr>
        <w:rStyle w:val="HideTWBExt"/>
      </w:rPr>
      <w:t>&lt;PathFdR&gt;</w:t>
    </w:r>
    <w:r w:rsidRPr="001945F6">
      <w:t>RR\1299643FR.docx</w:t>
    </w:r>
    <w:r w:rsidRPr="001945F6">
      <w:rPr>
        <w:rStyle w:val="HideTWBExt"/>
      </w:rPr>
      <w:t>&lt;/PathFdR&gt;</w:t>
    </w:r>
    <w:r w:rsidRPr="001945F6">
      <w:tab/>
    </w:r>
    <w:r w:rsidRPr="001945F6">
      <w:tab/>
      <w:t>PE</w:t>
    </w:r>
    <w:r w:rsidRPr="001945F6">
      <w:rPr>
        <w:rStyle w:val="HideTWBExt"/>
      </w:rPr>
      <w:t>&lt;NoPE&gt;</w:t>
    </w:r>
    <w:r w:rsidRPr="001945F6">
      <w:t>758.023</w:t>
    </w:r>
    <w:r w:rsidRPr="001945F6">
      <w:rPr>
        <w:rStyle w:val="HideTWBExt"/>
      </w:rPr>
      <w:t>&lt;/NoPE&gt;&lt;Version&gt;</w:t>
    </w:r>
    <w:r w:rsidRPr="001945F6">
      <w:t>v02-00</w:t>
    </w:r>
    <w:r w:rsidRPr="001945F6">
      <w:rPr>
        <w:rStyle w:val="HideTWBExt"/>
      </w:rPr>
      <w:t>&lt;/Version&gt;</w:t>
    </w:r>
  </w:p>
  <w:p w:rsidR="001945F6" w:rsidRPr="001945F6" w:rsidRDefault="001945F6" w:rsidP="001945F6">
    <w:pPr>
      <w:pStyle w:val="EPFooter2"/>
    </w:pPr>
    <w:r w:rsidRPr="001945F6">
      <w:t>FR</w:t>
    </w:r>
    <w:r w:rsidRPr="001945F6">
      <w:tab/>
    </w:r>
    <w:r w:rsidRPr="001945F6">
      <w:rPr>
        <w:b w:val="0"/>
        <w:i/>
        <w:color w:val="C0C0C0"/>
        <w:sz w:val="22"/>
      </w:rPr>
      <w:t>Unie dans la diversité</w:t>
    </w:r>
    <w:r w:rsidRPr="001945F6">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90F" w:rsidRPr="001945F6" w:rsidRDefault="0002190F" w:rsidP="0002190F">
    <w:pPr>
      <w:pStyle w:val="EPFooter"/>
    </w:pPr>
    <w:r w:rsidRPr="001945F6">
      <w:rPr>
        <w:rStyle w:val="HideTWBExt"/>
      </w:rPr>
      <w:t>&lt;PathFdR&gt;</w:t>
    </w:r>
    <w:r w:rsidRPr="001945F6">
      <w:t>RR\1299643FR.docx</w:t>
    </w:r>
    <w:r w:rsidRPr="001945F6">
      <w:rPr>
        <w:rStyle w:val="HideTWBExt"/>
      </w:rPr>
      <w:t>&lt;/PathFdR&gt;</w:t>
    </w:r>
    <w:r w:rsidRPr="001945F6">
      <w:tab/>
    </w:r>
    <w:r w:rsidRPr="001945F6">
      <w:tab/>
      <w:t>PE</w:t>
    </w:r>
    <w:r w:rsidRPr="001945F6">
      <w:rPr>
        <w:rStyle w:val="HideTWBExt"/>
      </w:rPr>
      <w:t>&lt;NoPE&gt;</w:t>
    </w:r>
    <w:r w:rsidRPr="001945F6">
      <w:t>758.023</w:t>
    </w:r>
    <w:r w:rsidRPr="001945F6">
      <w:rPr>
        <w:rStyle w:val="HideTWBExt"/>
      </w:rPr>
      <w:t>&lt;/NoPE&gt;&lt;Version&gt;</w:t>
    </w:r>
    <w:r w:rsidRPr="001945F6">
      <w:t>v02-00</w:t>
    </w:r>
    <w:r w:rsidRPr="001945F6">
      <w:rPr>
        <w:rStyle w:val="HideTWBExt"/>
      </w:rPr>
      <w:t>&lt;/Version&gt;</w:t>
    </w:r>
  </w:p>
  <w:p w:rsidR="0085501C" w:rsidRPr="001945F6" w:rsidRDefault="0002190F" w:rsidP="0002190F">
    <w:pPr>
      <w:pStyle w:val="EPFooter2"/>
    </w:pPr>
    <w:r w:rsidRPr="001945F6">
      <w:t>FR</w:t>
    </w:r>
    <w:r w:rsidRPr="001945F6">
      <w:tab/>
    </w:r>
    <w:r w:rsidRPr="001945F6">
      <w:rPr>
        <w:b w:val="0"/>
        <w:i/>
        <w:color w:val="C0C0C0"/>
        <w:sz w:val="22"/>
      </w:rPr>
      <w:t>Unie dans la diversité</w:t>
    </w:r>
    <w:r w:rsidRPr="001945F6">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Pr="001945F6" w:rsidRDefault="001945F6" w:rsidP="00143E1F">
    <w:pPr>
      <w:pStyle w:val="EPFooter"/>
    </w:pPr>
    <w:r w:rsidRPr="001945F6">
      <w:rPr>
        <w:rStyle w:val="HideTWBExt"/>
      </w:rPr>
      <w:t>&lt;PathFdR&gt;</w:t>
    </w:r>
    <w:r w:rsidRPr="001945F6">
      <w:t>AD\1297791FR.docx</w:t>
    </w:r>
    <w:r w:rsidRPr="001945F6">
      <w:rPr>
        <w:rStyle w:val="HideTWBExt"/>
      </w:rPr>
      <w:t>&lt;/PathFdR&gt;</w:t>
    </w:r>
    <w:r w:rsidRPr="001945F6">
      <w:tab/>
    </w:r>
    <w:r w:rsidRPr="001945F6">
      <w:tab/>
      <w:t>PE</w:t>
    </w:r>
    <w:r w:rsidRPr="001945F6">
      <w:rPr>
        <w:rStyle w:val="HideTWBExt"/>
      </w:rPr>
      <w:t>&lt;NoPE&gt;</w:t>
    </w:r>
    <w:r w:rsidRPr="001945F6">
      <w:t>758.849</w:t>
    </w:r>
    <w:r w:rsidRPr="001945F6">
      <w:rPr>
        <w:rStyle w:val="HideTWBExt"/>
      </w:rPr>
      <w:t>&lt;/NoPE&gt;&lt;Version&gt;</w:t>
    </w:r>
    <w:r w:rsidRPr="001945F6">
      <w:t>v02-00</w:t>
    </w:r>
    <w:r w:rsidRPr="001945F6">
      <w:rPr>
        <w:rStyle w:val="HideTWBExt"/>
      </w:rPr>
      <w:t>&lt;/Version&gt;</w:t>
    </w:r>
  </w:p>
  <w:p w:rsidR="001945F6" w:rsidRPr="001945F6" w:rsidRDefault="001945F6" w:rsidP="00143E1F">
    <w:pPr>
      <w:pStyle w:val="EPFooter2"/>
    </w:pPr>
    <w:r w:rsidRPr="001945F6">
      <w:t>FR</w:t>
    </w:r>
    <w:r w:rsidRPr="001945F6">
      <w:tab/>
    </w:r>
    <w:r w:rsidRPr="001945F6">
      <w:rPr>
        <w:b w:val="0"/>
        <w:i/>
        <w:color w:val="C0C0C0"/>
        <w:sz w:val="22"/>
      </w:rPr>
      <w:t>Unie dans la diversité</w:t>
    </w:r>
    <w:r w:rsidRPr="001945F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052" w:rsidRPr="001945F6" w:rsidRDefault="00514052">
      <w:r w:rsidRPr="001945F6">
        <w:separator/>
      </w:r>
    </w:p>
  </w:footnote>
  <w:footnote w:type="continuationSeparator" w:id="0">
    <w:p w:rsidR="00514052" w:rsidRPr="001945F6" w:rsidRDefault="00514052">
      <w:r w:rsidRPr="001945F6">
        <w:continuationSeparator/>
      </w:r>
    </w:p>
  </w:footnote>
  <w:footnote w:id="1">
    <w:p w:rsidR="001945F6" w:rsidRPr="001945F6" w:rsidRDefault="001945F6" w:rsidP="00CD50D9">
      <w:pPr>
        <w:pStyle w:val="FootnoteText"/>
      </w:pPr>
      <w:r>
        <w:rPr>
          <w:rStyle w:val="FootnoteReference"/>
        </w:rPr>
        <w:footnoteRef/>
      </w:r>
      <w:r>
        <w:tab/>
        <w:t>Étaient présents au moment du vote final: David McAllister (président et rapporteur pour avis), Witold Jan Waszczykowski (vice-président), Alexander Alexandrov Yordanov, François Alfonsi, Petras Auštrevičius, Adam Bielan, Benoît Biteau, Krzysztof Brejza, Udo Bullmann, Traian Băsescu, Olivier Chastel, Włodzimierz Cimoszewicz, Anna Fotyga, Loucas Fourlas, Giorgos Georgiou, Francisco Guerreiro, Bernard Guetta, Rasa Juknevičienė, Sandra Kalniete, Andrius Kubilius, Sergey Lagodinsky, David Lega, Sven Mikser, Francisco José Millán Mon, Alessandra Moretti, Demetris Papadakis, Kostas Papadakis, Tonino Picula, Wolfram Pirchner, René Repasi, Thijs Reuten, Mounir Satouri, Jordi Solé, Tineke Strik, Nacho Sánchez Amor, Dominik Tarczyński, Lucia Vuolo, Mick Wallace, Charlie Weimers, Isabel Wiseler</w:t>
      </w:r>
      <w:r>
        <w:noBreakHyphen/>
        <w:t>Lima, Salima Yenbou, ainsi que João Albuquerque, Milan Brglez, Mónica Silvana González, Christophe Grudler, Georgios Kyrtsos et Maria Veronica Rossi (en vertu de l’article 209, paragraphe 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E60" w:rsidRDefault="00EF6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E60" w:rsidRDefault="00EF6E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E60" w:rsidRDefault="00EF6E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DAA" w:rsidRDefault="00807D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DAA" w:rsidRDefault="00807D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DAA" w:rsidRDefault="00807D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Default="001945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Default="001945F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F6" w:rsidRDefault="00194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DEVE"/>
    <w:docVar w:name="INSERTOPINKEY" w:val="AFET"/>
    <w:docVar w:name="LastEditedSection" w:val=" 1"/>
    <w:docVar w:name="strDocTypeID" w:val="PR_NLE-AP_Agreement"/>
    <w:docVar w:name="strSubDir" w:val="1299"/>
    <w:docVar w:name="TITLEMNU" w:val=" 1"/>
    <w:docVar w:name="TXTAUTHOR" w:val="Tomas Tobé"/>
    <w:docVar w:name="TXTLANGUE" w:val="FR"/>
    <w:docVar w:name="TXTLANGUEMIN" w:val="fr"/>
    <w:docVar w:name="TXTNRC" w:val="0000/2024"/>
    <w:docVar w:name="TXTNRCOM" w:val="(2023)0791"/>
    <w:docVar w:name="TXTNRNLE" w:val="2023/0464"/>
    <w:docVar w:name="TXTNRPE" w:val="758.023"/>
    <w:docVar w:name="TXTPEorAP" w:val="PE"/>
    <w:docVar w:name="TXTROUTE" w:val="RR\1299643FR.docx"/>
    <w:docVar w:name="TXTVERSION" w:val="02-00"/>
  </w:docVars>
  <w:rsids>
    <w:rsidRoot w:val="00514052"/>
    <w:rsid w:val="00001D52"/>
    <w:rsid w:val="0000443F"/>
    <w:rsid w:val="000053E3"/>
    <w:rsid w:val="0002190F"/>
    <w:rsid w:val="0006167F"/>
    <w:rsid w:val="00061EFE"/>
    <w:rsid w:val="00095D8B"/>
    <w:rsid w:val="000A2F73"/>
    <w:rsid w:val="000C123D"/>
    <w:rsid w:val="000D78AF"/>
    <w:rsid w:val="00180664"/>
    <w:rsid w:val="001874D8"/>
    <w:rsid w:val="001945F6"/>
    <w:rsid w:val="001D02E3"/>
    <w:rsid w:val="001F7BBE"/>
    <w:rsid w:val="00200FBA"/>
    <w:rsid w:val="0021049A"/>
    <w:rsid w:val="0022685A"/>
    <w:rsid w:val="002E2E20"/>
    <w:rsid w:val="002F5A83"/>
    <w:rsid w:val="003072BE"/>
    <w:rsid w:val="00337C92"/>
    <w:rsid w:val="00363B94"/>
    <w:rsid w:val="003B598C"/>
    <w:rsid w:val="004174FC"/>
    <w:rsid w:val="00460BD6"/>
    <w:rsid w:val="004859B3"/>
    <w:rsid w:val="004C083C"/>
    <w:rsid w:val="004E1650"/>
    <w:rsid w:val="00514052"/>
    <w:rsid w:val="0053367A"/>
    <w:rsid w:val="00544D48"/>
    <w:rsid w:val="005877C0"/>
    <w:rsid w:val="005A6B14"/>
    <w:rsid w:val="005D046D"/>
    <w:rsid w:val="005D0B97"/>
    <w:rsid w:val="005F5D6C"/>
    <w:rsid w:val="006132CE"/>
    <w:rsid w:val="00613F2E"/>
    <w:rsid w:val="006A1A75"/>
    <w:rsid w:val="006A2CF5"/>
    <w:rsid w:val="006F1B6F"/>
    <w:rsid w:val="00791637"/>
    <w:rsid w:val="007D4463"/>
    <w:rsid w:val="0080122F"/>
    <w:rsid w:val="00807DAA"/>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41DB3"/>
    <w:rsid w:val="00CB5651"/>
    <w:rsid w:val="00CC20CB"/>
    <w:rsid w:val="00CF44DF"/>
    <w:rsid w:val="00D04E0B"/>
    <w:rsid w:val="00D62DA0"/>
    <w:rsid w:val="00D6543C"/>
    <w:rsid w:val="00DF594D"/>
    <w:rsid w:val="00E14FEE"/>
    <w:rsid w:val="00E71368"/>
    <w:rsid w:val="00E93816"/>
    <w:rsid w:val="00EA59ED"/>
    <w:rsid w:val="00EF48F2"/>
    <w:rsid w:val="00EF6E60"/>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1DCDBA-FA24-4ACC-BE90-6EB4A3A1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D046D"/>
    <w:pPr>
      <w:tabs>
        <w:tab w:val="right" w:pos="454"/>
        <w:tab w:val="left" w:pos="737"/>
      </w:tabs>
      <w:ind w:left="737" w:hanging="737"/>
    </w:pPr>
    <w:rPr>
      <w:snapToGrid w:val="0"/>
      <w:sz w:val="18"/>
      <w:lang w:eastAsia="en-US"/>
    </w:rPr>
  </w:style>
  <w:style w:type="paragraph" w:customStyle="1" w:styleId="Lgendetitre">
    <w:name w:val="Légende titre"/>
    <w:basedOn w:val="Normal"/>
    <w:rsid w:val="005D046D"/>
    <w:pPr>
      <w:spacing w:before="240" w:after="240"/>
    </w:pPr>
    <w:rPr>
      <w:b/>
      <w:i/>
      <w:snapToGrid w:val="0"/>
      <w:lang w:eastAsia="en-US"/>
    </w:rPr>
  </w:style>
  <w:style w:type="paragraph" w:customStyle="1" w:styleId="Lgendestandard">
    <w:name w:val="Légende standard"/>
    <w:basedOn w:val="Normal"/>
    <w:rsid w:val="005D046D"/>
    <w:rPr>
      <w:sz w:val="18"/>
    </w:rPr>
  </w:style>
  <w:style w:type="paragraph" w:styleId="Footer">
    <w:name w:val="footer"/>
    <w:basedOn w:val="Normal"/>
    <w:link w:val="FooterChar"/>
    <w:semiHidden/>
    <w:rsid w:val="00EF6E60"/>
    <w:pPr>
      <w:tabs>
        <w:tab w:val="center" w:pos="4513"/>
        <w:tab w:val="right" w:pos="9026"/>
      </w:tabs>
    </w:pPr>
  </w:style>
  <w:style w:type="paragraph" w:customStyle="1" w:styleId="LetterSalutation">
    <w:name w:val="LetterSalutation"/>
    <w:basedOn w:val="Normal"/>
    <w:rsid w:val="001945F6"/>
    <w:pPr>
      <w:spacing w:before="600" w:after="360"/>
    </w:pPr>
  </w:style>
  <w:style w:type="paragraph" w:customStyle="1" w:styleId="Normal24a">
    <w:name w:val="Normal24a"/>
    <w:basedOn w:val="Normal"/>
    <w:rsid w:val="001945F6"/>
    <w:pPr>
      <w:spacing w:after="480"/>
    </w:pPr>
  </w:style>
  <w:style w:type="paragraph" w:customStyle="1" w:styleId="NormalBoldCenter">
    <w:name w:val="NormalBoldCenter"/>
    <w:basedOn w:val="Normal"/>
    <w:rsid w:val="001945F6"/>
    <w:pPr>
      <w:jc w:val="center"/>
    </w:pPr>
    <w:rPr>
      <w:b/>
    </w:rPr>
  </w:style>
  <w:style w:type="character" w:customStyle="1" w:styleId="PageHeadingChar">
    <w:name w:val="PageHeading Char"/>
    <w:basedOn w:val="DefaultParagraphFont"/>
    <w:link w:val="PageHeading"/>
    <w:rsid w:val="001945F6"/>
    <w:rPr>
      <w:rFonts w:ascii="Arial" w:hAnsi="Arial" w:cs="Arial"/>
      <w:b/>
      <w:sz w:val="24"/>
    </w:rPr>
  </w:style>
  <w:style w:type="paragraph" w:customStyle="1" w:styleId="Normal12a">
    <w:name w:val="Normal12a"/>
    <w:basedOn w:val="Normal"/>
    <w:rsid w:val="001945F6"/>
    <w:pPr>
      <w:spacing w:after="240"/>
    </w:pPr>
  </w:style>
  <w:style w:type="paragraph" w:customStyle="1" w:styleId="PageHeadingNotTOC">
    <w:name w:val="PageHeadingNotTOC"/>
    <w:basedOn w:val="Normal"/>
    <w:rsid w:val="001945F6"/>
    <w:pPr>
      <w:keepNext/>
      <w:spacing w:after="480"/>
      <w:jc w:val="center"/>
    </w:pPr>
    <w:rPr>
      <w:rFonts w:ascii="Arial" w:hAnsi="Arial" w:cs="Arial"/>
      <w:b/>
    </w:rPr>
  </w:style>
  <w:style w:type="paragraph" w:customStyle="1" w:styleId="NormalCenter12a">
    <w:name w:val="NormalCenter12a"/>
    <w:basedOn w:val="Normal"/>
    <w:rsid w:val="001945F6"/>
    <w:pPr>
      <w:spacing w:after="240"/>
      <w:jc w:val="center"/>
    </w:pPr>
  </w:style>
  <w:style w:type="paragraph" w:customStyle="1" w:styleId="RollCallSymbols14pt">
    <w:name w:val="RollCallSymbols14pt"/>
    <w:basedOn w:val="Normal"/>
    <w:rsid w:val="001945F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945F6"/>
    <w:pPr>
      <w:tabs>
        <w:tab w:val="center" w:pos="284"/>
        <w:tab w:val="left" w:pos="426"/>
      </w:tabs>
    </w:pPr>
    <w:rPr>
      <w:snapToGrid w:val="0"/>
      <w:lang w:eastAsia="en-US"/>
    </w:rPr>
  </w:style>
  <w:style w:type="paragraph" w:customStyle="1" w:styleId="RollCallVotes">
    <w:name w:val="RollCallVotes"/>
    <w:basedOn w:val="Normal"/>
    <w:rsid w:val="001945F6"/>
    <w:pPr>
      <w:spacing w:before="120" w:after="120"/>
      <w:jc w:val="center"/>
    </w:pPr>
    <w:rPr>
      <w:b/>
      <w:bCs/>
      <w:snapToGrid w:val="0"/>
      <w:sz w:val="16"/>
      <w:lang w:eastAsia="en-US"/>
    </w:rPr>
  </w:style>
  <w:style w:type="paragraph" w:customStyle="1" w:styleId="RollCallTable">
    <w:name w:val="RollCallTable"/>
    <w:basedOn w:val="Normal"/>
    <w:rsid w:val="001945F6"/>
    <w:pPr>
      <w:spacing w:before="120" w:after="120"/>
    </w:pPr>
    <w:rPr>
      <w:snapToGrid w:val="0"/>
      <w:sz w:val="16"/>
      <w:lang w:eastAsia="en-US"/>
    </w:rPr>
  </w:style>
  <w:style w:type="paragraph" w:customStyle="1" w:styleId="LetterSubject">
    <w:name w:val="LetterSubject"/>
    <w:basedOn w:val="Normal"/>
    <w:rsid w:val="001945F6"/>
    <w:pPr>
      <w:spacing w:before="480"/>
      <w:ind w:left="1134" w:hanging="1134"/>
    </w:pPr>
  </w:style>
  <w:style w:type="paragraph" w:styleId="FootnoteText">
    <w:name w:val="footnote text"/>
    <w:basedOn w:val="Normal"/>
    <w:link w:val="FootnoteTextChar"/>
    <w:rsid w:val="001945F6"/>
    <w:rPr>
      <w:sz w:val="20"/>
    </w:rPr>
  </w:style>
  <w:style w:type="character" w:customStyle="1" w:styleId="FootnoteTextChar">
    <w:name w:val="Footnote Text Char"/>
    <w:basedOn w:val="DefaultParagraphFont"/>
    <w:link w:val="FootnoteText"/>
    <w:rsid w:val="001945F6"/>
  </w:style>
  <w:style w:type="character" w:styleId="FootnoteReference">
    <w:name w:val="footnote reference"/>
    <w:basedOn w:val="DefaultParagraphFont"/>
    <w:rsid w:val="001945F6"/>
    <w:rPr>
      <w:vertAlign w:val="superscript"/>
    </w:rPr>
  </w:style>
  <w:style w:type="paragraph" w:customStyle="1" w:styleId="Normal12">
    <w:name w:val="Normal12"/>
    <w:basedOn w:val="Normal"/>
    <w:link w:val="Normal12Char"/>
    <w:rsid w:val="001945F6"/>
    <w:pPr>
      <w:spacing w:after="240"/>
    </w:pPr>
    <w:rPr>
      <w:rFonts w:ascii="Arial" w:hAnsi="Arial" w:cs="Arial"/>
    </w:rPr>
  </w:style>
  <w:style w:type="character" w:customStyle="1" w:styleId="Normal12Char">
    <w:name w:val="Normal12 Char"/>
    <w:basedOn w:val="PageHeadingChar"/>
    <w:link w:val="Normal12"/>
    <w:rsid w:val="001945F6"/>
    <w:rPr>
      <w:rFonts w:ascii="Arial" w:hAnsi="Arial" w:cs="Arial"/>
      <w:b w:val="0"/>
      <w:sz w:val="24"/>
    </w:rPr>
  </w:style>
  <w:style w:type="character" w:customStyle="1" w:styleId="FooterChar">
    <w:name w:val="Footer Char"/>
    <w:basedOn w:val="DefaultParagraphFont"/>
    <w:link w:val="Footer"/>
    <w:semiHidden/>
    <w:rsid w:val="00EF6E6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A599C-0018-4148-A99E-B21621187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2723</Words>
  <Characters>15930</Characters>
  <Application>Microsoft Office Word</Application>
  <DocSecurity>0</DocSecurity>
  <Lines>482</Lines>
  <Paragraphs>274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CWIRKO Andrzej</dc:creator>
  <cp:keywords/>
  <cp:lastModifiedBy>PAVAT Claire</cp:lastModifiedBy>
  <cp:revision>2</cp:revision>
  <cp:lastPrinted>2002-12-11T09:25:00Z</cp:lastPrinted>
  <dcterms:created xsi:type="dcterms:W3CDTF">2024-03-26T11:33:00Z</dcterms:created>
  <dcterms:modified xsi:type="dcterms:W3CDTF">2024-03-26T11:33:00Z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[20240101]</vt:lpwstr>
  </property>
  <property fmtid="{D5CDD505-2E9C-101B-9397-08002B2CF9AE}" pid="4" name="LastEdited with">
    <vt:lpwstr>9.17.2 Build [20240301]</vt:lpwstr>
  </property>
  <property fmtid="{D5CDD505-2E9C-101B-9397-08002B2CF9AE}" pid="5" name="&lt;FdR&gt;">
    <vt:lpwstr>1299643</vt:lpwstr>
  </property>
  <property fmtid="{D5CDD505-2E9C-101B-9397-08002B2CF9AE}" pid="6" name="&lt;Type&gt;">
    <vt:lpwstr>RR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\\eiciLUXpr1\pdocep$\DocEP\TRANSFIL\FR\PR_NLE-AP_Agreement.FR(29/06/2022 09:22:54)</vt:lpwstr>
  </property>
  <property fmtid="{D5CDD505-2E9C-101B-9397-08002B2CF9AE}" pid="9" name="&lt;Model&gt;">
    <vt:lpwstr>PR_NLE-AP_Agreement</vt:lpwstr>
  </property>
  <property fmtid="{D5CDD505-2E9C-101B-9397-08002B2CF9AE}" pid="10" name="FooterPath">
    <vt:lpwstr>RR\1299643FR.docx</vt:lpwstr>
  </property>
  <property fmtid="{D5CDD505-2E9C-101B-9397-08002B2CF9AE}" pid="11" name="PE number">
    <vt:lpwstr>758.023</vt:lpwstr>
  </property>
  <property fmtid="{D5CDD505-2E9C-101B-9397-08002B2CF9AE}" pid="12" name="Bookout">
    <vt:lpwstr>OK - 2024/03/26 12:33</vt:lpwstr>
  </property>
  <property fmtid="{D5CDD505-2E9C-101B-9397-08002B2CF9AE}" pid="13" name="SDLStudio">
    <vt:lpwstr/>
  </property>
</Properties>
</file>