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46F80" w:rsidTr="0040576D">
        <w:trPr>
          <w:trHeight w:hRule="exact" w:val="1418"/>
        </w:trPr>
        <w:tc>
          <w:tcPr>
            <w:tcW w:w="6804" w:type="dxa"/>
            <w:shd w:val="clear" w:color="auto" w:fill="auto"/>
            <w:vAlign w:val="center"/>
          </w:tcPr>
          <w:p w:rsidR="00B843F1" w:rsidRPr="008E19CA" w:rsidRDefault="00B10F38" w:rsidP="00AA20EA">
            <w:pPr>
              <w:pStyle w:val="EPName"/>
              <w:widowControl/>
            </w:pPr>
            <w:r>
              <w:t>Parlement européen</w:t>
            </w:r>
          </w:p>
          <w:p w:rsidR="00B843F1" w:rsidRPr="008E19CA" w:rsidRDefault="00B10F38" w:rsidP="00AA20EA">
            <w:pPr>
              <w:pStyle w:val="EPTerm"/>
              <w:widowControl/>
            </w:pPr>
            <w:r>
              <w:t>2019-2024</w:t>
            </w:r>
          </w:p>
        </w:tc>
        <w:tc>
          <w:tcPr>
            <w:tcW w:w="2268" w:type="dxa"/>
            <w:shd w:val="clear" w:color="auto" w:fill="auto"/>
          </w:tcPr>
          <w:p w:rsidR="00B843F1" w:rsidRPr="008E19CA" w:rsidRDefault="00B10F38" w:rsidP="00AA20EA">
            <w:pPr>
              <w:pStyle w:val="EPLogo"/>
              <w:widowControl/>
            </w:pPr>
            <w:r w:rsidRPr="008E19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233823" w:rsidRPr="008E19CA" w:rsidRDefault="00233823" w:rsidP="00AA20EA">
      <w:pPr>
        <w:pStyle w:val="LineTop"/>
        <w:widowControl/>
      </w:pPr>
    </w:p>
    <w:p w:rsidR="00233823" w:rsidRPr="008E19CA" w:rsidRDefault="00B10F38" w:rsidP="00AA20EA">
      <w:pPr>
        <w:pStyle w:val="EPBody"/>
        <w:widowControl/>
      </w:pPr>
      <w:r>
        <w:t>Document de séance</w:t>
      </w:r>
    </w:p>
    <w:p w:rsidR="00233823" w:rsidRPr="008E19CA" w:rsidRDefault="00233823" w:rsidP="00AA20EA">
      <w:pPr>
        <w:pStyle w:val="LineBottom"/>
        <w:widowControl/>
      </w:pPr>
    </w:p>
    <w:p w:rsidR="00DA31E7" w:rsidRPr="008E19CA" w:rsidRDefault="00B10F38" w:rsidP="00AA20EA">
      <w:pPr>
        <w:pStyle w:val="CoverReference"/>
        <w:widowControl/>
      </w:pPr>
      <w:r>
        <w:rPr>
          <w:rStyle w:val="HideTWBExt"/>
        </w:rPr>
        <w:t>&lt;NoDocSe&gt;</w:t>
      </w:r>
      <w:r>
        <w:t>A9-0174/2024</w:t>
      </w:r>
      <w:r>
        <w:rPr>
          <w:rStyle w:val="HideTWBExt"/>
        </w:rPr>
        <w:t>&lt;/NoDocSe&gt;</w:t>
      </w:r>
    </w:p>
    <w:p w:rsidR="00DA31E7" w:rsidRPr="008E19CA" w:rsidRDefault="00B10F38" w:rsidP="00AA20EA">
      <w:pPr>
        <w:pStyle w:val="CoverDate"/>
        <w:widowControl/>
      </w:pPr>
      <w:r>
        <w:rPr>
          <w:rStyle w:val="HideTWBExt"/>
        </w:rPr>
        <w:t>&lt;Date&gt;</w:t>
      </w:r>
      <w:r>
        <w:rPr>
          <w:rStyle w:val="HideTWBInt"/>
          <w:color w:val="auto"/>
        </w:rPr>
        <w:t>{10/04/2024}</w:t>
      </w:r>
      <w:r>
        <w:t>10.4.2024</w:t>
      </w:r>
      <w:r>
        <w:rPr>
          <w:rStyle w:val="HideTWBExt"/>
        </w:rPr>
        <w:t>&lt;/Date&gt;</w:t>
      </w:r>
    </w:p>
    <w:p w:rsidR="00DA31E7" w:rsidRPr="008E19CA" w:rsidRDefault="00B10F38" w:rsidP="00AA20EA">
      <w:pPr>
        <w:pStyle w:val="CoverDocType24a"/>
        <w:widowControl/>
      </w:pPr>
      <w:r>
        <w:rPr>
          <w:rStyle w:val="HideTWBExt"/>
          <w:b w:val="0"/>
        </w:rPr>
        <w:t>&lt;TitreType&gt;</w:t>
      </w:r>
      <w:r>
        <w:t>RAPPORT</w:t>
      </w:r>
      <w:r>
        <w:rPr>
          <w:rStyle w:val="HideTWBExt"/>
          <w:b w:val="0"/>
        </w:rPr>
        <w:t>&lt;/TitreType&gt;</w:t>
      </w:r>
    </w:p>
    <w:p w:rsidR="00DA31E7" w:rsidRPr="008E19CA" w:rsidRDefault="00B10F38" w:rsidP="00AA20EA">
      <w:pPr>
        <w:pStyle w:val="CoverNormal"/>
        <w:widowControl/>
      </w:pPr>
      <w:r>
        <w:rPr>
          <w:rStyle w:val="HideTWBExt"/>
        </w:rPr>
        <w:t>&lt;Titre&gt;</w:t>
      </w:r>
      <w:r>
        <w:t xml:space="preserve">concernant la position du Conseil sur le projet de budget rectificatif nº 1/2024 de l’Union </w:t>
      </w:r>
      <w:r>
        <w:t>européenne pour l’exercice 2024 – Modification du budget 2024 requise à la suite de la révision du CFP</w:t>
      </w:r>
      <w:r>
        <w:rPr>
          <w:rStyle w:val="HideTWBExt"/>
        </w:rPr>
        <w:t>&lt;/Titre&gt;</w:t>
      </w:r>
    </w:p>
    <w:p w:rsidR="00DA31E7" w:rsidRPr="008E19CA" w:rsidRDefault="00B10F38" w:rsidP="00AA20EA">
      <w:pPr>
        <w:pStyle w:val="CoverNormal24a"/>
        <w:widowControl/>
      </w:pPr>
      <w:r>
        <w:rPr>
          <w:rStyle w:val="HideTWBExt"/>
        </w:rPr>
        <w:t>&lt;DocRef&gt;</w:t>
      </w:r>
      <w:r>
        <w:t>(07432/2024 – C9-0048/2024 – 2024/0056(BUD))</w:t>
      </w:r>
      <w:r>
        <w:rPr>
          <w:rStyle w:val="HideTWBExt"/>
        </w:rPr>
        <w:t>&lt;/DocRef&gt;</w:t>
      </w:r>
    </w:p>
    <w:p w:rsidR="00DA31E7" w:rsidRPr="008E19CA" w:rsidRDefault="00B10F38" w:rsidP="00AA20EA">
      <w:pPr>
        <w:pStyle w:val="CoverNormal24a"/>
        <w:widowControl/>
      </w:pPr>
      <w:r>
        <w:rPr>
          <w:rStyle w:val="HideTWBExt"/>
        </w:rPr>
        <w:t>&lt;Commission&gt;</w:t>
      </w:r>
      <w:r>
        <w:rPr>
          <w:rStyle w:val="HideTWBInt"/>
          <w:color w:val="auto"/>
        </w:rPr>
        <w:t>{BUDG}</w:t>
      </w:r>
      <w:r>
        <w:t>Commission des budgets</w:t>
      </w:r>
      <w:r>
        <w:rPr>
          <w:rStyle w:val="HideTWBExt"/>
        </w:rPr>
        <w:t>&lt;/Commission&gt;</w:t>
      </w:r>
    </w:p>
    <w:p w:rsidR="00DA31E7" w:rsidRPr="008E19CA" w:rsidRDefault="00B10F38" w:rsidP="00AA20EA">
      <w:pPr>
        <w:pStyle w:val="CoverNormal24a"/>
        <w:widowControl/>
      </w:pPr>
      <w:r>
        <w:t xml:space="preserve">Rapporteur: </w:t>
      </w:r>
      <w:r>
        <w:rPr>
          <w:rStyle w:val="HideTWBExt"/>
        </w:rPr>
        <w:t>&lt;Depute&gt;</w:t>
      </w:r>
      <w:r>
        <w:t>Siegfried</w:t>
      </w:r>
      <w:r>
        <w:t xml:space="preserve"> Mureşan</w:t>
      </w:r>
      <w:r>
        <w:rPr>
          <w:rStyle w:val="HideTWBExt"/>
        </w:rPr>
        <w:t>&lt;/Depute&gt;</w:t>
      </w:r>
    </w:p>
    <w:p w:rsidR="00DA31E7" w:rsidRPr="008E19CA" w:rsidRDefault="00DA31E7" w:rsidP="00AA20EA">
      <w:pPr>
        <w:pStyle w:val="CoverNormal"/>
        <w:widowControl/>
      </w:pPr>
    </w:p>
    <w:p w:rsidR="00C23ADB" w:rsidRPr="008E19CA" w:rsidRDefault="00B10F38" w:rsidP="00AA20EA">
      <w:pPr>
        <w:pStyle w:val="CoverReference"/>
        <w:widowControl/>
      </w:pPr>
      <w:r>
        <w:br w:type="page"/>
      </w:r>
      <w:r>
        <w:lastRenderedPageBreak/>
        <w:t>PR_BUD_DABapp</w:t>
      </w:r>
    </w:p>
    <w:p w:rsidR="00C23ADB" w:rsidRPr="008E19CA" w:rsidRDefault="00B10F38" w:rsidP="00AA20EA">
      <w:pPr>
        <w:pStyle w:val="TOCHeading"/>
        <w:widowControl/>
      </w:pPr>
      <w:r>
        <w:t>SOMMAIRE</w:t>
      </w:r>
    </w:p>
    <w:p w:rsidR="00C23ADB" w:rsidRPr="008E19CA" w:rsidRDefault="00B10F38" w:rsidP="00AA20EA">
      <w:pPr>
        <w:pStyle w:val="TOCPage"/>
        <w:widowControl/>
      </w:pPr>
      <w:r>
        <w:t>Page</w:t>
      </w:r>
    </w:p>
    <w:p w:rsidR="00B10F38" w:rsidRDefault="00B10F38">
      <w:pPr>
        <w:pStyle w:val="TOC1"/>
        <w:tabs>
          <w:tab w:val="right" w:leader="dot" w:pos="9060"/>
        </w:tabs>
        <w:rPr>
          <w:rFonts w:asciiTheme="minorHAnsi" w:eastAsiaTheme="minorEastAsia" w:hAnsiTheme="minorHAnsi" w:cstheme="minorBidi"/>
          <w:noProof/>
          <w:sz w:val="22"/>
          <w:szCs w:val="22"/>
          <w:lang w:val="en-GB"/>
        </w:rPr>
      </w:pPr>
      <w:r w:rsidRPr="008E19CA">
        <w:fldChar w:fldCharType="begin"/>
      </w:r>
      <w:r w:rsidRPr="008E19CA">
        <w:instrText xml:space="preserve"> TOC \t "PageHeading</w:instrText>
      </w:r>
      <w:r w:rsidR="008E7C41" w:rsidRPr="008E19CA">
        <w:instrText>;</w:instrText>
      </w:r>
      <w:r w:rsidRPr="008E19CA">
        <w:instrText xml:space="preserve">1" </w:instrText>
      </w:r>
      <w:r w:rsidRPr="008E19CA">
        <w:fldChar w:fldCharType="separate"/>
      </w:r>
      <w:r>
        <w:rPr>
          <w:noProof/>
        </w:rPr>
        <w:t>PROPOSITION DE RÉSOLUTION DU PARLEMENT EUROPÉEN</w:t>
      </w:r>
      <w:r>
        <w:rPr>
          <w:noProof/>
        </w:rPr>
        <w:tab/>
      </w:r>
      <w:r>
        <w:rPr>
          <w:noProof/>
        </w:rPr>
        <w:fldChar w:fldCharType="begin"/>
      </w:r>
      <w:r>
        <w:rPr>
          <w:noProof/>
        </w:rPr>
        <w:instrText xml:space="preserve"> PAGEREF _Toc164151067 \h </w:instrText>
      </w:r>
      <w:r>
        <w:rPr>
          <w:noProof/>
        </w:rPr>
      </w:r>
      <w:r>
        <w:rPr>
          <w:noProof/>
        </w:rPr>
        <w:fldChar w:fldCharType="separate"/>
      </w:r>
      <w:r>
        <w:rPr>
          <w:noProof/>
        </w:rPr>
        <w:t>3</w:t>
      </w:r>
      <w:r>
        <w:rPr>
          <w:noProof/>
        </w:rPr>
        <w:fldChar w:fldCharType="end"/>
      </w:r>
    </w:p>
    <w:p w:rsidR="00B10F38" w:rsidRDefault="00B10F38">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_Toc164151068 \h </w:instrText>
      </w:r>
      <w:r>
        <w:rPr>
          <w:noProof/>
        </w:rPr>
      </w:r>
      <w:r>
        <w:rPr>
          <w:noProof/>
        </w:rPr>
        <w:fldChar w:fldCharType="separate"/>
      </w:r>
      <w:r>
        <w:rPr>
          <w:noProof/>
        </w:rPr>
        <w:t>8</w:t>
      </w:r>
      <w:r>
        <w:rPr>
          <w:noProof/>
        </w:rPr>
        <w:fldChar w:fldCharType="end"/>
      </w:r>
    </w:p>
    <w:p w:rsidR="00B10F38" w:rsidRDefault="00B10F38">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_Toc164151069 \h </w:instrText>
      </w:r>
      <w:r>
        <w:rPr>
          <w:noProof/>
        </w:rPr>
      </w:r>
      <w:r>
        <w:rPr>
          <w:noProof/>
        </w:rPr>
        <w:fldChar w:fldCharType="separate"/>
      </w:r>
      <w:r>
        <w:rPr>
          <w:noProof/>
        </w:rPr>
        <w:t>9</w:t>
      </w:r>
      <w:r>
        <w:rPr>
          <w:noProof/>
        </w:rPr>
        <w:fldChar w:fldCharType="end"/>
      </w:r>
    </w:p>
    <w:p w:rsidR="00B10F38" w:rsidRDefault="00B10F38">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_Toc164151070 \h </w:instrText>
      </w:r>
      <w:r>
        <w:rPr>
          <w:noProof/>
        </w:rPr>
      </w:r>
      <w:r>
        <w:rPr>
          <w:noProof/>
        </w:rPr>
        <w:fldChar w:fldCharType="separate"/>
      </w:r>
      <w:r>
        <w:rPr>
          <w:noProof/>
        </w:rPr>
        <w:t>10</w:t>
      </w:r>
      <w:r>
        <w:rPr>
          <w:noProof/>
        </w:rPr>
        <w:fldChar w:fldCharType="end"/>
      </w:r>
    </w:p>
    <w:p w:rsidR="00C23ADB" w:rsidRPr="008E19CA" w:rsidRDefault="00B10F38" w:rsidP="00AA20EA">
      <w:pPr>
        <w:widowControl/>
      </w:pPr>
      <w:r w:rsidRPr="008E19CA">
        <w:fldChar w:fldCharType="end"/>
      </w:r>
    </w:p>
    <w:p w:rsidR="00C23ADB" w:rsidRPr="008E19CA" w:rsidRDefault="00B10F38" w:rsidP="00AA20EA">
      <w:pPr>
        <w:pStyle w:val="PageHeading"/>
        <w:widowControl/>
      </w:pPr>
      <w:r>
        <w:br w:type="page"/>
      </w:r>
      <w:bookmarkStart w:id="0" w:name="_Toc164151067"/>
      <w:r>
        <w:lastRenderedPageBreak/>
        <w:t>PROPOSITION DE RÉSOLUTION DU PARLEMENT EUROPÉEN</w:t>
      </w:r>
      <w:bookmarkEnd w:id="0"/>
    </w:p>
    <w:p w:rsidR="00F339D9" w:rsidRPr="008E19CA" w:rsidRDefault="00B10F38" w:rsidP="00AA20EA">
      <w:pPr>
        <w:pStyle w:val="NormalBold"/>
        <w:widowControl/>
      </w:pPr>
      <w:r>
        <w:t>concernant la position du Conseil sur le pro</w:t>
      </w:r>
      <w:r>
        <w:t>jet de budget rectificatif n° 1/2024 de l’Union européenne pour l’exercice 2024 – Modification du budget 2024 requise à la suite de la révision du CFP</w:t>
      </w:r>
    </w:p>
    <w:p w:rsidR="00F339D9" w:rsidRPr="008E19CA" w:rsidRDefault="00B10F38" w:rsidP="00AA20EA">
      <w:pPr>
        <w:pStyle w:val="NormalBold"/>
        <w:widowControl/>
      </w:pPr>
      <w:r>
        <w:t>(07432/2024 – C9</w:t>
      </w:r>
      <w:r>
        <w:noBreakHyphen/>
        <w:t>0048/2024 – 2024/0056(BUD))</w:t>
      </w:r>
    </w:p>
    <w:p w:rsidR="00F339D9" w:rsidRPr="008E19CA" w:rsidRDefault="00B10F38" w:rsidP="00AA20EA">
      <w:pPr>
        <w:pStyle w:val="EPComma"/>
        <w:widowControl/>
      </w:pPr>
      <w:r>
        <w:rPr>
          <w:i/>
        </w:rPr>
        <w:t>Le Parlement européen</w:t>
      </w:r>
      <w:r>
        <w:t>,</w:t>
      </w:r>
    </w:p>
    <w:p w:rsidR="00F339D9" w:rsidRPr="008E19CA" w:rsidRDefault="00B10F38" w:rsidP="00AA20EA">
      <w:pPr>
        <w:pStyle w:val="NormalHanging12a"/>
        <w:widowControl/>
      </w:pPr>
      <w:r>
        <w:t>–</w:t>
      </w:r>
      <w:r>
        <w:tab/>
        <w:t>vu l’article 314 du traité sur le f</w:t>
      </w:r>
      <w:r>
        <w:t>onctionnement de l’Union européenne,</w:t>
      </w:r>
    </w:p>
    <w:p w:rsidR="00F339D9" w:rsidRPr="008E19CA" w:rsidRDefault="00B10F38" w:rsidP="00AA20EA">
      <w:pPr>
        <w:pStyle w:val="NormalHanging12a"/>
        <w:widowControl/>
      </w:pPr>
      <w:r>
        <w:t>–</w:t>
      </w:r>
      <w:r>
        <w:tab/>
        <w:t>vu l’article 106 bis du traité instituant la Communauté européenne de l’énergie atomique,</w:t>
      </w:r>
    </w:p>
    <w:p w:rsidR="00F339D9" w:rsidRPr="008E19CA" w:rsidRDefault="00B10F38" w:rsidP="00AA20EA">
      <w:pPr>
        <w:pStyle w:val="NormalHanging12a"/>
        <w:widowControl/>
      </w:pPr>
      <w:r>
        <w:t>–</w:t>
      </w:r>
      <w:r>
        <w:tab/>
        <w:t>vu le règlement (UE, Euratom) 2018/1046 du Parlement européen et du Conseil du 18 juillet 2018 relatif aux règles financières</w:t>
      </w:r>
      <w:r>
        <w:t xml:space="preserve"> applicables au budget général de l’Union, modifiant les règlements (UE) nº 1296/2013, (UE) nº 1301/2013, (UE) nº 1303/2013, (UE) nº 1304/2013, (UE) nº 1309/2013, (UE) nº 1316/2013, (UE) nº 223/2014, (UE) nº 283/2014 et la décision nº 541/2014/UE, et abrog</w:t>
      </w:r>
      <w:r>
        <w:t>eant le règlement (UE, Euratom) nº 966/2012</w:t>
      </w:r>
      <w:r>
        <w:rPr>
          <w:rStyle w:val="FootnoteReference"/>
        </w:rPr>
        <w:footnoteReference w:id="1"/>
      </w:r>
      <w:r>
        <w:t>, et notamment son article 44,</w:t>
      </w:r>
    </w:p>
    <w:p w:rsidR="00F339D9" w:rsidRPr="008E19CA" w:rsidRDefault="00B10F38" w:rsidP="00AA20EA">
      <w:pPr>
        <w:pStyle w:val="NormalHanging12a"/>
        <w:widowControl/>
      </w:pPr>
      <w:r>
        <w:t>–</w:t>
      </w:r>
      <w:r>
        <w:tab/>
        <w:t>vu le budget général de l’Union européenne pour l’exercice 2024, définitivement adopté le 22 novembre 2023</w:t>
      </w:r>
      <w:r>
        <w:rPr>
          <w:rStyle w:val="FootnoteReference"/>
        </w:rPr>
        <w:footnoteReference w:id="2"/>
      </w:r>
      <w:r>
        <w:t>,</w:t>
      </w:r>
    </w:p>
    <w:p w:rsidR="00F339D9" w:rsidRPr="008E19CA" w:rsidRDefault="00B10F38" w:rsidP="00AA20EA">
      <w:pPr>
        <w:pStyle w:val="NormalHanging12a"/>
        <w:widowControl/>
        <w:rPr>
          <w:szCs w:val="24"/>
        </w:rPr>
      </w:pPr>
      <w:r>
        <w:t>–</w:t>
      </w:r>
      <w:r>
        <w:tab/>
        <w:t xml:space="preserve">vu le règlement (UE, Euratom) </w:t>
      </w:r>
      <w:r>
        <w:rPr>
          <w:color w:val="333333"/>
          <w:shd w:val="clear" w:color="auto" w:fill="FFFFFF"/>
        </w:rPr>
        <w:t>2024/765 du Conseil du 29 février 2024</w:t>
      </w:r>
      <w:r>
        <w:rPr>
          <w:color w:val="333333"/>
          <w:shd w:val="clear" w:color="auto" w:fill="FFFFFF"/>
        </w:rPr>
        <w:t xml:space="preserve"> modifiant le règlement (UE, Euratom) 2020/2093 fixant le cadre financier pluriannuel pour les années 2021 à 2027</w:t>
      </w:r>
      <w:r>
        <w:rPr>
          <w:rStyle w:val="FootnoteReference"/>
          <w:bCs/>
          <w:color w:val="333333"/>
          <w:szCs w:val="24"/>
          <w:shd w:val="clear" w:color="auto" w:fill="FFFFFF"/>
        </w:rPr>
        <w:footnoteReference w:id="3"/>
      </w:r>
      <w:r>
        <w:t>,</w:t>
      </w:r>
    </w:p>
    <w:p w:rsidR="00F339D9" w:rsidRPr="008E19CA" w:rsidRDefault="00B10F38" w:rsidP="00AA20EA">
      <w:pPr>
        <w:pStyle w:val="NormalHanging12a"/>
        <w:widowControl/>
        <w:rPr>
          <w:bCs/>
          <w:color w:val="333333"/>
          <w:szCs w:val="24"/>
          <w:shd w:val="clear" w:color="auto" w:fill="FFFFFF"/>
        </w:rPr>
      </w:pPr>
      <w:r>
        <w:t>–</w:t>
      </w:r>
      <w:r>
        <w:tab/>
        <w:t xml:space="preserve">vu </w:t>
      </w:r>
      <w:r>
        <w:rPr>
          <w:color w:val="333333"/>
          <w:shd w:val="clear" w:color="auto" w:fill="FFFFFF"/>
        </w:rPr>
        <w:t>le règlement (UE) 2024/792 du Parlement européen et du Conseil du 29 février 2024 établissant la facilité pour l’Ukraine</w:t>
      </w:r>
      <w:r>
        <w:rPr>
          <w:rStyle w:val="FootnoteReference"/>
          <w:bCs/>
          <w:color w:val="333333"/>
          <w:szCs w:val="24"/>
          <w:shd w:val="clear" w:color="auto" w:fill="FFFFFF"/>
        </w:rPr>
        <w:footnoteReference w:id="4"/>
      </w:r>
      <w:r>
        <w:rPr>
          <w:color w:val="333333"/>
          <w:shd w:val="clear" w:color="auto" w:fill="FFFFFF"/>
        </w:rPr>
        <w:t>,</w:t>
      </w:r>
    </w:p>
    <w:p w:rsidR="00F339D9" w:rsidRPr="008E19CA" w:rsidRDefault="00B10F38" w:rsidP="00AA20EA">
      <w:pPr>
        <w:pStyle w:val="NormalHanging12a"/>
        <w:widowControl/>
        <w:rPr>
          <w:bCs/>
          <w:color w:val="333333"/>
          <w:szCs w:val="24"/>
          <w:shd w:val="clear" w:color="auto" w:fill="FFFFFF"/>
        </w:rPr>
      </w:pPr>
      <w:r>
        <w:t>–</w:t>
      </w:r>
      <w:r>
        <w:tab/>
        <w:t xml:space="preserve">vu </w:t>
      </w:r>
      <w:r>
        <w:rPr>
          <w:color w:val="333333"/>
          <w:shd w:val="clear" w:color="auto" w:fill="FFFFFF"/>
        </w:rPr>
        <w:t xml:space="preserve">le </w:t>
      </w:r>
      <w:r>
        <w:rPr>
          <w:color w:val="333333"/>
          <w:shd w:val="clear" w:color="auto" w:fill="FFFFFF"/>
        </w:rPr>
        <w:t>règlement (UE) 2024/795 du Parlement européen et du Conseil du 29 février 2024 établissant la plateforme «Technologies stratégiques pour l’Europe» (STEP) et modifiant la directive 2003/87/CE et les règlements (UE) 2021/1058, (UE) 2021/1056, (UE) 2021/1057,</w:t>
      </w:r>
      <w:r>
        <w:rPr>
          <w:color w:val="333333"/>
          <w:shd w:val="clear" w:color="auto" w:fill="FFFFFF"/>
        </w:rPr>
        <w:t xml:space="preserve"> (UE) nº 1303/2013, (UE) nº 223/2014, (UE) 2021/1060, (UE) 2021/523, (UE) 2021/695, (UE) 2021/697 et (UE) 2021/241</w:t>
      </w:r>
      <w:r>
        <w:rPr>
          <w:rStyle w:val="FootnoteReference"/>
          <w:bCs/>
          <w:color w:val="333333"/>
          <w:szCs w:val="24"/>
          <w:shd w:val="clear" w:color="auto" w:fill="FFFFFF"/>
        </w:rPr>
        <w:footnoteReference w:id="5"/>
      </w:r>
      <w:r>
        <w:rPr>
          <w:color w:val="333333"/>
          <w:shd w:val="clear" w:color="auto" w:fill="FFFFFF"/>
        </w:rPr>
        <w:t>,</w:t>
      </w:r>
    </w:p>
    <w:p w:rsidR="00F339D9" w:rsidRPr="008E19CA" w:rsidRDefault="00B10F38" w:rsidP="00AA20EA">
      <w:pPr>
        <w:pStyle w:val="NormalHanging12a"/>
        <w:widowControl/>
      </w:pPr>
      <w:r>
        <w:t>–</w:t>
      </w:r>
      <w:r>
        <w:tab/>
        <w:t xml:space="preserve">vu le règlement (UE, Euratom) 2020/2093 du Conseil du 17 décembre 2020 fixant le cadre financier pluriannuel pour les années 2021 à 2027 </w:t>
      </w:r>
      <w:r>
        <w:t>(ci-après le «règlement CFP»)</w:t>
      </w:r>
      <w:r>
        <w:rPr>
          <w:rStyle w:val="FootnoteReference"/>
        </w:rPr>
        <w:footnoteReference w:id="6"/>
      </w:r>
      <w:r>
        <w:t>,</w:t>
      </w:r>
    </w:p>
    <w:p w:rsidR="00F339D9" w:rsidRPr="008E19CA" w:rsidRDefault="00B10F38" w:rsidP="00AA20EA">
      <w:pPr>
        <w:pStyle w:val="NormalHanging12a"/>
        <w:widowControl/>
      </w:pPr>
      <w:r>
        <w:t>–</w:t>
      </w:r>
      <w:r>
        <w:tab/>
        <w:t xml:space="preserve">vu l’accord interinstitutionnel du 16 décembre 2020 entre le Parlement européen, le Conseil de l’Union européenne et la Commission européenne sur la discipline </w:t>
      </w:r>
      <w:r>
        <w:lastRenderedPageBreak/>
        <w:t>budgétaire, la coopération en matière budgétaire et la bonne g</w:t>
      </w:r>
      <w:r>
        <w:t>estion financière, ainsi que sur de nouvelles ressources propres, comportant une feuille de route en vue de la mise en place de nouvelles ressources propres</w:t>
      </w:r>
      <w:r>
        <w:rPr>
          <w:rStyle w:val="FootnoteReference"/>
        </w:rPr>
        <w:footnoteReference w:id="7"/>
      </w:r>
      <w:r>
        <w:t>,</w:t>
      </w:r>
    </w:p>
    <w:p w:rsidR="00F339D9" w:rsidRPr="008E19CA" w:rsidRDefault="00B10F38" w:rsidP="00AA20EA">
      <w:pPr>
        <w:pStyle w:val="NormalHanging12a"/>
        <w:widowControl/>
      </w:pPr>
      <w:r>
        <w:t>–</w:t>
      </w:r>
      <w:r>
        <w:tab/>
        <w:t>vu la décision (UE, Euratom) 2020/2053 du Conseil du 14 décembre 2020 relative au système des r</w:t>
      </w:r>
      <w:r>
        <w:t>essources propres de l’Union européenne et abrogeant la décision 2014/335/UE, Euratom</w:t>
      </w:r>
      <w:r>
        <w:rPr>
          <w:rStyle w:val="FootnoteReference"/>
        </w:rPr>
        <w:footnoteReference w:id="8"/>
      </w:r>
      <w:r>
        <w:t>,</w:t>
      </w:r>
    </w:p>
    <w:p w:rsidR="00F339D9" w:rsidRPr="008E19CA" w:rsidRDefault="00B10F38" w:rsidP="00AA20EA">
      <w:pPr>
        <w:pStyle w:val="NormalHanging12a"/>
        <w:widowControl/>
        <w:rPr>
          <w:szCs w:val="24"/>
        </w:rPr>
      </w:pPr>
      <w:r>
        <w:t>–</w:t>
      </w:r>
      <w:r>
        <w:tab/>
        <w:t xml:space="preserve">vu </w:t>
      </w:r>
      <w:r>
        <w:rPr>
          <w:snapToGrid w:val="0"/>
        </w:rPr>
        <w:t>la proposition de règlement du Parlement européen et du Conseil établissant la facilité pour la réforme et la croissance pour les Balkans occidentaux, présentée le</w:t>
      </w:r>
      <w:r>
        <w:rPr>
          <w:snapToGrid w:val="0"/>
        </w:rPr>
        <w:t xml:space="preserve"> 8 novembre 2023 (COM(2023)0692),</w:t>
      </w:r>
    </w:p>
    <w:p w:rsidR="00F339D9" w:rsidRPr="008E19CA" w:rsidRDefault="00B10F38" w:rsidP="00AA20EA">
      <w:pPr>
        <w:pStyle w:val="NormalHanging12a"/>
        <w:widowControl/>
        <w:rPr>
          <w:color w:val="000000" w:themeColor="text1"/>
          <w:szCs w:val="24"/>
        </w:rPr>
      </w:pPr>
      <w:r>
        <w:t>–</w:t>
      </w:r>
      <w:r>
        <w:tab/>
      </w:r>
      <w:r>
        <w:rPr>
          <w:color w:val="000000" w:themeColor="text1"/>
        </w:rPr>
        <w:t xml:space="preserve">vu sa </w:t>
      </w:r>
      <w:r>
        <w:rPr>
          <w:color w:val="000000" w:themeColor="text1"/>
          <w:shd w:val="clear" w:color="auto" w:fill="FFFFFF"/>
        </w:rPr>
        <w:t>résolution du 27 février 2024 sur le projet de règlement du Conseil modifiant le règlement (UE, Euratom) 2020/2093 fixant le cadre financier pluriannuel pour les années 2021 à 2027</w:t>
      </w:r>
      <w:r>
        <w:rPr>
          <w:rStyle w:val="FootnoteReference"/>
          <w:bCs/>
          <w:color w:val="000000" w:themeColor="text1"/>
          <w:szCs w:val="24"/>
          <w:shd w:val="clear" w:color="auto" w:fill="FFFFFF"/>
        </w:rPr>
        <w:footnoteReference w:id="9"/>
      </w:r>
      <w:r>
        <w:rPr>
          <w:color w:val="000000" w:themeColor="text1"/>
          <w:shd w:val="clear" w:color="auto" w:fill="FFFFFF"/>
        </w:rPr>
        <w:t>,</w:t>
      </w:r>
    </w:p>
    <w:p w:rsidR="00F339D9" w:rsidRPr="008E19CA" w:rsidRDefault="00B10F38" w:rsidP="00AA20EA">
      <w:pPr>
        <w:pStyle w:val="NormalHanging12a"/>
        <w:widowControl/>
      </w:pPr>
      <w:r>
        <w:t>–</w:t>
      </w:r>
      <w:r>
        <w:tab/>
        <w:t>vu le projet de budget rectif</w:t>
      </w:r>
      <w:r>
        <w:t>icatif nº 1/2024 adopté par la Commission le 29 février 2024 (COM(2024)0080),</w:t>
      </w:r>
    </w:p>
    <w:p w:rsidR="00F339D9" w:rsidRPr="008E19CA" w:rsidRDefault="00B10F38" w:rsidP="00AA20EA">
      <w:pPr>
        <w:pStyle w:val="NormalHanging12a"/>
        <w:widowControl/>
      </w:pPr>
      <w:r>
        <w:t>–</w:t>
      </w:r>
      <w:r>
        <w:tab/>
        <w:t>vu la position sur le projet de budget rectificatif n° 1/2024 adoptée par le Conseil le 19 mars 2024 et transmise au Parlement européen le 21 mars 2024 (07432/2024 – C9-0048/20</w:t>
      </w:r>
      <w:r>
        <w:t>24),</w:t>
      </w:r>
    </w:p>
    <w:p w:rsidR="00F339D9" w:rsidRPr="008E19CA" w:rsidRDefault="00B10F38" w:rsidP="00AA20EA">
      <w:pPr>
        <w:pStyle w:val="NormalHanging12a"/>
        <w:widowControl/>
      </w:pPr>
      <w:r>
        <w:t>–</w:t>
      </w:r>
      <w:r>
        <w:tab/>
        <w:t>vu les articles 94 et 96 de son règlement intérieur,</w:t>
      </w:r>
    </w:p>
    <w:p w:rsidR="00F339D9" w:rsidRPr="008E19CA" w:rsidRDefault="00B10F38" w:rsidP="00AA20EA">
      <w:pPr>
        <w:pStyle w:val="NormalHanging12a"/>
        <w:widowControl/>
      </w:pPr>
      <w:r>
        <w:t>–</w:t>
      </w:r>
      <w:r>
        <w:tab/>
        <w:t>vu le rapport de la commission des budgets (A9-0174/2024),</w:t>
      </w:r>
    </w:p>
    <w:p w:rsidR="00F339D9" w:rsidRPr="008E19CA" w:rsidRDefault="00B10F38" w:rsidP="00AA20EA">
      <w:pPr>
        <w:pStyle w:val="NormalHanging12a"/>
        <w:widowControl/>
        <w:rPr>
          <w:szCs w:val="24"/>
        </w:rPr>
      </w:pPr>
      <w:r>
        <w:t>A.</w:t>
      </w:r>
      <w:r>
        <w:tab/>
        <w:t>considérant que, dans une déclaration commune annexée à l’accord sur le budget général de l’Union européenne pour l’exercice 2024, l</w:t>
      </w:r>
      <w:r>
        <w:t>e Parlement et le Conseil ont invité la Commission à proposer un budget rectificatif dès que la révision du règlement CFP aura été approuvée, et ce afin d’adapter le budget 2024 au règlement CFP révisé, et que, pour leur part, le Parlement et le Conseil se</w:t>
      </w:r>
      <w:r>
        <w:t xml:space="preserve"> sont engagés à examiner le projet de budget rectificatif dans les meilleurs délais étant donné l’urgence de la question;</w:t>
      </w:r>
    </w:p>
    <w:p w:rsidR="00F339D9" w:rsidRPr="008E19CA" w:rsidRDefault="00B10F38" w:rsidP="00AA20EA">
      <w:pPr>
        <w:pStyle w:val="NormalHanging12a"/>
        <w:widowControl/>
      </w:pPr>
      <w:r>
        <w:t>B.</w:t>
      </w:r>
      <w:r>
        <w:tab/>
        <w:t>considérant que le projet de budget rectificatif nº 1/2024 a donc pour objet d’apporter les modifications nécessaires au budget 202</w:t>
      </w:r>
      <w:r>
        <w:t xml:space="preserve">4 à la suite de la révision du CFP récemment approuvée; que le projet de budget rectificatif nº 1/2024 augmente les dépenses de 5 833,7 millions d’EUR en crédits d’engagement et de 4 143,6 millions d’EUR en crédits de paiement;   </w:t>
      </w:r>
    </w:p>
    <w:p w:rsidR="00F339D9" w:rsidRPr="008E19CA" w:rsidRDefault="00B10F38" w:rsidP="00AA20EA">
      <w:pPr>
        <w:pStyle w:val="NormalHanging12a"/>
        <w:widowControl/>
      </w:pPr>
      <w:r>
        <w:t>C.</w:t>
      </w:r>
      <w:r>
        <w:tab/>
        <w:t>considérant qu’en plus</w:t>
      </w:r>
      <w:r>
        <w:t xml:space="preserve"> des modifications découlant de la révision du CFP, le projet de budget rectificatif nº 1/2024 apporte également des modifications aux commentaires relatifs à la ligne budgétaire destinée aux dépenses d’appui du programme pour une Europe numérique afin qu’</w:t>
      </w:r>
      <w:r>
        <w:t xml:space="preserve">elle puisse couvrir le coût du personnel externe nécessaire au </w:t>
      </w:r>
      <w:r>
        <w:lastRenderedPageBreak/>
        <w:t>Bureau de l’intelligence artificielle, qui doit voir le jour en vertu de la législation sur l’intelligence artificielle récemment adoptée;</w:t>
      </w:r>
    </w:p>
    <w:p w:rsidR="00F339D9" w:rsidRPr="008E19CA" w:rsidRDefault="00B10F38" w:rsidP="00AA20EA">
      <w:pPr>
        <w:pStyle w:val="NormalHanging12a"/>
        <w:widowControl/>
      </w:pPr>
      <w:r>
        <w:t>1.</w:t>
      </w:r>
      <w:r>
        <w:tab/>
        <w:t>salue le projet de budget rectificatif nº 1/2024, q</w:t>
      </w:r>
      <w:r>
        <w:t xml:space="preserve">ui prévoit d’importants renforcements qui avaient été proposés par le Parlement lors de sa lecture du budget et qui n’avaient pas pu être intégrés au budget 2024 en raison du retard pris dans l’adoption du règlement CFP révisé; </w:t>
      </w:r>
    </w:p>
    <w:p w:rsidR="00F339D9" w:rsidRPr="008E19CA" w:rsidRDefault="00B10F38" w:rsidP="00AA20EA">
      <w:pPr>
        <w:pStyle w:val="NormalHanging12a"/>
        <w:widowControl/>
      </w:pPr>
      <w:r>
        <w:t>2.</w:t>
      </w:r>
      <w:r>
        <w:tab/>
        <w:t>souligne que, grâce à l’</w:t>
      </w:r>
      <w:r>
        <w:t>adoption du projet de budget rectificatif nº 1/2024, le budget de l’Union pour 2024 sera plus adapté à ses objectifs, plus flexible et mieux équipé pour relever les défis auxquels l’Union est confrontée;</w:t>
      </w:r>
    </w:p>
    <w:p w:rsidR="00F339D9" w:rsidRPr="008E19CA" w:rsidRDefault="00B10F38" w:rsidP="00AA20EA">
      <w:pPr>
        <w:pStyle w:val="NormalHanging12a"/>
        <w:widowControl/>
      </w:pPr>
      <w:r>
        <w:t>3.</w:t>
      </w:r>
      <w:r>
        <w:tab/>
        <w:t>salue la proposition visant à mobiliser 4,8 milli</w:t>
      </w:r>
      <w:r>
        <w:t xml:space="preserve">ards d’EUR de la réserve pour l’Ukraine, récemment créée, afin de pouvoir assurer le versement de subventions à l’Ukraine; rappelle que l’octroi de prêts ne nécessite pas de budget rectificatif et que, dès lors, l’Union apporte déjà une aide aux autorités </w:t>
      </w:r>
      <w:r>
        <w:t>ukrainiennes afin qu’elles puissent maintenir des services essentiels; souligne que l’aide financière sous forme de subventions et de prêts au moyen de la facilité pour l’Ukraine contribuera au maintien du fonctionnement de l’État et des services essentiel</w:t>
      </w:r>
      <w:r>
        <w:t xml:space="preserve">s tout en contribuant à la reconstruction, à la relance et à la réforme de l’Ukraine, ainsi qu’en l’aidant à adhérer à l’Union; </w:t>
      </w:r>
    </w:p>
    <w:p w:rsidR="00F339D9" w:rsidRPr="008E19CA" w:rsidRDefault="00B10F38" w:rsidP="00AA20EA">
      <w:pPr>
        <w:pStyle w:val="NormalHanging12a"/>
        <w:widowControl/>
      </w:pPr>
      <w:r>
        <w:t>4.</w:t>
      </w:r>
      <w:r>
        <w:tab/>
        <w:t>souligne que la nomenclature budgétaire de la facilité pour l’Ukraine, créée par le projet de budget rectificatif nº 1/2024,</w:t>
      </w:r>
      <w:r>
        <w:t xml:space="preserve"> permettra à l’autorité budgétaire d’exercer le contrôle voulu des dépenses; salue l’inclusion, dans la facilité, des bonifications d’intérêts de l’assistance macrofinancière (AMF) accordée à l’Ukraine en 2022, ce qui réduira la pression sur la rubrique 6 </w:t>
      </w:r>
      <w:r>
        <w:t>(Le voisinage et le monde), et notamment sur la réserve de l’instrument de voisinage, de coopération au développement et de coopération internationale – L’Europe dans le monde;</w:t>
      </w:r>
    </w:p>
    <w:p w:rsidR="00F339D9" w:rsidRPr="008E19CA" w:rsidRDefault="00B10F38" w:rsidP="00AA20EA">
      <w:pPr>
        <w:pStyle w:val="NormalHanging12a"/>
        <w:widowControl/>
      </w:pPr>
      <w:r>
        <w:t>5.</w:t>
      </w:r>
      <w:r>
        <w:tab/>
        <w:t>rappelle que les bonifications d’intérêts des prêts de l’AMF+ en faveur de l</w:t>
      </w:r>
      <w:r>
        <w:t>’Ukraine doivent être couvertes par les États membres; déplore que trois conventions de contributions nationales n’aient pas encore été mises en place; souligne que l’inscription de 5 millions d’EUR dans le budget 2024 était provisoire, dans l’attente d’un</w:t>
      </w:r>
      <w:r>
        <w:t>e autre solution de financement, conformément aux déclarations unilatérales de la Commission et du Parlement annexées à l’accord sur le budget 2024; attend dès lors que, dans le cadre d’un futur projet de budget rectificatif pour 2024, les 5 millions d’EUR</w:t>
      </w:r>
      <w:r>
        <w:t xml:space="preserve"> soient déduits de la ligne budgétaire correspondante;</w:t>
      </w:r>
    </w:p>
    <w:p w:rsidR="00F339D9" w:rsidRPr="008E19CA" w:rsidRDefault="00B10F38" w:rsidP="00AA20EA">
      <w:pPr>
        <w:pStyle w:val="NormalHanging12a"/>
        <w:widowControl/>
      </w:pPr>
      <w:r>
        <w:t>6.</w:t>
      </w:r>
      <w:r>
        <w:tab/>
        <w:t xml:space="preserve">salue le renforcement de 376 millions d’EUR en faveur du Fonds européen de la défense (FED) en 2024 en vertu du règlement établissant la plateforme «Technologies stratégiques pour l’Europe» (STEP); </w:t>
      </w:r>
      <w:r>
        <w:t>constate qu’à l’inverse de la fiche financière législative annexée à la proposition STEP, la Commission estime désormais qu’aucun crédit de paiement supplémentaire n’est nécessaire en 2024; invite la Commission à surveiller de près les besoins de paiement;</w:t>
      </w:r>
    </w:p>
    <w:p w:rsidR="00F339D9" w:rsidRPr="008E19CA" w:rsidRDefault="00B10F38" w:rsidP="00AA20EA">
      <w:pPr>
        <w:pStyle w:val="NormalHanging12a"/>
        <w:widowControl/>
      </w:pPr>
      <w:r>
        <w:t>7.</w:t>
      </w:r>
      <w:r>
        <w:tab/>
        <w:t>note que, le 5 mars 2024, la Commission a présenté une proposition visant à créer un nouveau programme de défense – le programme européen d’investissement dans le domaine de la défense – pour la période 2025-2027, qui prévoit le virement de 1,5 milliar</w:t>
      </w:r>
      <w:r>
        <w:t xml:space="preserve">d d’EUR du FED, soit le montant exact du renforcement du FED convenu </w:t>
      </w:r>
      <w:r>
        <w:lastRenderedPageBreak/>
        <w:t>dans le cadre de STEP; rappelle sa position de longue date selon laquelle les nouvelles priorités stratégiques nécessitent des financements nouveaux; insiste pour que les moyens supplémen</w:t>
      </w:r>
      <w:r>
        <w:t>taires affectés au FED pour le reste de la période couverte par le CFP soient utilisés en faveur des objectifs de STEP, conformément à l’accord trouvé par les colégislateurs;</w:t>
      </w:r>
    </w:p>
    <w:p w:rsidR="00F339D9" w:rsidRPr="008E19CA" w:rsidRDefault="00B10F38" w:rsidP="00AA20EA">
      <w:pPr>
        <w:pStyle w:val="NormalHanging12a"/>
        <w:widowControl/>
      </w:pPr>
      <w:r>
        <w:t>8.</w:t>
      </w:r>
      <w:r>
        <w:tab/>
        <w:t>salue les 500 millions d’EUR supplémentaires en faveur des Balkans occidentaux</w:t>
      </w:r>
      <w:r>
        <w:t xml:space="preserve"> qui ont été placés en réserve dans l’attente de l’adoption de la proposition de règlement établissant la facilité pour la réforme et la croissance pour les Balkans occidentaux; souligne qu’il considère que la nomenclature figurant dans le projet de budget</w:t>
      </w:r>
      <w:r>
        <w:t xml:space="preserve"> rectificatif nº 1/2024 n’est pas adaptée à l’objectif poursuivi et qu’il entend, avec le Conseil, réexaminer la nomenclature dans le cadre de la procédure budgétaire 2025, de sorte à exercer le contrôle politique et budgétaire qui s’impose;</w:t>
      </w:r>
    </w:p>
    <w:p w:rsidR="00F339D9" w:rsidRPr="008E19CA" w:rsidRDefault="00B10F38" w:rsidP="00AA20EA">
      <w:pPr>
        <w:pStyle w:val="NormalHanging12a"/>
        <w:widowControl/>
      </w:pPr>
      <w:r>
        <w:t>9.</w:t>
      </w:r>
      <w:r>
        <w:tab/>
        <w:t>fait observ</w:t>
      </w:r>
      <w:r>
        <w:t>er que, sur les 3,1 milliards d’EUR de renforcements convenus dans la révision du CFP en faveur de la rubrique 6 entre 2024 et 2027, seuls 500 millions d’EUR figurent dans le projet de budget rectificatif nº 1/2024; souligne en outre que les redéploiements</w:t>
      </w:r>
      <w:r>
        <w:t xml:space="preserve"> de fonds prévus au sein de cette rubrique n’y figurent pas; demande une nouvelle fois à la Commission de communiquer à l’autorité budgétaire les informations détaillées indiquant la façon dont elle compte gérer toutes les modifications apportées aux progr</w:t>
      </w:r>
      <w:r>
        <w:t xml:space="preserve">ammes et aux instruments spéciaux à la suite de la révision du CFP;  </w:t>
      </w:r>
    </w:p>
    <w:p w:rsidR="00F339D9" w:rsidRPr="008E19CA" w:rsidRDefault="00B10F38" w:rsidP="00AA20EA">
      <w:pPr>
        <w:pStyle w:val="NormalHanging12a"/>
        <w:widowControl/>
      </w:pPr>
      <w:r>
        <w:t>10.</w:t>
      </w:r>
      <w:r>
        <w:tab/>
        <w:t>salue le fait que l’Union sera mieux à même de réagir aux crises en raison de l’augmentation du financement destiné aux catastrophes naturelles et aux autres urgences figurant dans l</w:t>
      </w:r>
      <w:r>
        <w:t>e projet de budget rectificatif nº 1/2024; constate que le projet de budget rectificatif nº 1/2024 crée de nouvelles lignes conformément à la décision scindant la réserve de solidarité et d’aide d’urgence en deux parties, la réserve de solidarité européenn</w:t>
      </w:r>
      <w:r>
        <w:t>e, destinée aux catas</w:t>
      </w:r>
      <w:bookmarkStart w:id="1" w:name="_GoBack"/>
      <w:bookmarkEnd w:id="1"/>
      <w:r>
        <w:t>trophes naturelles et aux urgences de santé publique dans l’Union et les pays candidats, et la réserve d’aide d’urgence, destinée à réagir rapidement aux urgences au sein de l’Union et en dehors de celle-ci; estime que la nouvelle arch</w:t>
      </w:r>
      <w:r>
        <w:t>itecture permettra de gérer les fonds plus facilement et rappelle l’importance de traiter rapidement les demandes dans le cadre du Fonds de solidarité de l’Union européenne et de mobiliser les deux réserves en temps utile afin de garantir un décaissement r</w:t>
      </w:r>
      <w:r>
        <w:t>apide des fonds;</w:t>
      </w:r>
    </w:p>
    <w:p w:rsidR="00F339D9" w:rsidRPr="008E19CA" w:rsidRDefault="00B10F38" w:rsidP="00AA20EA">
      <w:pPr>
        <w:pStyle w:val="NormalHanging12a"/>
        <w:widowControl/>
      </w:pPr>
      <w:r>
        <w:t>11.</w:t>
      </w:r>
      <w:r>
        <w:tab/>
        <w:t>rappelle que l’aide humanitaire à l’Ukraine n’est pas couverte par la facilité pour l’Ukraine; a la certitude que les besoins totaux resteront élevés et continueront même probablement d’augmenter en 2024, sachant que les montants consa</w:t>
      </w:r>
      <w:r>
        <w:t>crés à l’aide humanitaire sont insuffisants; invite la Commission à suivre de près les besoins en matière d’aide humanitaire et à proposer en temps utile toutes les mesures nécessaires à l’autorité budgétaire, en tenant compte de l’exécution budgétaire des</w:t>
      </w:r>
      <w:r>
        <w:t xml:space="preserve"> dernières années; rappelle, à cet égard, que l’instrument de flexibilité a été renforcé de quelque 500 millions d’EUR pour 2024 dans le cadre de la révision du CFP;</w:t>
      </w:r>
    </w:p>
    <w:p w:rsidR="00F339D9" w:rsidRPr="008E19CA" w:rsidRDefault="00B10F38" w:rsidP="00AA20EA">
      <w:pPr>
        <w:pStyle w:val="NormalHanging12a"/>
        <w:widowControl/>
      </w:pPr>
      <w:r>
        <w:t>12.</w:t>
      </w:r>
      <w:r>
        <w:tab/>
        <w:t>note que l’enveloppe affectée au Fonds européen d’ajustement à la mondialisation en fa</w:t>
      </w:r>
      <w:r>
        <w:t xml:space="preserve">veur des travailleurs licenciés (FEM) en 2024 connaît une baisse de 33,8 millions d’EUR conformément au règlement CFP révisé; demande que la Commission suive la mise en œuvre du FEM et que l’ensemble des institutions adoptent toutes les mesures </w:t>
      </w:r>
      <w:r>
        <w:lastRenderedPageBreak/>
        <w:t>nécessaires</w:t>
      </w:r>
      <w:r>
        <w:t xml:space="preserve"> pour garantir que toutes les demandes justifiées de mobilisation du FEM, en tant que manifestation de la solidarité de l’Union, peuvent être satisfaites;</w:t>
      </w:r>
    </w:p>
    <w:p w:rsidR="00F339D9" w:rsidRPr="008E19CA" w:rsidRDefault="00B10F38" w:rsidP="00AA20EA">
      <w:pPr>
        <w:pStyle w:val="NormalHanging12a"/>
        <w:widowControl/>
      </w:pPr>
      <w:r>
        <w:t>13.</w:t>
      </w:r>
      <w:r>
        <w:tab/>
        <w:t xml:space="preserve">prend acte des modifications apportées aux commentaires budgétaires afin de permettre au </w:t>
      </w:r>
      <w:r>
        <w:t>programme pour une Europe numérique de financer les coûts de recrutement d’agents contractuels pour le Bureau de l’intelligence artificielle créé en vertu de la législation sur l’intelligence artificielle récemment adoptée; souligne que cette solution de c</w:t>
      </w:r>
      <w:r>
        <w:t>ontournement n’est nécessaire qu’en raison du manque de moyens de la rubrique 7 (administration), de la politique de stabilité du personnel que la Commission s’est imposée et du refus du Conseil de traiter des dépenses administratives dans la révision du C</w:t>
      </w:r>
      <w:r>
        <w:t>FP; souligne que cette manière d’assurer le financement des coûts de personnel du nouveau bureau ne peut être qu’une solution provisoire et ne constitue pas un précédent, qu’une solution structurelle à long terme devra être trouvée dans le cadre de la rubr</w:t>
      </w:r>
      <w:r>
        <w:t>ique 7 après l’actuel CFP et que les dépenses relevant de la rubrique 7 doivent être fixées à un niveau qui garantit à l’Union de disposer d’une administration efficace et efficiente;</w:t>
      </w:r>
    </w:p>
    <w:p w:rsidR="00F339D9" w:rsidRPr="008E19CA" w:rsidRDefault="00B10F38" w:rsidP="00AA20EA">
      <w:pPr>
        <w:pStyle w:val="NormalHanging12a"/>
        <w:widowControl/>
        <w:rPr>
          <w:szCs w:val="24"/>
        </w:rPr>
      </w:pPr>
      <w:r>
        <w:t>14.</w:t>
      </w:r>
      <w:r>
        <w:tab/>
        <w:t>rappelle que, dans sa lettre sur les possibilités d’exécution où ell</w:t>
      </w:r>
      <w:r>
        <w:t>e évalue les lectures respectives du budget 2024 par le Parlement et par le Conseil, la Commission indique que les commentaires budgétaires devraient, en règle générale, refléter la base juridique et ne devraient être révisés que s’il le faut pour tenir co</w:t>
      </w:r>
      <w:r>
        <w:t>mpte des modifications apportées aux bases juridiques applicables et qu’ils ne devraient pas proposer de modifications aux objectifs généraux et spécifiques des programmes ou actions qui ne sont pas expressément mentionnés dans les actes de base; espère qu</w:t>
      </w:r>
      <w:r>
        <w:t>e, compte tenu de la souplesse manifeste dont la Commission a fait preuve pour modifier les commentaires de la ligne budgétaire du programme pour une Europe numérique afin d’y inclure le recrutement de personnel externe sans rapport avec la mise en œuvre d</w:t>
      </w:r>
      <w:r>
        <w:t xml:space="preserve">u programme, elle sera tout aussi souple pour évaluer toute modification des commentaires budgétaires que le Parlement ou le Conseil pourrait proposer au cours de la procédure budgétaire 2025; </w:t>
      </w:r>
    </w:p>
    <w:p w:rsidR="00F339D9" w:rsidRPr="008E19CA" w:rsidRDefault="00B10F38" w:rsidP="00AA20EA">
      <w:pPr>
        <w:pStyle w:val="NormalHanging12a"/>
        <w:widowControl/>
        <w:tabs>
          <w:tab w:val="left" w:pos="567"/>
        </w:tabs>
        <w:ind w:left="0" w:firstLine="0"/>
      </w:pPr>
      <w:r>
        <w:t>15.</w:t>
      </w:r>
      <w:r>
        <w:tab/>
        <w:t xml:space="preserve">approuve la position du Conseil sur le projet de budget </w:t>
      </w:r>
      <w:r>
        <w:t>rectificatif nº 1/2024;</w:t>
      </w:r>
    </w:p>
    <w:p w:rsidR="00F339D9" w:rsidRPr="008E19CA" w:rsidRDefault="00B10F38" w:rsidP="00AA20EA">
      <w:pPr>
        <w:pStyle w:val="NormalHanging12a"/>
        <w:widowControl/>
      </w:pPr>
      <w:r>
        <w:t>16.</w:t>
      </w:r>
      <w:r>
        <w:tab/>
        <w:t xml:space="preserve">charge sa Présidente de constater que le budget rectificatif nº 1/2024 est définitivement adopté et d’en assurer la publication au </w:t>
      </w:r>
      <w:r>
        <w:rPr>
          <w:i/>
        </w:rPr>
        <w:t>Journal officiel de l’Union européenne</w:t>
      </w:r>
      <w:r>
        <w:t>;</w:t>
      </w:r>
    </w:p>
    <w:p w:rsidR="00803EDA" w:rsidRPr="008E19CA" w:rsidRDefault="00B10F38" w:rsidP="00AA20EA">
      <w:pPr>
        <w:pStyle w:val="NormalHanging12a"/>
        <w:widowControl/>
      </w:pPr>
      <w:r>
        <w:t>17.</w:t>
      </w:r>
      <w:r>
        <w:tab/>
        <w:t>charge sa Présidente de transmettre la présente résol</w:t>
      </w:r>
      <w:r>
        <w:t>ution au Conseil, à la Commission et aux parlements nationaux.</w:t>
      </w:r>
    </w:p>
    <w:p w:rsidR="005B12FA" w:rsidRPr="008E19CA" w:rsidRDefault="005B12FA" w:rsidP="00AA20EA">
      <w:pPr>
        <w:widowControl/>
        <w:sectPr w:rsidR="005B12FA" w:rsidRPr="008E19CA" w:rsidSect="00B859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B12FA" w:rsidRPr="008E19CA" w:rsidRDefault="00B10F38" w:rsidP="00AA20EA">
      <w:pPr>
        <w:pStyle w:val="PageHeading"/>
        <w:widowControl/>
        <w:rPr>
          <w:noProof/>
        </w:rPr>
      </w:pPr>
      <w:bookmarkStart w:id="2" w:name="FootprintPageRR"/>
      <w:bookmarkStart w:id="3" w:name="_Toc164151068"/>
      <w:r>
        <w:lastRenderedPageBreak/>
        <w:t>ANNEXE: ENTITÉS OU PERSONNES</w:t>
      </w:r>
      <w:r>
        <w:br/>
        <w:t>DONT LE RAPPORTEUR A REÇU DES CONTRIBUTIONS</w:t>
      </w:r>
      <w:bookmarkEnd w:id="3"/>
    </w:p>
    <w:p w:rsidR="005B12FA" w:rsidRPr="008E19CA" w:rsidRDefault="00B10F38" w:rsidP="00AA20EA">
      <w:pPr>
        <w:pStyle w:val="Normal24a"/>
        <w:widowControl/>
      </w:pPr>
      <w:r>
        <w:rPr>
          <w:rStyle w:val="HideTWBExt"/>
        </w:rPr>
        <w:t>&lt;FootprintIntro&gt;</w:t>
      </w:r>
      <w:r>
        <w:t xml:space="preserve">Conformément à l’article 8 de l’annexe I du règlement intérieur, le rapporteur déclare avoir reçu des </w:t>
      </w:r>
      <w:r>
        <w:t>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46F80" w:rsidTr="00A81CDF">
        <w:tc>
          <w:tcPr>
            <w:tcW w:w="9060" w:type="dxa"/>
            <w:shd w:val="clear" w:color="auto" w:fill="auto"/>
          </w:tcPr>
          <w:p w:rsidR="005B12FA" w:rsidRPr="008E19CA" w:rsidRDefault="00B10F38" w:rsidP="00AA20EA">
            <w:pPr>
              <w:pStyle w:val="NormalBoldCenter"/>
              <w:widowControl/>
            </w:pPr>
            <w:r>
              <w:t>Entité et/ou personne</w:t>
            </w:r>
          </w:p>
        </w:tc>
      </w:tr>
      <w:tr w:rsidR="00C46F80" w:rsidTr="00A81CDF">
        <w:tc>
          <w:tcPr>
            <w:tcW w:w="9060" w:type="dxa"/>
            <w:shd w:val="clear" w:color="auto" w:fill="auto"/>
          </w:tcPr>
          <w:p w:rsidR="005B12FA" w:rsidRPr="008E19CA" w:rsidRDefault="00B10F38" w:rsidP="00AA20EA">
            <w:pPr>
              <w:widowControl/>
              <w:rPr>
                <w:b/>
              </w:rPr>
            </w:pPr>
            <w:r>
              <w:t>European Commission – DG BUDG</w:t>
            </w:r>
          </w:p>
        </w:tc>
      </w:tr>
      <w:tr w:rsidR="00C46F80" w:rsidTr="00A81CDF">
        <w:tc>
          <w:tcPr>
            <w:tcW w:w="9060" w:type="dxa"/>
            <w:shd w:val="clear" w:color="auto" w:fill="auto"/>
          </w:tcPr>
          <w:p w:rsidR="005B12FA" w:rsidRPr="008E19CA" w:rsidRDefault="00B10F38" w:rsidP="00AA20EA">
            <w:pPr>
              <w:widowControl/>
            </w:pPr>
            <w:r>
              <w:t xml:space="preserve">European Public Prosecutor's Office </w:t>
            </w:r>
          </w:p>
        </w:tc>
      </w:tr>
    </w:tbl>
    <w:p w:rsidR="005B12FA" w:rsidRPr="008E19CA" w:rsidRDefault="005B12FA" w:rsidP="00AA20EA">
      <w:pPr>
        <w:widowControl/>
      </w:pPr>
    </w:p>
    <w:p w:rsidR="005B12FA" w:rsidRPr="008E19CA" w:rsidRDefault="00B10F38" w:rsidP="00AA20EA">
      <w:pPr>
        <w:widowControl/>
      </w:pPr>
      <w:r>
        <w:t>La liste ci-dessus est</w:t>
      </w:r>
      <w:r>
        <w:t xml:space="preserve"> établie sous la responsabilité exclusive du rapporteur.</w:t>
      </w:r>
    </w:p>
    <w:bookmarkEnd w:id="2"/>
    <w:p w:rsidR="00423EA7" w:rsidRPr="008E19CA" w:rsidRDefault="00B10F38" w:rsidP="00AA20EA">
      <w:pPr>
        <w:pStyle w:val="PageHeading"/>
        <w:widowControl/>
      </w:pPr>
      <w:r>
        <w:br w:type="page"/>
      </w:r>
      <w:bookmarkStart w:id="4" w:name="ProcPageRR"/>
      <w:bookmarkStart w:id="5" w:name="_Toc164151069"/>
      <w:r>
        <w:lastRenderedPageBreak/>
        <w:t>INFORMATIONS SUR L’ADOPTION</w:t>
      </w:r>
      <w:r>
        <w:br/>
        <w:t>PAR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46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3EA7" w:rsidRPr="008E19CA" w:rsidRDefault="00B10F38" w:rsidP="00AA20EA">
            <w:pPr>
              <w:widowControl/>
              <w:autoSpaceDE w:val="0"/>
              <w:autoSpaceDN w:val="0"/>
              <w:adjustRightInd w:val="0"/>
              <w:rPr>
                <w:color w:val="000000"/>
                <w:sz w:val="20"/>
              </w:rPr>
            </w:pPr>
            <w:r>
              <w:rPr>
                <w:color w:val="000000"/>
                <w:sz w:val="20"/>
              </w:rPr>
              <w:t>8.4.2024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3EA7" w:rsidRPr="008E19CA" w:rsidRDefault="00423EA7" w:rsidP="00AA20EA">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3EA7" w:rsidRPr="008E19CA" w:rsidRDefault="00423EA7" w:rsidP="00AA20EA">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3EA7" w:rsidRPr="008E19CA" w:rsidRDefault="00423EA7" w:rsidP="00AA20EA">
            <w:pPr>
              <w:widowControl/>
              <w:autoSpaceDE w:val="0"/>
              <w:autoSpaceDN w:val="0"/>
              <w:adjustRightInd w:val="0"/>
              <w:rPr>
                <w:rFonts w:ascii="sans-serif" w:hAnsi="sans-serif" w:cs="sans-serif"/>
                <w:color w:val="000000"/>
                <w:szCs w:val="24"/>
              </w:rPr>
            </w:pPr>
          </w:p>
        </w:tc>
      </w:tr>
      <w:tr w:rsidR="00C46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3EA7" w:rsidRPr="008E19CA" w:rsidRDefault="00B10F38" w:rsidP="00AA20EA">
            <w:pPr>
              <w:widowControl/>
              <w:autoSpaceDE w:val="0"/>
              <w:autoSpaceDN w:val="0"/>
              <w:adjustRightInd w:val="0"/>
              <w:rPr>
                <w:color w:val="000000"/>
                <w:sz w:val="20"/>
              </w:rPr>
            </w:pPr>
            <w:r>
              <w:rPr>
                <w:color w:val="000000"/>
                <w:sz w:val="20"/>
              </w:rPr>
              <w:t>+:</w:t>
            </w:r>
          </w:p>
          <w:p w:rsidR="00423EA7" w:rsidRPr="008E19CA" w:rsidRDefault="00B10F38" w:rsidP="00AA20EA">
            <w:pPr>
              <w:widowControl/>
              <w:autoSpaceDE w:val="0"/>
              <w:autoSpaceDN w:val="0"/>
              <w:adjustRightInd w:val="0"/>
              <w:rPr>
                <w:color w:val="000000"/>
                <w:sz w:val="20"/>
              </w:rPr>
            </w:pPr>
            <w:r>
              <w:rPr>
                <w:color w:val="000000"/>
                <w:sz w:val="20"/>
              </w:rPr>
              <w:t>–:</w:t>
            </w:r>
          </w:p>
          <w:p w:rsidR="00423EA7" w:rsidRPr="008E19CA" w:rsidRDefault="00B10F38" w:rsidP="00AA20EA">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color w:val="000000"/>
                <w:sz w:val="20"/>
              </w:rPr>
            </w:pPr>
            <w:r>
              <w:rPr>
                <w:color w:val="000000"/>
                <w:sz w:val="20"/>
              </w:rPr>
              <w:t>15</w:t>
            </w:r>
          </w:p>
          <w:p w:rsidR="00423EA7" w:rsidRPr="008E19CA" w:rsidRDefault="00B10F38" w:rsidP="00AA20EA">
            <w:pPr>
              <w:widowControl/>
              <w:autoSpaceDE w:val="0"/>
              <w:autoSpaceDN w:val="0"/>
              <w:adjustRightInd w:val="0"/>
              <w:rPr>
                <w:color w:val="000000"/>
                <w:sz w:val="20"/>
              </w:rPr>
            </w:pPr>
            <w:r>
              <w:rPr>
                <w:color w:val="000000"/>
                <w:sz w:val="20"/>
              </w:rPr>
              <w:t>1</w:t>
            </w:r>
          </w:p>
          <w:p w:rsidR="00423EA7" w:rsidRPr="008E19CA" w:rsidRDefault="00B10F38" w:rsidP="00AA20EA">
            <w:pPr>
              <w:widowControl/>
              <w:autoSpaceDE w:val="0"/>
              <w:autoSpaceDN w:val="0"/>
              <w:adjustRightInd w:val="0"/>
              <w:rPr>
                <w:color w:val="000000"/>
                <w:sz w:val="20"/>
              </w:rPr>
            </w:pPr>
            <w:r>
              <w:rPr>
                <w:color w:val="000000"/>
                <w:sz w:val="20"/>
              </w:rPr>
              <w:t>2</w:t>
            </w:r>
          </w:p>
        </w:tc>
      </w:tr>
      <w:tr w:rsidR="00C46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color w:val="000000"/>
                <w:sz w:val="20"/>
              </w:rPr>
            </w:pPr>
            <w:r>
              <w:rPr>
                <w:color w:val="000000"/>
                <w:sz w:val="20"/>
              </w:rPr>
              <w:t xml:space="preserve">Rasmus Andresen, </w:t>
            </w:r>
            <w:r>
              <w:rPr>
                <w:color w:val="000000"/>
                <w:sz w:val="20"/>
              </w:rPr>
              <w:t>Olivier Chastel, Andor Deli, Pascal Durand, Eider Gardiazabal Rubial, Alexandra Geese, Eero Heinäluoma, Hervé Juvin, Joachim Kuhs, Pierre Larrouturou, Margarida Marques, Siegfried Mureşan, Nils Ušakovs</w:t>
            </w:r>
          </w:p>
        </w:tc>
      </w:tr>
      <w:tr w:rsidR="00C46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color w:val="000000"/>
                <w:sz w:val="20"/>
              </w:rPr>
            </w:pPr>
            <w:r>
              <w:rPr>
                <w:color w:val="000000"/>
                <w:sz w:val="20"/>
              </w:rPr>
              <w:t>Jan Olbry</w:t>
            </w:r>
            <w:r>
              <w:rPr>
                <w:color w:val="000000"/>
                <w:sz w:val="20"/>
              </w:rPr>
              <w:t>cht</w:t>
            </w:r>
          </w:p>
        </w:tc>
      </w:tr>
      <w:tr w:rsidR="00C46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3EA7" w:rsidRPr="008E19CA" w:rsidRDefault="00B10F38" w:rsidP="00AA20EA">
            <w:pPr>
              <w:widowControl/>
              <w:autoSpaceDE w:val="0"/>
              <w:autoSpaceDN w:val="0"/>
              <w:adjustRightInd w:val="0"/>
              <w:rPr>
                <w:color w:val="000000"/>
                <w:sz w:val="20"/>
              </w:rPr>
            </w:pPr>
            <w:r>
              <w:rPr>
                <w:color w:val="000000"/>
                <w:sz w:val="20"/>
              </w:rPr>
              <w:t>Karolin Braunsberger-Reinhold, Petra Kammerevert, Wolfram Pirchner, Dominique Riquet</w:t>
            </w:r>
          </w:p>
        </w:tc>
      </w:tr>
    </w:tbl>
    <w:p w:rsidR="00423EA7" w:rsidRPr="008E19CA" w:rsidRDefault="00423EA7" w:rsidP="00AA20EA">
      <w:pPr>
        <w:widowControl/>
      </w:pPr>
    </w:p>
    <w:bookmarkEnd w:id="4"/>
    <w:p w:rsidR="00250BBA" w:rsidRPr="008E19CA" w:rsidRDefault="00250BBA" w:rsidP="00AA20EA">
      <w:pPr>
        <w:widowControl/>
        <w:sectPr w:rsidR="00250BBA" w:rsidRPr="008E19CA" w:rsidSect="00250BB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50BBA" w:rsidRPr="008E19CA" w:rsidRDefault="00B10F38" w:rsidP="00AA20EA">
      <w:pPr>
        <w:pStyle w:val="PageHeading"/>
        <w:widowControl/>
      </w:pPr>
      <w:bookmarkStart w:id="6" w:name="RollCallPageRR"/>
      <w:bookmarkStart w:id="7" w:name="_Toc164151070"/>
      <w:r>
        <w:lastRenderedPageBreak/>
        <w:t>VOTE FINAL PAR APPEL NOMINAL</w:t>
      </w:r>
      <w:r>
        <w:br/>
        <w:t>EN COMMISSION COMPÉTENTE AU FOND</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6F80" w:rsidTr="008920AC">
        <w:trPr>
          <w:cantSplit/>
        </w:trPr>
        <w:tc>
          <w:tcPr>
            <w:tcW w:w="1701" w:type="dxa"/>
            <w:shd w:val="pct10" w:color="000000" w:fill="FFFFFF"/>
            <w:vAlign w:val="center"/>
          </w:tcPr>
          <w:p w:rsidR="00250BBA" w:rsidRPr="008E19CA" w:rsidRDefault="00B10F38" w:rsidP="00AA20EA">
            <w:pPr>
              <w:pStyle w:val="RollCallVotes"/>
              <w:widowControl/>
            </w:pPr>
            <w:r>
              <w:t>15</w:t>
            </w:r>
          </w:p>
        </w:tc>
        <w:tc>
          <w:tcPr>
            <w:tcW w:w="7371" w:type="dxa"/>
            <w:shd w:val="pct10" w:color="000000" w:fill="FFFFFF"/>
          </w:tcPr>
          <w:p w:rsidR="00250BBA" w:rsidRPr="008E19CA" w:rsidRDefault="00B10F38" w:rsidP="00AA20EA">
            <w:pPr>
              <w:pStyle w:val="RollCallSymbols14pt"/>
              <w:widowControl/>
            </w:pPr>
            <w:r>
              <w:t>+</w:t>
            </w:r>
          </w:p>
        </w:tc>
      </w:tr>
      <w:tr w:rsidR="00C46F80" w:rsidTr="008920AC">
        <w:trPr>
          <w:cantSplit/>
        </w:trPr>
        <w:tc>
          <w:tcPr>
            <w:tcW w:w="1701" w:type="dxa"/>
            <w:shd w:val="clear" w:color="auto" w:fill="FFFFFF"/>
          </w:tcPr>
          <w:p w:rsidR="00250BBA" w:rsidRPr="008E19CA" w:rsidRDefault="00B10F38" w:rsidP="00AA20EA">
            <w:pPr>
              <w:pStyle w:val="RollCallTable"/>
              <w:widowControl/>
            </w:pPr>
            <w:r>
              <w:t>PPE</w:t>
            </w:r>
          </w:p>
        </w:tc>
        <w:tc>
          <w:tcPr>
            <w:tcW w:w="7371" w:type="dxa"/>
            <w:shd w:val="clear" w:color="auto" w:fill="FFFFFF"/>
          </w:tcPr>
          <w:p w:rsidR="00250BBA" w:rsidRPr="008E19CA" w:rsidRDefault="00B10F38" w:rsidP="00AA20EA">
            <w:pPr>
              <w:pStyle w:val="RollCallTable"/>
              <w:widowControl/>
            </w:pPr>
            <w:r>
              <w:t>Karolin Braunsberger-Reinhold, Siegfried Mureşan, Jan Olbrycht, Wolfram Pirchner</w:t>
            </w:r>
          </w:p>
        </w:tc>
      </w:tr>
      <w:tr w:rsidR="00C46F80" w:rsidTr="008920AC">
        <w:trPr>
          <w:cantSplit/>
        </w:trPr>
        <w:tc>
          <w:tcPr>
            <w:tcW w:w="1701" w:type="dxa"/>
            <w:shd w:val="clear" w:color="auto" w:fill="FFFFFF"/>
          </w:tcPr>
          <w:p w:rsidR="00250BBA" w:rsidRPr="008E19CA" w:rsidRDefault="00B10F38" w:rsidP="00AA20EA">
            <w:pPr>
              <w:pStyle w:val="RollCallTable"/>
              <w:widowControl/>
            </w:pPr>
            <w:r>
              <w:t>Renew</w:t>
            </w:r>
          </w:p>
        </w:tc>
        <w:tc>
          <w:tcPr>
            <w:tcW w:w="7371" w:type="dxa"/>
            <w:shd w:val="clear" w:color="auto" w:fill="FFFFFF"/>
          </w:tcPr>
          <w:p w:rsidR="00250BBA" w:rsidRPr="008E19CA" w:rsidRDefault="00B10F38" w:rsidP="00AA20EA">
            <w:pPr>
              <w:pStyle w:val="RollCallTable"/>
              <w:widowControl/>
            </w:pPr>
            <w:r>
              <w:t>Olivier Chastel, Dominique Riquet</w:t>
            </w:r>
          </w:p>
        </w:tc>
      </w:tr>
      <w:tr w:rsidR="00C46F80" w:rsidTr="008920AC">
        <w:trPr>
          <w:cantSplit/>
        </w:trPr>
        <w:tc>
          <w:tcPr>
            <w:tcW w:w="1701" w:type="dxa"/>
            <w:shd w:val="clear" w:color="auto" w:fill="FFFFFF"/>
          </w:tcPr>
          <w:p w:rsidR="00250BBA" w:rsidRPr="008E19CA" w:rsidRDefault="00B10F38" w:rsidP="00AA20EA">
            <w:pPr>
              <w:pStyle w:val="RollCallTable"/>
              <w:widowControl/>
            </w:pPr>
            <w:r>
              <w:t>S&amp;D</w:t>
            </w:r>
          </w:p>
        </w:tc>
        <w:tc>
          <w:tcPr>
            <w:tcW w:w="7371" w:type="dxa"/>
            <w:shd w:val="clear" w:color="auto" w:fill="FFFFFF"/>
          </w:tcPr>
          <w:p w:rsidR="00250BBA" w:rsidRPr="008E19CA" w:rsidRDefault="00B10F38" w:rsidP="00AA20EA">
            <w:pPr>
              <w:pStyle w:val="RollCallTable"/>
              <w:widowControl/>
            </w:pPr>
            <w:r>
              <w:t>Pascal Durand, Eider Gardiazabal Rubial, Eero Heinäluoma, Petra Kammerevert, Pierre Larrouturou, Margarida Marques, Nils Ušakovs</w:t>
            </w:r>
          </w:p>
        </w:tc>
      </w:tr>
      <w:tr w:rsidR="00C46F80" w:rsidTr="008920AC">
        <w:trPr>
          <w:cantSplit/>
        </w:trPr>
        <w:tc>
          <w:tcPr>
            <w:tcW w:w="1701" w:type="dxa"/>
            <w:shd w:val="clear" w:color="auto" w:fill="FFFFFF"/>
          </w:tcPr>
          <w:p w:rsidR="00250BBA" w:rsidRPr="008E19CA" w:rsidRDefault="00B10F38" w:rsidP="00AA20EA">
            <w:pPr>
              <w:pStyle w:val="RollCallTable"/>
              <w:widowControl/>
            </w:pPr>
            <w:r>
              <w:t>Verts/ALE</w:t>
            </w:r>
          </w:p>
        </w:tc>
        <w:tc>
          <w:tcPr>
            <w:tcW w:w="7371" w:type="dxa"/>
            <w:shd w:val="clear" w:color="auto" w:fill="FFFFFF"/>
          </w:tcPr>
          <w:p w:rsidR="00250BBA" w:rsidRPr="008E19CA" w:rsidRDefault="00B10F38" w:rsidP="00AA20EA">
            <w:pPr>
              <w:pStyle w:val="RollCallTable"/>
              <w:widowControl/>
            </w:pPr>
            <w:r>
              <w:t>Rasmus Andresen, Alexandra Geese</w:t>
            </w:r>
          </w:p>
        </w:tc>
      </w:tr>
    </w:tbl>
    <w:p w:rsidR="00250BBA" w:rsidRPr="008E19CA" w:rsidRDefault="00250BBA" w:rsidP="00AA20EA">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6F80" w:rsidTr="008920AC">
        <w:trPr>
          <w:cantSplit/>
        </w:trPr>
        <w:tc>
          <w:tcPr>
            <w:tcW w:w="1701" w:type="dxa"/>
            <w:shd w:val="pct10" w:color="000000" w:fill="FFFFFF"/>
            <w:vAlign w:val="center"/>
          </w:tcPr>
          <w:p w:rsidR="00250BBA" w:rsidRPr="008E19CA" w:rsidRDefault="00B10F38" w:rsidP="00AA20EA">
            <w:pPr>
              <w:pStyle w:val="RollCallVotes"/>
              <w:widowControl/>
            </w:pPr>
            <w:r>
              <w:t>1</w:t>
            </w:r>
          </w:p>
        </w:tc>
        <w:tc>
          <w:tcPr>
            <w:tcW w:w="7371" w:type="dxa"/>
            <w:shd w:val="pct10" w:color="000000" w:fill="FFFFFF"/>
          </w:tcPr>
          <w:p w:rsidR="00250BBA" w:rsidRPr="008E19CA" w:rsidRDefault="00B10F38" w:rsidP="00AA20EA">
            <w:pPr>
              <w:pStyle w:val="RollCallSymbols14pt"/>
              <w:widowControl/>
            </w:pPr>
            <w:r>
              <w:t>-</w:t>
            </w:r>
          </w:p>
        </w:tc>
      </w:tr>
      <w:tr w:rsidR="00C46F80" w:rsidTr="008920AC">
        <w:trPr>
          <w:cantSplit/>
        </w:trPr>
        <w:tc>
          <w:tcPr>
            <w:tcW w:w="1701" w:type="dxa"/>
            <w:shd w:val="clear" w:color="auto" w:fill="FFFFFF"/>
          </w:tcPr>
          <w:p w:rsidR="00250BBA" w:rsidRPr="008E19CA" w:rsidRDefault="00B10F38" w:rsidP="00AA20EA">
            <w:pPr>
              <w:pStyle w:val="RollCallTable"/>
              <w:widowControl/>
            </w:pPr>
            <w:r>
              <w:t>ID</w:t>
            </w:r>
          </w:p>
        </w:tc>
        <w:tc>
          <w:tcPr>
            <w:tcW w:w="7371" w:type="dxa"/>
            <w:shd w:val="clear" w:color="auto" w:fill="FFFFFF"/>
          </w:tcPr>
          <w:p w:rsidR="00250BBA" w:rsidRPr="008E19CA" w:rsidRDefault="00B10F38" w:rsidP="00AA20EA">
            <w:pPr>
              <w:pStyle w:val="RollCallTable"/>
              <w:widowControl/>
            </w:pPr>
            <w:r>
              <w:t>Joachim Kuhs</w:t>
            </w:r>
          </w:p>
        </w:tc>
      </w:tr>
    </w:tbl>
    <w:p w:rsidR="00250BBA" w:rsidRPr="008E19CA" w:rsidRDefault="00250BBA" w:rsidP="00AA20EA">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6F80" w:rsidTr="00E83B78">
        <w:trPr>
          <w:cantSplit/>
        </w:trPr>
        <w:tc>
          <w:tcPr>
            <w:tcW w:w="1701" w:type="dxa"/>
            <w:shd w:val="pct10" w:color="000000" w:fill="FFFFFF"/>
            <w:vAlign w:val="center"/>
          </w:tcPr>
          <w:p w:rsidR="00250BBA" w:rsidRPr="008E19CA" w:rsidRDefault="00B10F38" w:rsidP="00AA20EA">
            <w:pPr>
              <w:pStyle w:val="RollCallVotes"/>
              <w:widowControl/>
            </w:pPr>
            <w:r>
              <w:t>2</w:t>
            </w:r>
          </w:p>
        </w:tc>
        <w:tc>
          <w:tcPr>
            <w:tcW w:w="7371" w:type="dxa"/>
            <w:shd w:val="pct10" w:color="000000" w:fill="FFFFFF"/>
          </w:tcPr>
          <w:p w:rsidR="00250BBA" w:rsidRPr="008E19CA" w:rsidRDefault="00B10F38" w:rsidP="00AA20EA">
            <w:pPr>
              <w:pStyle w:val="RollCallSymbols14pt"/>
              <w:widowControl/>
            </w:pPr>
            <w:r>
              <w:t>0</w:t>
            </w:r>
          </w:p>
        </w:tc>
      </w:tr>
      <w:tr w:rsidR="00C46F80" w:rsidTr="00E83B78">
        <w:trPr>
          <w:cantSplit/>
        </w:trPr>
        <w:tc>
          <w:tcPr>
            <w:tcW w:w="1701" w:type="dxa"/>
            <w:shd w:val="clear" w:color="auto" w:fill="FFFFFF"/>
          </w:tcPr>
          <w:p w:rsidR="00250BBA" w:rsidRPr="008E19CA" w:rsidRDefault="00B10F38" w:rsidP="00AA20EA">
            <w:pPr>
              <w:pStyle w:val="RollCallTable"/>
              <w:widowControl/>
            </w:pPr>
            <w:r>
              <w:t>NI</w:t>
            </w:r>
          </w:p>
        </w:tc>
        <w:tc>
          <w:tcPr>
            <w:tcW w:w="7371" w:type="dxa"/>
            <w:shd w:val="clear" w:color="auto" w:fill="FFFFFF"/>
          </w:tcPr>
          <w:p w:rsidR="00250BBA" w:rsidRPr="008E19CA" w:rsidRDefault="00B10F38" w:rsidP="00AA20EA">
            <w:pPr>
              <w:pStyle w:val="RollCallTable"/>
              <w:widowControl/>
            </w:pPr>
            <w:r>
              <w:t>Andor Deli, Hervé Juvin</w:t>
            </w:r>
          </w:p>
        </w:tc>
      </w:tr>
    </w:tbl>
    <w:p w:rsidR="00250BBA" w:rsidRPr="008E19CA" w:rsidRDefault="00250BBA" w:rsidP="00AA20EA">
      <w:pPr>
        <w:pStyle w:val="Normal12a"/>
        <w:widowControl/>
      </w:pPr>
    </w:p>
    <w:p w:rsidR="00250BBA" w:rsidRPr="008E19CA" w:rsidRDefault="00B10F38" w:rsidP="00AA20EA">
      <w:pPr>
        <w:widowControl/>
      </w:pPr>
      <w:r>
        <w:t>Légende des signes utilisés:</w:t>
      </w:r>
    </w:p>
    <w:p w:rsidR="00250BBA" w:rsidRPr="008E19CA" w:rsidRDefault="00B10F38" w:rsidP="00AA20EA">
      <w:pPr>
        <w:pStyle w:val="RollCallTabs"/>
        <w:widowControl/>
      </w:pPr>
      <w:r>
        <w:t>+</w:t>
      </w:r>
      <w:r>
        <w:tab/>
        <w:t>:</w:t>
      </w:r>
      <w:r>
        <w:tab/>
        <w:t>pour</w:t>
      </w:r>
    </w:p>
    <w:p w:rsidR="00250BBA" w:rsidRPr="008E19CA" w:rsidRDefault="00B10F38" w:rsidP="00AA20EA">
      <w:pPr>
        <w:pStyle w:val="RollCallTabs"/>
        <w:widowControl/>
      </w:pPr>
      <w:r>
        <w:t>-</w:t>
      </w:r>
      <w:r>
        <w:tab/>
        <w:t>:</w:t>
      </w:r>
      <w:r>
        <w:tab/>
        <w:t>contre</w:t>
      </w:r>
    </w:p>
    <w:p w:rsidR="00250BBA" w:rsidRPr="008E19CA" w:rsidRDefault="00B10F38" w:rsidP="00AA20EA">
      <w:pPr>
        <w:pStyle w:val="RollCallTabs"/>
        <w:widowControl/>
      </w:pPr>
      <w:r>
        <w:t>0</w:t>
      </w:r>
      <w:r>
        <w:tab/>
        <w:t>:</w:t>
      </w:r>
      <w:r>
        <w:tab/>
        <w:t>abstention</w:t>
      </w:r>
    </w:p>
    <w:p w:rsidR="00250BBA" w:rsidRPr="008E19CA" w:rsidRDefault="00250BBA" w:rsidP="00AA20EA">
      <w:pPr>
        <w:widowControl/>
      </w:pPr>
    </w:p>
    <w:bookmarkEnd w:id="6"/>
    <w:p w:rsidR="00923F25" w:rsidRPr="008E19CA" w:rsidRDefault="00923F25" w:rsidP="00AA20EA">
      <w:pPr>
        <w:widowControl/>
      </w:pPr>
    </w:p>
    <w:sectPr w:rsidR="00923F25" w:rsidRPr="008E19CA" w:rsidSect="00250B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10F38">
      <w:r>
        <w:separator/>
      </w:r>
    </w:p>
  </w:endnote>
  <w:endnote w:type="continuationSeparator" w:id="0">
    <w:p w:rsidR="00000000" w:rsidRDefault="00B1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Roboto">
    <w:altName w:val="Times New Roman"/>
    <w:charset w:val="00"/>
    <w:family w:val="auto"/>
    <w:pitch w:val="variable"/>
    <w:sig w:usb0="00000001" w:usb1="5000217F" w:usb2="00000021" w:usb3="00000000" w:csb0="000001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962" w:rsidRPr="008E19CA" w:rsidRDefault="00B10F38" w:rsidP="00B85962">
    <w:pPr>
      <w:pStyle w:val="EPFooter"/>
    </w:pPr>
    <w:r w:rsidRPr="008E19CA">
      <w:t>PE</w:t>
    </w:r>
    <w:r w:rsidRPr="008E19CA">
      <w:rPr>
        <w:rStyle w:val="HideTWBExt"/>
      </w:rPr>
      <w:t>&lt;NoPE&gt;</w:t>
    </w:r>
    <w:r w:rsidRPr="008E19CA">
      <w:t>759.895</w:t>
    </w:r>
    <w:r w:rsidRPr="008E19CA">
      <w:rPr>
        <w:rStyle w:val="HideTWBExt"/>
      </w:rPr>
      <w:t>&lt;/NoPE&gt;&lt;Version&gt;</w:t>
    </w:r>
    <w:r w:rsidRPr="008E19CA">
      <w:t>v02-00</w:t>
    </w:r>
    <w:r w:rsidRPr="008E19CA">
      <w:rPr>
        <w:rStyle w:val="HideTWBExt"/>
      </w:rPr>
      <w:t>&lt;/Version&gt;</w:t>
    </w:r>
    <w:r w:rsidRPr="008E19CA">
      <w:tab/>
    </w:r>
    <w:r w:rsidRPr="008E19CA">
      <w:fldChar w:fldCharType="begin"/>
    </w:r>
    <w:r w:rsidRPr="008E19CA">
      <w:instrText xml:space="preserve"> PAGE  \* MERGEFORMAT </w:instrText>
    </w:r>
    <w:r w:rsidRPr="008E19CA">
      <w:fldChar w:fldCharType="separate"/>
    </w:r>
    <w:r>
      <w:rPr>
        <w:noProof/>
      </w:rPr>
      <w:t>6</w:t>
    </w:r>
    <w:r w:rsidRPr="008E19CA">
      <w:fldChar w:fldCharType="end"/>
    </w:r>
    <w:r w:rsidRPr="008E19CA">
      <w:t>/</w:t>
    </w:r>
    <w:r w:rsidR="00AA20EA">
      <w:fldChar w:fldCharType="begin"/>
    </w:r>
    <w:r>
      <w:instrText xml:space="preserve"> NUMPAGES  \* MERGEFORMAT </w:instrText>
    </w:r>
    <w:r w:rsidR="00AA20EA">
      <w:fldChar w:fldCharType="separate"/>
    </w:r>
    <w:r>
      <w:rPr>
        <w:noProof/>
      </w:rPr>
      <w:t>10</w:t>
    </w:r>
    <w:r w:rsidR="00AA20EA">
      <w:rPr>
        <w:noProof/>
      </w:rPr>
      <w:fldChar w:fldCharType="end"/>
    </w:r>
    <w:r w:rsidRPr="008E19CA">
      <w:tab/>
    </w:r>
    <w:r w:rsidRPr="008E19CA">
      <w:rPr>
        <w:rStyle w:val="HideTWBExt"/>
      </w:rPr>
      <w:t>&lt;PathFdR&gt;</w:t>
    </w:r>
    <w:r w:rsidRPr="008E19CA">
      <w:t>RR\1</w:t>
    </w:r>
    <w:r w:rsidRPr="008E19CA">
      <w:t>300789FR.docx</w:t>
    </w:r>
    <w:r w:rsidRPr="008E19CA">
      <w:rPr>
        <w:rStyle w:val="HideTWBExt"/>
      </w:rPr>
      <w:t>&lt;/PathFdR&gt;</w:t>
    </w:r>
  </w:p>
  <w:p w:rsidR="002D6EBB" w:rsidRPr="008E19CA" w:rsidRDefault="00B10F38" w:rsidP="00B85962">
    <w:pPr>
      <w:pStyle w:val="EPFooter2"/>
    </w:pPr>
    <w:r w:rsidRPr="008E19C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962" w:rsidRPr="008E19CA" w:rsidRDefault="00B10F38" w:rsidP="00B85962">
    <w:pPr>
      <w:pStyle w:val="EPFooter"/>
    </w:pPr>
    <w:r w:rsidRPr="008E19CA">
      <w:rPr>
        <w:rStyle w:val="HideTWBExt"/>
      </w:rPr>
      <w:t>&lt;PathFdR&gt;</w:t>
    </w:r>
    <w:r w:rsidRPr="008E19CA">
      <w:t>RR\1300789FR.docx</w:t>
    </w:r>
    <w:r w:rsidRPr="008E19CA">
      <w:rPr>
        <w:rStyle w:val="HideTWBExt"/>
      </w:rPr>
      <w:t>&lt;/PathFdR&gt;</w:t>
    </w:r>
    <w:r w:rsidRPr="008E19CA">
      <w:tab/>
    </w:r>
    <w:r w:rsidRPr="008E19CA">
      <w:fldChar w:fldCharType="begin"/>
    </w:r>
    <w:r w:rsidRPr="008E19CA">
      <w:instrText xml:space="preserve"> PAGE  \* MERGEFORMAT </w:instrText>
    </w:r>
    <w:r w:rsidRPr="008E19CA">
      <w:fldChar w:fldCharType="separate"/>
    </w:r>
    <w:r>
      <w:rPr>
        <w:noProof/>
      </w:rPr>
      <w:t>7</w:t>
    </w:r>
    <w:r w:rsidRPr="008E19CA">
      <w:fldChar w:fldCharType="end"/>
    </w:r>
    <w:r w:rsidRPr="008E19CA">
      <w:t>/</w:t>
    </w:r>
    <w:r w:rsidR="00AA20EA">
      <w:fldChar w:fldCharType="begin"/>
    </w:r>
    <w:r>
      <w:instrText xml:space="preserve"> NUMPAGES  \* MERGEFORMAT </w:instrText>
    </w:r>
    <w:r w:rsidR="00AA20EA">
      <w:fldChar w:fldCharType="separate"/>
    </w:r>
    <w:r>
      <w:rPr>
        <w:noProof/>
      </w:rPr>
      <w:t>10</w:t>
    </w:r>
    <w:r w:rsidR="00AA20EA">
      <w:rPr>
        <w:noProof/>
      </w:rPr>
      <w:fldChar w:fldCharType="end"/>
    </w:r>
    <w:r w:rsidRPr="008E19CA">
      <w:tab/>
      <w:t>PE</w:t>
    </w:r>
    <w:r w:rsidRPr="008E19CA">
      <w:rPr>
        <w:rStyle w:val="HideTWBExt"/>
      </w:rPr>
      <w:t>&lt;NoPE&gt;</w:t>
    </w:r>
    <w:r w:rsidRPr="008E19CA">
      <w:t>759.895</w:t>
    </w:r>
    <w:r w:rsidRPr="008E19CA">
      <w:rPr>
        <w:rStyle w:val="HideTWBExt"/>
      </w:rPr>
      <w:t>&lt;/NoPE&gt;&lt;Version&gt;</w:t>
    </w:r>
    <w:r w:rsidRPr="008E19CA">
      <w:t>v02-00</w:t>
    </w:r>
    <w:r w:rsidRPr="008E19CA">
      <w:rPr>
        <w:rStyle w:val="HideTWBExt"/>
      </w:rPr>
      <w:t>&lt;/Version&gt;</w:t>
    </w:r>
  </w:p>
  <w:p w:rsidR="002D6EBB" w:rsidRPr="008E19CA" w:rsidRDefault="00B10F38" w:rsidP="00B85962">
    <w:pPr>
      <w:pStyle w:val="EPFooter2"/>
    </w:pPr>
    <w:r w:rsidRPr="008E19CA">
      <w:tab/>
    </w:r>
    <w:r w:rsidRPr="008E19C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962" w:rsidRPr="008E19CA" w:rsidRDefault="00B10F38" w:rsidP="00B85962">
    <w:pPr>
      <w:pStyle w:val="EPFooter"/>
    </w:pPr>
    <w:r w:rsidRPr="008E19CA">
      <w:rPr>
        <w:rStyle w:val="HideTWBExt"/>
      </w:rPr>
      <w:t>&lt;PathFdR&gt;</w:t>
    </w:r>
    <w:r w:rsidRPr="008E19CA">
      <w:t>RR\1300789FR.docx</w:t>
    </w:r>
    <w:r w:rsidRPr="008E19CA">
      <w:rPr>
        <w:rStyle w:val="HideTWBExt"/>
      </w:rPr>
      <w:t>&lt;/PathFdR&gt;</w:t>
    </w:r>
    <w:r w:rsidRPr="008E19CA">
      <w:tab/>
    </w:r>
    <w:r w:rsidRPr="008E19CA">
      <w:tab/>
      <w:t>PE</w:t>
    </w:r>
    <w:r w:rsidRPr="008E19CA">
      <w:rPr>
        <w:rStyle w:val="HideTWBExt"/>
      </w:rPr>
      <w:t>&lt;NoPE&gt;</w:t>
    </w:r>
    <w:r w:rsidRPr="008E19CA">
      <w:t>759.895</w:t>
    </w:r>
    <w:r w:rsidRPr="008E19CA">
      <w:rPr>
        <w:rStyle w:val="HideTWBExt"/>
      </w:rPr>
      <w:t>&lt;/NoPE&gt;&lt;Version&gt;</w:t>
    </w:r>
    <w:r w:rsidRPr="008E19CA">
      <w:t>v02-00</w:t>
    </w:r>
    <w:r w:rsidRPr="008E19CA">
      <w:rPr>
        <w:rStyle w:val="HideTWBExt"/>
      </w:rPr>
      <w:t>&lt;/Ver</w:t>
    </w:r>
    <w:r w:rsidRPr="008E19CA">
      <w:rPr>
        <w:rStyle w:val="HideTWBExt"/>
      </w:rPr>
      <w:t>sion&gt;</w:t>
    </w:r>
  </w:p>
  <w:p w:rsidR="002D6EBB" w:rsidRPr="008E19CA" w:rsidRDefault="00B10F38" w:rsidP="00B85962">
    <w:pPr>
      <w:pStyle w:val="EPFooter2"/>
    </w:pPr>
    <w:r w:rsidRPr="008E19CA">
      <w:t>FR</w:t>
    </w:r>
    <w:r w:rsidRPr="008E19CA">
      <w:tab/>
    </w:r>
    <w:r w:rsidRPr="008E19CA">
      <w:rPr>
        <w:b w:val="0"/>
        <w:i/>
        <w:color w:val="C0C0C0"/>
        <w:sz w:val="22"/>
      </w:rPr>
      <w:t>Unie dans la diversité</w:t>
    </w:r>
    <w:r w:rsidRPr="008E19C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76D" w:rsidRPr="008E19CA" w:rsidRDefault="00B10F38">
      <w:r w:rsidRPr="008E19CA">
        <w:separator/>
      </w:r>
    </w:p>
  </w:footnote>
  <w:footnote w:type="continuationSeparator" w:id="0">
    <w:p w:rsidR="0040576D" w:rsidRPr="008E19CA" w:rsidRDefault="00B10F38">
      <w:r w:rsidRPr="008E19CA">
        <w:continuationSeparator/>
      </w:r>
    </w:p>
  </w:footnote>
  <w:footnote w:id="1">
    <w:p w:rsidR="00847FF6" w:rsidRPr="008E19CA" w:rsidRDefault="00B10F38">
      <w:pPr>
        <w:pStyle w:val="FootnoteText"/>
      </w:pPr>
      <w:r>
        <w:rPr>
          <w:rStyle w:val="FootnoteReference"/>
        </w:rPr>
        <w:footnoteRef/>
      </w:r>
      <w:r>
        <w:t xml:space="preserve"> JO L 193 du 30.7.2018, p. 1.</w:t>
      </w:r>
    </w:p>
  </w:footnote>
  <w:footnote w:id="2">
    <w:p w:rsidR="00847FF6" w:rsidRPr="008E19CA" w:rsidRDefault="00B10F38">
      <w:pPr>
        <w:pStyle w:val="FootnoteText"/>
        <w:rPr>
          <w:i/>
        </w:rPr>
      </w:pPr>
      <w:r>
        <w:rPr>
          <w:rStyle w:val="FootnoteReference"/>
        </w:rPr>
        <w:footnoteRef/>
      </w:r>
      <w:r>
        <w:t xml:space="preserve"> </w:t>
      </w:r>
      <w:r>
        <w:rPr>
          <w:rFonts w:ascii="Roboto" w:hAnsi="Roboto"/>
          <w:color w:val="333333"/>
          <w:shd w:val="clear" w:color="auto" w:fill="FFFFFF"/>
        </w:rPr>
        <w:t xml:space="preserve">JO </w:t>
      </w:r>
      <w:r>
        <w:rPr>
          <w:rStyle w:val="Emphasis"/>
          <w:rFonts w:ascii="Roboto" w:hAnsi="Roboto"/>
          <w:i w:val="0"/>
          <w:color w:val="333333"/>
          <w:shd w:val="clear" w:color="auto" w:fill="FFFFFF"/>
        </w:rPr>
        <w:t xml:space="preserve">L, 2024/207, 22.02.2024, ELI: </w:t>
      </w:r>
      <w:r>
        <w:rPr>
          <w:rStyle w:val="Emphasis"/>
          <w:rFonts w:ascii="Roboto" w:hAnsi="Roboto"/>
          <w:i w:val="0"/>
          <w:color w:val="333333"/>
          <w:shd w:val="clear" w:color="auto" w:fill="FFFFFF"/>
        </w:rPr>
        <w:t>https://eur-lex.europa.eu/eli/budget/2024/207/oj?locale=fr</w:t>
      </w:r>
      <w:r>
        <w:rPr>
          <w:i/>
        </w:rPr>
        <w:t>.</w:t>
      </w:r>
    </w:p>
  </w:footnote>
  <w:footnote w:id="3">
    <w:p w:rsidR="00847FF6" w:rsidRPr="008E19CA" w:rsidRDefault="00B10F38">
      <w:pPr>
        <w:pStyle w:val="FootnoteText"/>
      </w:pPr>
      <w:r>
        <w:rPr>
          <w:rStyle w:val="FootnoteReference"/>
        </w:rPr>
        <w:footnoteRef/>
      </w:r>
      <w:r>
        <w:t xml:space="preserve"> JO L, 2024/765, 29.02.2024, ELI: https://eur-lex.europa.eu/eli/reg/2024/765/oj?locale=fr</w:t>
      </w:r>
    </w:p>
  </w:footnote>
  <w:footnote w:id="4">
    <w:p w:rsidR="00847FF6" w:rsidRPr="008E19CA" w:rsidRDefault="00B10F38">
      <w:pPr>
        <w:pStyle w:val="FootnoteText"/>
      </w:pPr>
      <w:r>
        <w:rPr>
          <w:rStyle w:val="FootnoteReference"/>
        </w:rPr>
        <w:footnoteRef/>
      </w:r>
      <w:r>
        <w:t xml:space="preserve"> JO L, 2024/792, 29.02.2024, ELI: https://eur-lex.europa.eu/eli/reg/2024/792/oj?locale=fr</w:t>
      </w:r>
    </w:p>
  </w:footnote>
  <w:footnote w:id="5">
    <w:p w:rsidR="00847FF6" w:rsidRPr="008E19CA" w:rsidRDefault="00B10F38">
      <w:pPr>
        <w:pStyle w:val="FootnoteText"/>
      </w:pPr>
      <w:r>
        <w:rPr>
          <w:rStyle w:val="FootnoteReference"/>
        </w:rPr>
        <w:footnoteRef/>
      </w:r>
      <w:r>
        <w:t xml:space="preserve"> JO L, 2024/7</w:t>
      </w:r>
      <w:r>
        <w:t>95, 29.02.2024, ELI: https://eur-lex.europa.eu/eli/reg/2024/795/oj?locale=fr</w:t>
      </w:r>
    </w:p>
  </w:footnote>
  <w:footnote w:id="6">
    <w:p w:rsidR="00ED063F" w:rsidRPr="008E19CA" w:rsidRDefault="00B10F38">
      <w:pPr>
        <w:pStyle w:val="FootnoteText"/>
      </w:pPr>
      <w:r>
        <w:rPr>
          <w:rStyle w:val="FootnoteReference"/>
        </w:rPr>
        <w:footnoteRef/>
      </w:r>
      <w:r>
        <w:t xml:space="preserve"> JO L 433 I du 22.12.2020, p. 11.</w:t>
      </w:r>
    </w:p>
  </w:footnote>
  <w:footnote w:id="7">
    <w:p w:rsidR="005B27B0" w:rsidRPr="008E19CA" w:rsidRDefault="00B10F38">
      <w:pPr>
        <w:pStyle w:val="FootnoteText"/>
      </w:pPr>
      <w:r>
        <w:rPr>
          <w:rStyle w:val="FootnoteReference"/>
        </w:rPr>
        <w:footnoteRef/>
      </w:r>
      <w:r>
        <w:t xml:space="preserve"> JO L 433 I du 22.12.2020, p. 28.</w:t>
      </w:r>
    </w:p>
  </w:footnote>
  <w:footnote w:id="8">
    <w:p w:rsidR="005B27B0" w:rsidRPr="008E19CA" w:rsidRDefault="00B10F38">
      <w:pPr>
        <w:pStyle w:val="FootnoteText"/>
      </w:pPr>
      <w:r>
        <w:rPr>
          <w:rStyle w:val="FootnoteReference"/>
        </w:rPr>
        <w:footnoteRef/>
      </w:r>
      <w:r>
        <w:t xml:space="preserve"> JO L 424 du 15.12.2020, p. 1.</w:t>
      </w:r>
    </w:p>
  </w:footnote>
  <w:footnote w:id="9">
    <w:p w:rsidR="00ED063F" w:rsidRPr="008E19CA" w:rsidRDefault="00B10F38">
      <w:pPr>
        <w:pStyle w:val="FootnoteText"/>
      </w:pPr>
      <w:r>
        <w:rPr>
          <w:rStyle w:val="FootnoteReference"/>
        </w:rPr>
        <w:footnoteRef/>
      </w:r>
      <w:r>
        <w:t xml:space="preserve"> Textes adoptés de cette date, P9_TA((2024)0082.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6C" w:rsidRDefault="003C5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6C" w:rsidRDefault="003C5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6C" w:rsidRDefault="003C58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1"/>
    <w:docVar w:name="CopyToNetwork" w:val="-1"/>
    <w:docVar w:name="DOCDT" w:val="10/04/2024"/>
    <w:docVar w:name="LastEditedSection" w:val=" 1"/>
    <w:docVar w:name="strSubDir" w:val="1300"/>
    <w:docVar w:name="TXTLANGUE" w:val="FR"/>
    <w:docVar w:name="TXTLANGUEMIN" w:val="fr"/>
    <w:docVar w:name="TXTNRBUD" w:val="2024/0056"/>
    <w:docVar w:name="TXTNRPE" w:val="759.895"/>
    <w:docVar w:name="TXTPEorAP" w:val="PE"/>
    <w:docVar w:name="TXTROUTE" w:val="RR\1300789FR.docx"/>
    <w:docVar w:name="TXTVERSION" w:val="02-00"/>
  </w:docVars>
  <w:rsids>
    <w:rsidRoot w:val="00C65811"/>
    <w:rsid w:val="000018EE"/>
    <w:rsid w:val="00007893"/>
    <w:rsid w:val="000324D4"/>
    <w:rsid w:val="000404FE"/>
    <w:rsid w:val="00045F86"/>
    <w:rsid w:val="00057DE7"/>
    <w:rsid w:val="000730CE"/>
    <w:rsid w:val="000E3D68"/>
    <w:rsid w:val="00135FEA"/>
    <w:rsid w:val="0017450C"/>
    <w:rsid w:val="001D1CBC"/>
    <w:rsid w:val="001D6C47"/>
    <w:rsid w:val="00233823"/>
    <w:rsid w:val="00250BBA"/>
    <w:rsid w:val="0025563C"/>
    <w:rsid w:val="00270F8A"/>
    <w:rsid w:val="002714EB"/>
    <w:rsid w:val="002831FA"/>
    <w:rsid w:val="00285943"/>
    <w:rsid w:val="002930F3"/>
    <w:rsid w:val="00294E99"/>
    <w:rsid w:val="00295D6A"/>
    <w:rsid w:val="002A3E24"/>
    <w:rsid w:val="002D6EBB"/>
    <w:rsid w:val="00321B1E"/>
    <w:rsid w:val="00332F58"/>
    <w:rsid w:val="003477BB"/>
    <w:rsid w:val="00364812"/>
    <w:rsid w:val="00387D59"/>
    <w:rsid w:val="003957F0"/>
    <w:rsid w:val="003C4937"/>
    <w:rsid w:val="003C586C"/>
    <w:rsid w:val="003D5A57"/>
    <w:rsid w:val="0040576D"/>
    <w:rsid w:val="00414159"/>
    <w:rsid w:val="00423EA7"/>
    <w:rsid w:val="0045077A"/>
    <w:rsid w:val="0045495B"/>
    <w:rsid w:val="00463C57"/>
    <w:rsid w:val="004B6A35"/>
    <w:rsid w:val="004D0149"/>
    <w:rsid w:val="00500888"/>
    <w:rsid w:val="00506405"/>
    <w:rsid w:val="00533A78"/>
    <w:rsid w:val="00544EEF"/>
    <w:rsid w:val="0057259B"/>
    <w:rsid w:val="00585EFA"/>
    <w:rsid w:val="005A273A"/>
    <w:rsid w:val="005B12FA"/>
    <w:rsid w:val="005B27B0"/>
    <w:rsid w:val="005C1183"/>
    <w:rsid w:val="0060242C"/>
    <w:rsid w:val="00637CDC"/>
    <w:rsid w:val="00661ECC"/>
    <w:rsid w:val="00671805"/>
    <w:rsid w:val="00681D37"/>
    <w:rsid w:val="00685F60"/>
    <w:rsid w:val="00691635"/>
    <w:rsid w:val="006942A7"/>
    <w:rsid w:val="006E1229"/>
    <w:rsid w:val="006E406F"/>
    <w:rsid w:val="00702830"/>
    <w:rsid w:val="00702C8D"/>
    <w:rsid w:val="00742829"/>
    <w:rsid w:val="0074723E"/>
    <w:rsid w:val="00772EC8"/>
    <w:rsid w:val="0079471F"/>
    <w:rsid w:val="00794E07"/>
    <w:rsid w:val="007B2901"/>
    <w:rsid w:val="007C0660"/>
    <w:rsid w:val="007E09F4"/>
    <w:rsid w:val="007F7FA6"/>
    <w:rsid w:val="00803EDA"/>
    <w:rsid w:val="008239BD"/>
    <w:rsid w:val="008313FA"/>
    <w:rsid w:val="00847FF6"/>
    <w:rsid w:val="0085564B"/>
    <w:rsid w:val="00863BD9"/>
    <w:rsid w:val="008679BA"/>
    <w:rsid w:val="008B331C"/>
    <w:rsid w:val="008C750D"/>
    <w:rsid w:val="008D3A88"/>
    <w:rsid w:val="008E19CA"/>
    <w:rsid w:val="008E7C41"/>
    <w:rsid w:val="009151BB"/>
    <w:rsid w:val="00923F25"/>
    <w:rsid w:val="009556F7"/>
    <w:rsid w:val="0098739F"/>
    <w:rsid w:val="009A6474"/>
    <w:rsid w:val="009C163A"/>
    <w:rsid w:val="009C4C04"/>
    <w:rsid w:val="009C6617"/>
    <w:rsid w:val="009D230B"/>
    <w:rsid w:val="009E14E1"/>
    <w:rsid w:val="009F43D4"/>
    <w:rsid w:val="00A012E2"/>
    <w:rsid w:val="00A01B92"/>
    <w:rsid w:val="00AA20EA"/>
    <w:rsid w:val="00AA5623"/>
    <w:rsid w:val="00AC252D"/>
    <w:rsid w:val="00AD20BC"/>
    <w:rsid w:val="00AD2E0B"/>
    <w:rsid w:val="00B10F38"/>
    <w:rsid w:val="00B118B3"/>
    <w:rsid w:val="00B46239"/>
    <w:rsid w:val="00B739C2"/>
    <w:rsid w:val="00B843F1"/>
    <w:rsid w:val="00B85962"/>
    <w:rsid w:val="00BA48ED"/>
    <w:rsid w:val="00C20F44"/>
    <w:rsid w:val="00C23ADB"/>
    <w:rsid w:val="00C46F80"/>
    <w:rsid w:val="00C6226C"/>
    <w:rsid w:val="00C64197"/>
    <w:rsid w:val="00C65811"/>
    <w:rsid w:val="00C73CFE"/>
    <w:rsid w:val="00C91266"/>
    <w:rsid w:val="00C96001"/>
    <w:rsid w:val="00CB35E4"/>
    <w:rsid w:val="00CE3732"/>
    <w:rsid w:val="00D1408E"/>
    <w:rsid w:val="00D1733F"/>
    <w:rsid w:val="00D27ED6"/>
    <w:rsid w:val="00D327C8"/>
    <w:rsid w:val="00D47DA0"/>
    <w:rsid w:val="00D55771"/>
    <w:rsid w:val="00D70069"/>
    <w:rsid w:val="00DA31E7"/>
    <w:rsid w:val="00DB7028"/>
    <w:rsid w:val="00E37820"/>
    <w:rsid w:val="00E428B6"/>
    <w:rsid w:val="00E92591"/>
    <w:rsid w:val="00EA10D5"/>
    <w:rsid w:val="00ED063F"/>
    <w:rsid w:val="00ED16C2"/>
    <w:rsid w:val="00F339D9"/>
    <w:rsid w:val="00FB5D9F"/>
    <w:rsid w:val="00FE6C9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4EF1154-62A5-4941-989B-4B70D901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FE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259B"/>
    <w:pPr>
      <w:spacing w:before="480" w:after="240"/>
    </w:pPr>
  </w:style>
  <w:style w:type="paragraph" w:styleId="TOC1">
    <w:name w:val="toc 1"/>
    <w:basedOn w:val="Normal"/>
    <w:next w:val="Normal"/>
    <w:autoRedefine/>
    <w:uiPriority w:val="39"/>
    <w:rsid w:val="00A012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D2E0B"/>
    <w:pPr>
      <w:spacing w:before="80" w:after="80"/>
    </w:pPr>
    <w:rPr>
      <w:rFonts w:ascii="Arial Narrow" w:hAnsi="Arial Narrow" w:cs="Arial"/>
      <w:b/>
      <w:sz w:val="32"/>
      <w:szCs w:val="22"/>
    </w:rPr>
  </w:style>
  <w:style w:type="paragraph" w:customStyle="1" w:styleId="CoverNormal24a">
    <w:name w:val="CoverNormal24a"/>
    <w:basedOn w:val="Normal"/>
    <w:rsid w:val="000018E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14159"/>
    <w:pPr>
      <w:spacing w:before="1080"/>
      <w:jc w:val="right"/>
    </w:pPr>
    <w:rPr>
      <w:rFonts w:ascii="Arial" w:hAnsi="Arial" w:cs="Arial"/>
      <w:b/>
    </w:rPr>
  </w:style>
  <w:style w:type="paragraph" w:customStyle="1" w:styleId="CoverDocType24a">
    <w:name w:val="CoverDocType24a"/>
    <w:basedOn w:val="Normal"/>
    <w:rsid w:val="000018E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81D37"/>
    <w:pPr>
      <w:tabs>
        <w:tab w:val="center" w:pos="4513"/>
        <w:tab w:val="right" w:pos="9026"/>
      </w:tabs>
    </w:pPr>
  </w:style>
  <w:style w:type="table" w:styleId="TableGrid">
    <w:name w:val="Table Grid"/>
    <w:basedOn w:val="TableNormal"/>
    <w:rsid w:val="00772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72EC8"/>
    <w:pPr>
      <w:jc w:val="center"/>
    </w:pPr>
    <w:rPr>
      <w:rFonts w:ascii="Arial" w:hAnsi="Arial" w:cs="Arial"/>
      <w:i/>
      <w:sz w:val="22"/>
      <w:szCs w:val="22"/>
    </w:rPr>
  </w:style>
  <w:style w:type="paragraph" w:customStyle="1" w:styleId="LineTop">
    <w:name w:val="LineTop"/>
    <w:basedOn w:val="Normal"/>
    <w:next w:val="Normal"/>
    <w:rsid w:val="00772EC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72EC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D2E0B"/>
    <w:pPr>
      <w:spacing w:after="80"/>
    </w:pPr>
    <w:rPr>
      <w:rFonts w:ascii="Arial" w:hAnsi="Arial" w:cs="Arial"/>
      <w:sz w:val="20"/>
      <w:szCs w:val="22"/>
    </w:rPr>
  </w:style>
  <w:style w:type="paragraph" w:customStyle="1" w:styleId="EPLogo">
    <w:name w:val="EPLogo"/>
    <w:basedOn w:val="Normal"/>
    <w:qFormat/>
    <w:rsid w:val="00AD2E0B"/>
    <w:pPr>
      <w:jc w:val="right"/>
    </w:pPr>
  </w:style>
  <w:style w:type="paragraph" w:customStyle="1" w:styleId="EPFooter">
    <w:name w:val="EPFooter"/>
    <w:basedOn w:val="Normal"/>
    <w:rsid w:val="000018EE"/>
    <w:pPr>
      <w:tabs>
        <w:tab w:val="center" w:pos="4535"/>
        <w:tab w:val="right" w:pos="9071"/>
      </w:tabs>
      <w:spacing w:before="240" w:after="240"/>
    </w:pPr>
    <w:rPr>
      <w:color w:val="010000"/>
      <w:sz w:val="22"/>
    </w:rPr>
  </w:style>
  <w:style w:type="character" w:styleId="PageNumber">
    <w:name w:val="page number"/>
    <w:basedOn w:val="DefaultParagraphFont"/>
    <w:semiHidden/>
    <w:rsid w:val="00691635"/>
  </w:style>
  <w:style w:type="character" w:customStyle="1" w:styleId="HeaderChar">
    <w:name w:val="Header Char"/>
    <w:basedOn w:val="DefaultParagraphFont"/>
    <w:link w:val="Header"/>
    <w:semiHidden/>
    <w:rsid w:val="00681D37"/>
    <w:rPr>
      <w:sz w:val="24"/>
    </w:rPr>
  </w:style>
  <w:style w:type="paragraph" w:styleId="FootnoteText">
    <w:name w:val="footnote text"/>
    <w:basedOn w:val="Normal"/>
    <w:link w:val="FootnoteTextChar"/>
    <w:rsid w:val="00DA31E7"/>
    <w:rPr>
      <w:sz w:val="20"/>
    </w:rPr>
  </w:style>
  <w:style w:type="character" w:customStyle="1" w:styleId="FootnoteTextChar">
    <w:name w:val="Footnote Text Char"/>
    <w:basedOn w:val="DefaultParagraphFont"/>
    <w:link w:val="FootnoteText"/>
    <w:rsid w:val="00DA31E7"/>
  </w:style>
  <w:style w:type="character" w:styleId="FootnoteReference">
    <w:name w:val="footnote reference"/>
    <w:basedOn w:val="DefaultParagraphFont"/>
    <w:rsid w:val="00DA31E7"/>
    <w:rPr>
      <w:vertAlign w:val="superscript"/>
    </w:rPr>
  </w:style>
  <w:style w:type="character" w:styleId="Emphasis">
    <w:name w:val="Emphasis"/>
    <w:basedOn w:val="DefaultParagraphFont"/>
    <w:uiPriority w:val="20"/>
    <w:qFormat/>
    <w:rsid w:val="00DA31E7"/>
    <w:rPr>
      <w:i/>
      <w:iCs/>
    </w:rPr>
  </w:style>
  <w:style w:type="paragraph" w:styleId="Footer">
    <w:name w:val="footer"/>
    <w:basedOn w:val="Normal"/>
    <w:link w:val="FooterChar"/>
    <w:semiHidden/>
    <w:rsid w:val="00295D6A"/>
    <w:pPr>
      <w:tabs>
        <w:tab w:val="center" w:pos="4513"/>
        <w:tab w:val="right" w:pos="9026"/>
      </w:tabs>
    </w:pPr>
  </w:style>
  <w:style w:type="character" w:customStyle="1" w:styleId="FooterChar">
    <w:name w:val="Footer Char"/>
    <w:basedOn w:val="DefaultParagraphFont"/>
    <w:link w:val="Footer"/>
    <w:semiHidden/>
    <w:rsid w:val="00295D6A"/>
    <w:rPr>
      <w:sz w:val="24"/>
    </w:rPr>
  </w:style>
  <w:style w:type="character" w:styleId="CommentReference">
    <w:name w:val="annotation reference"/>
    <w:basedOn w:val="DefaultParagraphFont"/>
    <w:rsid w:val="00295D6A"/>
    <w:rPr>
      <w:sz w:val="16"/>
      <w:szCs w:val="16"/>
    </w:rPr>
  </w:style>
  <w:style w:type="paragraph" w:styleId="CommentText">
    <w:name w:val="annotation text"/>
    <w:basedOn w:val="Normal"/>
    <w:link w:val="CommentTextChar"/>
    <w:rsid w:val="00295D6A"/>
    <w:rPr>
      <w:sz w:val="20"/>
    </w:rPr>
  </w:style>
  <w:style w:type="character" w:customStyle="1" w:styleId="CommentTextChar">
    <w:name w:val="Comment Text Char"/>
    <w:basedOn w:val="DefaultParagraphFont"/>
    <w:link w:val="CommentText"/>
    <w:rsid w:val="00295D6A"/>
  </w:style>
  <w:style w:type="paragraph" w:styleId="CommentSubject">
    <w:name w:val="annotation subject"/>
    <w:basedOn w:val="CommentText"/>
    <w:next w:val="CommentText"/>
    <w:link w:val="CommentSubjectChar"/>
    <w:semiHidden/>
    <w:unhideWhenUsed/>
    <w:rsid w:val="00295D6A"/>
    <w:rPr>
      <w:b/>
      <w:bCs/>
    </w:rPr>
  </w:style>
  <w:style w:type="character" w:customStyle="1" w:styleId="CommentSubjectChar">
    <w:name w:val="Comment Subject Char"/>
    <w:basedOn w:val="CommentTextChar"/>
    <w:link w:val="CommentSubject"/>
    <w:semiHidden/>
    <w:rsid w:val="00295D6A"/>
    <w:rPr>
      <w:b/>
      <w:bCs/>
    </w:rPr>
  </w:style>
  <w:style w:type="paragraph" w:styleId="BalloonText">
    <w:name w:val="Balloon Text"/>
    <w:basedOn w:val="Normal"/>
    <w:link w:val="BalloonTextChar"/>
    <w:semiHidden/>
    <w:unhideWhenUsed/>
    <w:rsid w:val="00295D6A"/>
    <w:rPr>
      <w:rFonts w:ascii="Segoe UI" w:hAnsi="Segoe UI" w:cs="Segoe UI"/>
      <w:sz w:val="18"/>
      <w:szCs w:val="18"/>
    </w:rPr>
  </w:style>
  <w:style w:type="character" w:customStyle="1" w:styleId="BalloonTextChar">
    <w:name w:val="Balloon Text Char"/>
    <w:basedOn w:val="DefaultParagraphFont"/>
    <w:link w:val="BalloonText"/>
    <w:semiHidden/>
    <w:rsid w:val="00295D6A"/>
    <w:rPr>
      <w:rFonts w:ascii="Segoe UI" w:hAnsi="Segoe UI" w:cs="Segoe UI"/>
      <w:sz w:val="18"/>
      <w:szCs w:val="18"/>
    </w:rPr>
  </w:style>
  <w:style w:type="paragraph" w:customStyle="1" w:styleId="Normal24a">
    <w:name w:val="Normal24a"/>
    <w:basedOn w:val="Normal"/>
    <w:rsid w:val="005B12FA"/>
    <w:pPr>
      <w:spacing w:after="480"/>
    </w:pPr>
  </w:style>
  <w:style w:type="paragraph" w:customStyle="1" w:styleId="NormalBoldCenter">
    <w:name w:val="NormalBoldCenter"/>
    <w:basedOn w:val="Normal"/>
    <w:rsid w:val="005B12FA"/>
    <w:pPr>
      <w:jc w:val="center"/>
    </w:pPr>
    <w:rPr>
      <w:b/>
    </w:rPr>
  </w:style>
  <w:style w:type="paragraph" w:customStyle="1" w:styleId="Normal12a">
    <w:name w:val="Normal12a"/>
    <w:basedOn w:val="Normal"/>
    <w:rsid w:val="00250BBA"/>
    <w:pPr>
      <w:spacing w:after="240"/>
    </w:pPr>
  </w:style>
  <w:style w:type="paragraph" w:customStyle="1" w:styleId="RollCallVotes">
    <w:name w:val="RollCallVotes"/>
    <w:basedOn w:val="Normal"/>
    <w:rsid w:val="00250BBA"/>
    <w:pPr>
      <w:spacing w:before="120" w:after="120"/>
      <w:jc w:val="center"/>
    </w:pPr>
    <w:rPr>
      <w:b/>
      <w:bCs/>
      <w:snapToGrid w:val="0"/>
      <w:sz w:val="16"/>
      <w:lang w:eastAsia="en-US"/>
    </w:rPr>
  </w:style>
  <w:style w:type="paragraph" w:customStyle="1" w:styleId="RollCallTabs">
    <w:name w:val="RollCallTabs"/>
    <w:basedOn w:val="Normal"/>
    <w:qFormat/>
    <w:rsid w:val="00250BBA"/>
    <w:pPr>
      <w:tabs>
        <w:tab w:val="center" w:pos="284"/>
        <w:tab w:val="left" w:pos="426"/>
      </w:tabs>
    </w:pPr>
    <w:rPr>
      <w:snapToGrid w:val="0"/>
      <w:lang w:eastAsia="en-US"/>
    </w:rPr>
  </w:style>
  <w:style w:type="paragraph" w:customStyle="1" w:styleId="RollCallSymbols14pt">
    <w:name w:val="RollCallSymbols14pt"/>
    <w:basedOn w:val="Normal"/>
    <w:rsid w:val="00250BBA"/>
    <w:pPr>
      <w:spacing w:before="120" w:after="120"/>
      <w:jc w:val="center"/>
    </w:pPr>
    <w:rPr>
      <w:rFonts w:ascii="Arial" w:hAnsi="Arial"/>
      <w:b/>
      <w:bCs/>
      <w:snapToGrid w:val="0"/>
      <w:sz w:val="28"/>
      <w:lang w:eastAsia="en-US"/>
    </w:rPr>
  </w:style>
  <w:style w:type="paragraph" w:customStyle="1" w:styleId="RollCallTable">
    <w:name w:val="RollCallTable"/>
    <w:basedOn w:val="Normal"/>
    <w:rsid w:val="00250BB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031BF-91D5-41DA-8A7D-E88E6FF7B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2543</Words>
  <Characters>13992</Characters>
  <Application>Microsoft Office Word</Application>
  <DocSecurity>0</DocSecurity>
  <Lines>291</Lines>
  <Paragraphs>123</Paragraphs>
  <ScaleCrop>false</ScaleCrop>
  <HeadingPairs>
    <vt:vector size="2" baseType="variant">
      <vt:variant>
        <vt:lpstr>Title</vt:lpstr>
      </vt:variant>
      <vt:variant>
        <vt:i4>1</vt:i4>
      </vt:variant>
    </vt:vector>
  </HeadingPairs>
  <TitlesOfParts>
    <vt:vector size="1" baseType="lpstr">
      <vt:lpstr>PR_BUD_DABapp</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PR_BUD_DABapp</dc:title>
  <dc:creator>TERZI Sevil</dc:creator>
  <cp:lastModifiedBy>GRANET-CORNEE Coline</cp:lastModifiedBy>
  <cp:revision>2</cp:revision>
  <cp:lastPrinted>2004-05-27T07:49:00Z</cp:lastPrinted>
  <dcterms:created xsi:type="dcterms:W3CDTF">2024-04-16T07:10:00Z</dcterms:created>
  <dcterms:modified xsi:type="dcterms:W3CDTF">2024-04-16T07:10:00Z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1300789</vt:lpwstr>
  </property>
  <property fmtid="{D5CDD505-2E9C-101B-9397-08002B2CF9AE}" pid="4" name="&lt;Model&gt;">
    <vt:lpwstr>PR_BUD_DABapp</vt:lpwstr>
  </property>
  <property fmtid="{D5CDD505-2E9C-101B-9397-08002B2CF9AE}" pid="5" name="&lt;ModelCod&gt;">
    <vt:lpwstr>\\eiciBRUpr1\pdocep$\DocEP\DOCS\General\PR\PR_BUD\BUDGET\BUD\PR_BUD_DABapp.dotx(29/06/2020 05:46:08)</vt:lpwstr>
  </property>
  <property fmtid="{D5CDD505-2E9C-101B-9397-08002B2CF9AE}" pid="6" name="&lt;ModelTra&gt;">
    <vt:lpwstr>\\eiciBRUpr1\pdocep$\DocEP\TRANSFIL\EN\PR_BUD_DABapp.EN(28/02/2022 11:20:00)</vt:lpwstr>
  </property>
  <property fmtid="{D5CDD505-2E9C-101B-9397-08002B2CF9AE}" pid="7" name="&lt;Type&gt;">
    <vt:lpwstr>RR</vt:lpwstr>
  </property>
  <property fmtid="{D5CDD505-2E9C-101B-9397-08002B2CF9AE}" pid="8" name="Bookout">
    <vt:lpwstr>OK - 2024/04/16 09:10</vt:lpwstr>
  </property>
  <property fmtid="{D5CDD505-2E9C-101B-9397-08002B2CF9AE}" pid="9" name="Created with">
    <vt:lpwstr>9.17.2 Build [20240301]</vt:lpwstr>
  </property>
  <property fmtid="{D5CDD505-2E9C-101B-9397-08002B2CF9AE}" pid="10" name="FooterPath">
    <vt:lpwstr>RR\1300789FR.docx</vt:lpwstr>
  </property>
  <property fmtid="{D5CDD505-2E9C-101B-9397-08002B2CF9AE}" pid="11" name="LastEdited with">
    <vt:lpwstr>9.17.2 Build [20240301]</vt:lpwstr>
  </property>
  <property fmtid="{D5CDD505-2E9C-101B-9397-08002B2CF9AE}" pid="12" name="PE number">
    <vt:lpwstr>759.895</vt:lpwstr>
  </property>
  <property fmtid="{D5CDD505-2E9C-101B-9397-08002B2CF9AE}" pid="13" name="SDLStudio">
    <vt:lpwstr/>
  </property>
  <property fmtid="{D5CDD505-2E9C-101B-9397-08002B2CF9AE}" pid="14" name="SendToEpades">
    <vt:lpwstr/>
  </property>
</Properties>
</file>