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333BFD" w:rsidTr="00C85D0F">
        <w:trPr>
          <w:trHeight w:hRule="exact" w:val="1418"/>
        </w:trPr>
        <w:tc>
          <w:tcPr>
            <w:tcW w:w="6804" w:type="dxa"/>
            <w:shd w:val="clear" w:color="auto" w:fill="auto"/>
            <w:vAlign w:val="center"/>
          </w:tcPr>
          <w:p w:rsidR="00C05DD8" w:rsidRPr="00333BFD" w:rsidRDefault="004D3EA1" w:rsidP="00C85D0F">
            <w:pPr>
              <w:pStyle w:val="EPName"/>
            </w:pPr>
            <w:r>
              <w:t>Parlement européen</w:t>
            </w:r>
          </w:p>
          <w:p w:rsidR="00C05DD8" w:rsidRPr="00333BFD" w:rsidRDefault="00AD5A52" w:rsidP="00AD5A52">
            <w:pPr>
              <w:pStyle w:val="EPTerm"/>
            </w:pPr>
            <w:r>
              <w:t>2019-2024</w:t>
            </w:r>
          </w:p>
        </w:tc>
        <w:tc>
          <w:tcPr>
            <w:tcW w:w="2268" w:type="dxa"/>
            <w:shd w:val="clear" w:color="auto" w:fill="auto"/>
          </w:tcPr>
          <w:p w:rsidR="00C05DD8" w:rsidRPr="00333BFD" w:rsidRDefault="00C05DD8" w:rsidP="00C85D0F">
            <w:pPr>
              <w:pStyle w:val="EPLogo"/>
            </w:pPr>
            <w:r w:rsidRPr="00333BFD">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333BFD" w:rsidRDefault="009612AA" w:rsidP="009612AA">
      <w:pPr>
        <w:pStyle w:val="LineTop"/>
      </w:pPr>
    </w:p>
    <w:p w:rsidR="009612AA" w:rsidRPr="00333BFD" w:rsidRDefault="00786DBD" w:rsidP="009612AA">
      <w:pPr>
        <w:pStyle w:val="EPBody"/>
      </w:pPr>
      <w:r>
        <w:t>Document de séance</w:t>
      </w:r>
    </w:p>
    <w:p w:rsidR="009612AA" w:rsidRPr="00333BFD" w:rsidRDefault="009612AA" w:rsidP="009612AA">
      <w:pPr>
        <w:pStyle w:val="LineBottom"/>
      </w:pPr>
    </w:p>
    <w:p w:rsidR="00363B94" w:rsidRPr="00333BFD" w:rsidRDefault="00786DBD">
      <w:pPr>
        <w:pStyle w:val="CoverReference"/>
      </w:pPr>
      <w:r>
        <w:rPr>
          <w:rStyle w:val="HideTWBExt"/>
        </w:rPr>
        <w:t>&lt;NoDocSe&gt;</w:t>
      </w:r>
      <w:r>
        <w:t>A9</w:t>
      </w:r>
      <w:r>
        <w:noBreakHyphen/>
        <w:t>0175/2024</w:t>
      </w:r>
      <w:r>
        <w:rPr>
          <w:rStyle w:val="HideTWBExt"/>
        </w:rPr>
        <w:t>&lt;/NoDocSe&gt;</w:t>
      </w:r>
    </w:p>
    <w:p w:rsidR="00363B94" w:rsidRPr="00333BFD" w:rsidRDefault="00363B94">
      <w:pPr>
        <w:pStyle w:val="CoverDate"/>
      </w:pPr>
      <w:r>
        <w:rPr>
          <w:rStyle w:val="HideTWBExt"/>
        </w:rPr>
        <w:t>&lt;Date&gt;</w:t>
      </w:r>
      <w:r>
        <w:rPr>
          <w:rStyle w:val="HideTWBInt"/>
        </w:rPr>
        <w:t>{11/04/2024}</w:t>
      </w:r>
      <w:r>
        <w:t>11.4.2024</w:t>
      </w:r>
      <w:r>
        <w:rPr>
          <w:rStyle w:val="HideTWBExt"/>
        </w:rPr>
        <w:t>&lt;/Date&gt;</w:t>
      </w:r>
    </w:p>
    <w:p w:rsidR="00363B94" w:rsidRPr="00333BFD" w:rsidRDefault="00363B94">
      <w:pPr>
        <w:pStyle w:val="CoverDocType"/>
      </w:pPr>
      <w:r>
        <w:rPr>
          <w:rStyle w:val="HideTWBExt"/>
          <w:b w:val="0"/>
        </w:rPr>
        <w:t>&lt;RefProcLect&gt;</w:t>
      </w:r>
      <w:r>
        <w:t>***</w:t>
      </w:r>
      <w:r>
        <w:rPr>
          <w:rStyle w:val="HideTWBExt"/>
          <w:b w:val="0"/>
        </w:rPr>
        <w:t>&lt;/RefProcLect&gt;</w:t>
      </w:r>
    </w:p>
    <w:p w:rsidR="00363B94" w:rsidRPr="00333BFD" w:rsidRDefault="00363B94">
      <w:pPr>
        <w:pStyle w:val="CoverDocType24a"/>
      </w:pPr>
      <w:r>
        <w:rPr>
          <w:rStyle w:val="HideTWBExt"/>
          <w:b w:val="0"/>
        </w:rPr>
        <w:t>&lt;TitreType&gt;</w:t>
      </w:r>
      <w:r>
        <w:t>RECOMMANDATION</w:t>
      </w:r>
      <w:r>
        <w:rPr>
          <w:rStyle w:val="HideTWBExt"/>
          <w:b w:val="0"/>
        </w:rPr>
        <w:t>&lt;/TitreType&gt;</w:t>
      </w:r>
    </w:p>
    <w:p w:rsidR="00363B94" w:rsidRPr="00333BFD" w:rsidRDefault="00363B94">
      <w:pPr>
        <w:pStyle w:val="CoverNormal"/>
      </w:pPr>
      <w:r>
        <w:rPr>
          <w:rStyle w:val="HideTWBExt"/>
        </w:rPr>
        <w:t>&lt;Titre&gt;</w:t>
      </w:r>
      <w:r>
        <w:t xml:space="preserve">sur le projet de décision du Conseil </w:t>
      </w:r>
      <w:r>
        <w:rPr>
          <w:shd w:val="clear" w:color="auto" w:fill="FFFFFF"/>
        </w:rPr>
        <w:t>relative à la conclusion, au nom de l’Union, du protocole à l’accord euro-méditerranéen établissant une association entre les Communautés européennes et leurs États membres, d’une part, et la République arabe d’Égypte, d’autre part, concernant un accord-cadre entre l’Union européenne et la République arabe d’Égypte relatif aux principes généraux de la participation de la République arabe d’Égypte aux programmes de l’Union</w:t>
      </w:r>
      <w:r>
        <w:rPr>
          <w:rStyle w:val="HideTWBExt"/>
        </w:rPr>
        <w:t>&lt;/Titre&gt;</w:t>
      </w:r>
    </w:p>
    <w:p w:rsidR="00363B94" w:rsidRPr="00333BFD" w:rsidRDefault="00363B94">
      <w:pPr>
        <w:pStyle w:val="CoverNormal24a"/>
      </w:pPr>
      <w:r>
        <w:rPr>
          <w:rStyle w:val="HideTWBExt"/>
        </w:rPr>
        <w:t>&lt;DocRef&gt;</w:t>
      </w:r>
      <w:r>
        <w:t>(15093/2023 – C9</w:t>
      </w:r>
      <w:r>
        <w:noBreakHyphen/>
        <w:t>0017/2024 – 2023/0220(NLE))</w:t>
      </w:r>
      <w:r>
        <w:rPr>
          <w:rStyle w:val="HideTWBExt"/>
        </w:rPr>
        <w:t>&lt;/DocRef&gt;</w:t>
      </w:r>
    </w:p>
    <w:p w:rsidR="00363B94" w:rsidRPr="00333BFD" w:rsidRDefault="00363B94">
      <w:pPr>
        <w:pStyle w:val="CoverNormal24a"/>
      </w:pPr>
      <w:r>
        <w:rPr>
          <w:rStyle w:val="HideTWBExt"/>
        </w:rPr>
        <w:t>&lt;Commission&gt;</w:t>
      </w:r>
      <w:r>
        <w:rPr>
          <w:rStyle w:val="HideTWBInt"/>
        </w:rPr>
        <w:t>{AFET}</w:t>
      </w:r>
      <w:r>
        <w:t>Commission des affaires étrangères</w:t>
      </w:r>
      <w:r>
        <w:rPr>
          <w:rStyle w:val="HideTWBExt"/>
        </w:rPr>
        <w:t>&lt;/Commission&gt;</w:t>
      </w:r>
    </w:p>
    <w:p w:rsidR="00363B94" w:rsidRPr="00333BFD" w:rsidRDefault="004D3EA1">
      <w:pPr>
        <w:pStyle w:val="CoverNormal24a"/>
      </w:pPr>
      <w:r>
        <w:t xml:space="preserve">Rapporteur: </w:t>
      </w:r>
      <w:r>
        <w:rPr>
          <w:rStyle w:val="HideTWBExt"/>
        </w:rPr>
        <w:t>&lt;Depute&gt;</w:t>
      </w:r>
      <w:r>
        <w:t>Michael Gahler</w:t>
      </w:r>
      <w:r>
        <w:rPr>
          <w:rStyle w:val="HideTWBExt"/>
        </w:rPr>
        <w:t>&lt;/Depute&gt;</w:t>
      </w:r>
    </w:p>
    <w:p w:rsidR="00B42885" w:rsidRPr="00333BFD" w:rsidRDefault="00B42885" w:rsidP="00B42885">
      <w:pPr>
        <w:pStyle w:val="CoverNormal"/>
      </w:pPr>
    </w:p>
    <w:p w:rsidR="00AD5A52" w:rsidRPr="00333BFD" w:rsidRDefault="00363B94" w:rsidP="00016E55">
      <w:r>
        <w:br w:type="page"/>
      </w:r>
      <w:r w:rsidR="000B229A">
        <w:lastRenderedPageBreak/>
        <w:fldChar w:fldCharType="begin"/>
      </w:r>
      <w:r w:rsidR="000B229A">
        <w:instrText xml:space="preserve"> TITLE  \* MERGEFORMAT </w:instrText>
      </w:r>
      <w:r w:rsidR="000B229A">
        <w:fldChar w:fldCharType="separate"/>
      </w:r>
      <w:r w:rsidR="000B229A">
        <w:t>PR_NLE-AP_Agreement</w:t>
      </w:r>
      <w:r w:rsidR="000B229A">
        <w:fldChar w:fldCharType="end"/>
      </w:r>
    </w:p>
    <w:p w:rsidR="00AD5A52" w:rsidRPr="00333BFD" w:rsidRDefault="00AD5A52" w:rsidP="00016E55"/>
    <w:p w:rsidR="00AD5A52" w:rsidRPr="00333BFD" w:rsidRDefault="00AD5A52"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D5A52" w:rsidRPr="00333BFD">
        <w:tc>
          <w:tcPr>
            <w:tcW w:w="5811" w:type="dxa"/>
          </w:tcPr>
          <w:p w:rsidR="00AD5A52" w:rsidRPr="00333BFD" w:rsidRDefault="00AD5A52" w:rsidP="00016E55">
            <w:pPr>
              <w:pStyle w:val="Lgendetitre"/>
            </w:pPr>
            <w:r>
              <w:t>Légende des signes utilisés</w:t>
            </w:r>
          </w:p>
        </w:tc>
      </w:tr>
      <w:tr w:rsidR="00AD5A52" w:rsidRPr="00333BFD" w:rsidTr="004247A2">
        <w:trPr>
          <w:cantSplit/>
          <w:trHeight w:val="1807"/>
        </w:trPr>
        <w:tc>
          <w:tcPr>
            <w:tcW w:w="5811" w:type="dxa"/>
            <w:tcBorders>
              <w:bottom w:val="single" w:sz="4" w:space="0" w:color="auto"/>
            </w:tcBorders>
          </w:tcPr>
          <w:p w:rsidR="00AD5A52" w:rsidRPr="00333BFD" w:rsidRDefault="00AD5A52" w:rsidP="00717061">
            <w:pPr>
              <w:pStyle w:val="Lgendesigne"/>
            </w:pPr>
            <w:r>
              <w:tab/>
              <w:t>*</w:t>
            </w:r>
            <w:r>
              <w:tab/>
              <w:t>Procédure de consultation</w:t>
            </w:r>
          </w:p>
          <w:p w:rsidR="00AD5A52" w:rsidRPr="00333BFD" w:rsidRDefault="00AD5A52" w:rsidP="00717061">
            <w:pPr>
              <w:pStyle w:val="Lgendesigne"/>
            </w:pPr>
            <w:r>
              <w:tab/>
              <w:t>***</w:t>
            </w:r>
            <w:r>
              <w:tab/>
              <w:t>Procédure d’approbation</w:t>
            </w:r>
          </w:p>
          <w:p w:rsidR="00AD5A52" w:rsidRPr="00333BFD" w:rsidRDefault="00AD5A52" w:rsidP="00717061">
            <w:pPr>
              <w:pStyle w:val="Lgendesigne"/>
            </w:pPr>
            <w:r>
              <w:tab/>
              <w:t>***I</w:t>
            </w:r>
            <w:r>
              <w:tab/>
              <w:t>Procédure législative ordinaire (première lecture)</w:t>
            </w:r>
          </w:p>
          <w:p w:rsidR="00AD5A52" w:rsidRPr="00333BFD" w:rsidRDefault="00AD5A52" w:rsidP="00717061">
            <w:pPr>
              <w:pStyle w:val="Lgendesigne"/>
            </w:pPr>
            <w:r>
              <w:tab/>
              <w:t>***II</w:t>
            </w:r>
            <w:r>
              <w:tab/>
              <w:t>Procédure législative ordinaire (deuxième lecture)</w:t>
            </w:r>
          </w:p>
          <w:p w:rsidR="00AD5A52" w:rsidRPr="00333BFD" w:rsidRDefault="00AD5A52" w:rsidP="00717061">
            <w:pPr>
              <w:pStyle w:val="Lgendesigne"/>
            </w:pPr>
            <w:r>
              <w:tab/>
              <w:t>***III</w:t>
            </w:r>
            <w:r>
              <w:tab/>
              <w:t>Procédure législative ordinaire (troisième lecture)</w:t>
            </w:r>
          </w:p>
          <w:p w:rsidR="00AD5A52" w:rsidRPr="00333BFD" w:rsidRDefault="00AD5A52" w:rsidP="00717061">
            <w:pPr>
              <w:pStyle w:val="Lgendestandard"/>
            </w:pPr>
          </w:p>
          <w:p w:rsidR="00AD5A52" w:rsidRPr="00333BFD" w:rsidRDefault="00AD5A52" w:rsidP="00717061">
            <w:pPr>
              <w:pStyle w:val="Lgendestandard"/>
            </w:pPr>
            <w:r>
              <w:t>(La procédure indiquée est fondée sur la base juridique proposée par le projet d’acte.)</w:t>
            </w:r>
          </w:p>
          <w:p w:rsidR="00AD5A52" w:rsidRPr="00333BFD" w:rsidRDefault="00AD5A52" w:rsidP="00B837B7">
            <w:pPr>
              <w:pStyle w:val="Lgendestandard"/>
            </w:pPr>
          </w:p>
        </w:tc>
      </w:tr>
    </w:tbl>
    <w:p w:rsidR="00AD5A52" w:rsidRPr="00333BFD" w:rsidRDefault="00AD5A52" w:rsidP="00016E55"/>
    <w:p w:rsidR="00363B94" w:rsidRPr="00333BFD" w:rsidRDefault="00363B94" w:rsidP="00613F2E">
      <w:pPr>
        <w:widowControl/>
        <w:tabs>
          <w:tab w:val="center" w:pos="4677"/>
        </w:tabs>
      </w:pPr>
    </w:p>
    <w:p w:rsidR="00363B94" w:rsidRPr="00333BFD" w:rsidRDefault="00363B94">
      <w:pPr>
        <w:pStyle w:val="TOCHeading"/>
      </w:pPr>
      <w:r>
        <w:br w:type="page"/>
      </w:r>
      <w:r>
        <w:lastRenderedPageBreak/>
        <w:t>SOMMAIRE</w:t>
      </w:r>
    </w:p>
    <w:p w:rsidR="00363B94" w:rsidRPr="00333BFD" w:rsidRDefault="004D3EA1">
      <w:pPr>
        <w:pStyle w:val="TOCPage"/>
      </w:pPr>
      <w:r>
        <w:t>Page</w:t>
      </w:r>
    </w:p>
    <w:p w:rsidR="000B229A" w:rsidRDefault="00EF48F2">
      <w:pPr>
        <w:pStyle w:val="TOC1"/>
        <w:tabs>
          <w:tab w:val="right" w:leader="dot" w:pos="9060"/>
        </w:tabs>
        <w:rPr>
          <w:rFonts w:asciiTheme="minorHAnsi" w:eastAsiaTheme="minorEastAsia" w:hAnsiTheme="minorHAnsi" w:cstheme="minorBidi"/>
          <w:noProof/>
          <w:sz w:val="22"/>
          <w:szCs w:val="22"/>
          <w:lang w:eastAsia="fr-FR"/>
        </w:rPr>
      </w:pPr>
      <w:r w:rsidRPr="00333BFD">
        <w:fldChar w:fldCharType="begin"/>
      </w:r>
      <w:r w:rsidRPr="00333BFD">
        <w:instrText xml:space="preserve"> TOC \t "PageHeading</w:instrText>
      </w:r>
      <w:r w:rsidR="00D04E1A">
        <w:instrText>;</w:instrText>
      </w:r>
      <w:r w:rsidRPr="00333BFD">
        <w:instrText xml:space="preserve">1" </w:instrText>
      </w:r>
      <w:r w:rsidRPr="00333BFD">
        <w:fldChar w:fldCharType="separate"/>
      </w:r>
      <w:r w:rsidR="000B229A">
        <w:rPr>
          <w:noProof/>
        </w:rPr>
        <w:t>PROJET DE RÉSOLUTION LÉGISLATIVE DU PARLEMENT EUROPÉEN</w:t>
      </w:r>
      <w:r w:rsidR="000B229A">
        <w:rPr>
          <w:noProof/>
        </w:rPr>
        <w:tab/>
      </w:r>
      <w:r w:rsidR="000B229A">
        <w:rPr>
          <w:noProof/>
        </w:rPr>
        <w:fldChar w:fldCharType="begin"/>
      </w:r>
      <w:r w:rsidR="000B229A">
        <w:rPr>
          <w:noProof/>
        </w:rPr>
        <w:instrText xml:space="preserve"> PAGEREF _Toc164171016 \h </w:instrText>
      </w:r>
      <w:r w:rsidR="000B229A">
        <w:rPr>
          <w:noProof/>
        </w:rPr>
      </w:r>
      <w:r w:rsidR="000B229A">
        <w:rPr>
          <w:noProof/>
        </w:rPr>
        <w:fldChar w:fldCharType="separate"/>
      </w:r>
      <w:r w:rsidR="000B229A">
        <w:rPr>
          <w:noProof/>
        </w:rPr>
        <w:t>4</w:t>
      </w:r>
      <w:r w:rsidR="000B229A">
        <w:rPr>
          <w:noProof/>
        </w:rPr>
        <w:fldChar w:fldCharType="end"/>
      </w:r>
    </w:p>
    <w:p w:rsidR="000B229A" w:rsidRDefault="000B229A">
      <w:pPr>
        <w:pStyle w:val="TOC1"/>
        <w:tabs>
          <w:tab w:val="right" w:leader="dot" w:pos="9060"/>
        </w:tabs>
        <w:rPr>
          <w:rFonts w:asciiTheme="minorHAnsi" w:eastAsiaTheme="minorEastAsia" w:hAnsiTheme="minorHAnsi" w:cstheme="minorBidi"/>
          <w:noProof/>
          <w:sz w:val="22"/>
          <w:szCs w:val="22"/>
          <w:lang w:eastAsia="fr-FR"/>
        </w:rPr>
      </w:pPr>
      <w:r>
        <w:rPr>
          <w:noProof/>
        </w:rPr>
        <w:t xml:space="preserve">ANNEXE: </w:t>
      </w:r>
      <w:r w:rsidRPr="0076101A">
        <w:rPr>
          <w:caps/>
          <w:noProof/>
        </w:rPr>
        <w:t>ENTITÉS OU PERSONNES</w:t>
      </w:r>
      <w:r>
        <w:rPr>
          <w:noProof/>
        </w:rPr>
        <w:t xml:space="preserve"> </w:t>
      </w:r>
      <w:r w:rsidRPr="0076101A">
        <w:rPr>
          <w:caps/>
          <w:noProof/>
        </w:rPr>
        <w:t>DONT LE RAPPORTEUR A REÇU DES CONTRIBUTIONS</w:t>
      </w:r>
      <w:r>
        <w:rPr>
          <w:noProof/>
        </w:rPr>
        <w:tab/>
      </w:r>
      <w:r>
        <w:rPr>
          <w:noProof/>
        </w:rPr>
        <w:fldChar w:fldCharType="begin"/>
      </w:r>
      <w:r>
        <w:rPr>
          <w:noProof/>
        </w:rPr>
        <w:instrText xml:space="preserve"> PAGEREF _Toc164171017 \h </w:instrText>
      </w:r>
      <w:r>
        <w:rPr>
          <w:noProof/>
        </w:rPr>
      </w:r>
      <w:r>
        <w:rPr>
          <w:noProof/>
        </w:rPr>
        <w:fldChar w:fldCharType="separate"/>
      </w:r>
      <w:r>
        <w:rPr>
          <w:noProof/>
        </w:rPr>
        <w:t>5</w:t>
      </w:r>
      <w:r>
        <w:rPr>
          <w:noProof/>
        </w:rPr>
        <w:fldChar w:fldCharType="end"/>
      </w:r>
    </w:p>
    <w:p w:rsidR="000B229A" w:rsidRDefault="000B229A">
      <w:pPr>
        <w:pStyle w:val="TOC1"/>
        <w:tabs>
          <w:tab w:val="right" w:leader="dot" w:pos="9060"/>
        </w:tabs>
        <w:rPr>
          <w:rFonts w:asciiTheme="minorHAnsi" w:eastAsiaTheme="minorEastAsia" w:hAnsiTheme="minorHAnsi" w:cstheme="minorBidi"/>
          <w:noProof/>
          <w:sz w:val="22"/>
          <w:szCs w:val="22"/>
          <w:lang w:eastAsia="fr-FR"/>
        </w:rPr>
      </w:pPr>
      <w:r>
        <w:rPr>
          <w:noProof/>
        </w:rPr>
        <w:t>PROCÉDURE DE LA COMMISSION COMPÉTENTE AU FOND</w:t>
      </w:r>
      <w:r>
        <w:rPr>
          <w:noProof/>
        </w:rPr>
        <w:tab/>
      </w:r>
      <w:r>
        <w:rPr>
          <w:noProof/>
        </w:rPr>
        <w:fldChar w:fldCharType="begin"/>
      </w:r>
      <w:r>
        <w:rPr>
          <w:noProof/>
        </w:rPr>
        <w:instrText xml:space="preserve"> PAGEREF _Toc164171018 \h </w:instrText>
      </w:r>
      <w:r>
        <w:rPr>
          <w:noProof/>
        </w:rPr>
      </w:r>
      <w:r>
        <w:rPr>
          <w:noProof/>
        </w:rPr>
        <w:fldChar w:fldCharType="separate"/>
      </w:r>
      <w:r>
        <w:rPr>
          <w:noProof/>
        </w:rPr>
        <w:t>6</w:t>
      </w:r>
      <w:r>
        <w:rPr>
          <w:noProof/>
        </w:rPr>
        <w:fldChar w:fldCharType="end"/>
      </w:r>
    </w:p>
    <w:p w:rsidR="000B229A" w:rsidRDefault="000B229A">
      <w:pPr>
        <w:pStyle w:val="TOC1"/>
        <w:tabs>
          <w:tab w:val="right" w:leader="dot" w:pos="9060"/>
        </w:tabs>
        <w:rPr>
          <w:rFonts w:asciiTheme="minorHAnsi" w:eastAsiaTheme="minorEastAsia" w:hAnsiTheme="minorHAnsi" w:cstheme="minorBidi"/>
          <w:noProof/>
          <w:sz w:val="22"/>
          <w:szCs w:val="22"/>
          <w:lang w:eastAsia="fr-FR"/>
        </w:rPr>
      </w:pPr>
      <w:r>
        <w:rPr>
          <w:noProof/>
        </w:rPr>
        <w:t>VOTE FINAL PAR APPEL NOMINAL EN COMMISSION COMPÉTENTE AU FOND</w:t>
      </w:r>
      <w:r>
        <w:rPr>
          <w:noProof/>
        </w:rPr>
        <w:tab/>
      </w:r>
      <w:r>
        <w:rPr>
          <w:noProof/>
        </w:rPr>
        <w:fldChar w:fldCharType="begin"/>
      </w:r>
      <w:r>
        <w:rPr>
          <w:noProof/>
        </w:rPr>
        <w:instrText xml:space="preserve"> PAGEREF _Toc164171019 \h </w:instrText>
      </w:r>
      <w:r>
        <w:rPr>
          <w:noProof/>
        </w:rPr>
      </w:r>
      <w:r>
        <w:rPr>
          <w:noProof/>
        </w:rPr>
        <w:fldChar w:fldCharType="separate"/>
      </w:r>
      <w:r>
        <w:rPr>
          <w:noProof/>
        </w:rPr>
        <w:t>7</w:t>
      </w:r>
      <w:r>
        <w:rPr>
          <w:noProof/>
        </w:rPr>
        <w:fldChar w:fldCharType="end"/>
      </w:r>
    </w:p>
    <w:p w:rsidR="004E1650" w:rsidRPr="00333BFD" w:rsidRDefault="00EF48F2" w:rsidP="00F04010">
      <w:r w:rsidRPr="00333BFD">
        <w:fldChar w:fldCharType="end"/>
      </w:r>
    </w:p>
    <w:p w:rsidR="00363B94" w:rsidRPr="00333BFD" w:rsidRDefault="00363B94" w:rsidP="0006167F">
      <w:pPr>
        <w:pStyle w:val="PageHeading"/>
      </w:pPr>
      <w:r>
        <w:br w:type="page"/>
      </w:r>
      <w:bookmarkStart w:id="0" w:name="_Toc164171016"/>
      <w:r>
        <w:lastRenderedPageBreak/>
        <w:t>PROJET DE RÉSOLUTION LÉGISLATIVE DU PARLEMENT EUROPÉEN</w:t>
      </w:r>
      <w:bookmarkEnd w:id="0"/>
    </w:p>
    <w:p w:rsidR="00363B94" w:rsidRPr="00333BFD" w:rsidRDefault="004D3EA1">
      <w:pPr>
        <w:pStyle w:val="NormalBold"/>
      </w:pPr>
      <w:r>
        <w:t>sur le projet de décision du Conseil relative à la conclusion, au nom de l’Union, du protocole à l’accord euro-méditerranéen établissant une association entre les Communautés européennes et leurs États membres, d’une part, et la République arabe d’Égypte, d’autre part, concernant un accord-cadre entre l’Union européenne et la République arabe d’Égypte relatif aux principes généraux de la participation de la République arabe d’Égypte aux programmes de l’Union</w:t>
      </w:r>
    </w:p>
    <w:p w:rsidR="00363B94" w:rsidRPr="00333BFD" w:rsidRDefault="004D3EA1">
      <w:pPr>
        <w:pStyle w:val="NormalBold12a"/>
      </w:pPr>
      <w:r>
        <w:t>(15093/2023 – C9</w:t>
      </w:r>
      <w:r>
        <w:noBreakHyphen/>
        <w:t>0017/2024 – 2023/0220(NLE))</w:t>
      </w:r>
    </w:p>
    <w:p w:rsidR="00363B94" w:rsidRPr="00333BFD" w:rsidRDefault="004D3EA1" w:rsidP="00893FBD">
      <w:pPr>
        <w:pStyle w:val="NormalBold"/>
      </w:pPr>
      <w:r>
        <w:t>(Approbation)</w:t>
      </w:r>
    </w:p>
    <w:p w:rsidR="00363B94" w:rsidRPr="00333BFD" w:rsidRDefault="004D3EA1">
      <w:pPr>
        <w:pStyle w:val="EPComma"/>
      </w:pPr>
      <w:r>
        <w:rPr>
          <w:i/>
        </w:rPr>
        <w:t>Le Parlement européen</w:t>
      </w:r>
      <w:r>
        <w:t>,</w:t>
      </w:r>
    </w:p>
    <w:p w:rsidR="00883492" w:rsidRPr="00796752" w:rsidRDefault="00883492" w:rsidP="00883492">
      <w:pPr>
        <w:pStyle w:val="NormalHanging12a"/>
      </w:pPr>
      <w:r>
        <w:t>–</w:t>
      </w:r>
      <w:r>
        <w:tab/>
        <w:t>vu le projet de décision du Conseil (15093/2023),</w:t>
      </w:r>
    </w:p>
    <w:p w:rsidR="00883492" w:rsidRPr="00796752" w:rsidRDefault="00883492" w:rsidP="00883492">
      <w:pPr>
        <w:pStyle w:val="NormalHanging12a"/>
        <w:rPr>
          <w:szCs w:val="24"/>
        </w:rPr>
      </w:pPr>
      <w:r>
        <w:t>–</w:t>
      </w:r>
      <w:r>
        <w:tab/>
        <w:t>vu le projet de protocole à l’accord euro-méditerranéen établissant une association entre les Communautés européennes et leurs États membres, d’une part, et la République arabe d’Égypte, d’autre part, concernant un accord-cadre entre l’Union européenne et la République arabe d’Égypte relatif aux principes généraux de la participation de la République arabe d’Égypte aux programmes de l’Union (15086/2023),</w:t>
      </w:r>
    </w:p>
    <w:p w:rsidR="00883492" w:rsidRPr="00796752" w:rsidRDefault="00883492" w:rsidP="00883492">
      <w:pPr>
        <w:pStyle w:val="NormalHanging12a"/>
        <w:rPr>
          <w:szCs w:val="24"/>
        </w:rPr>
      </w:pPr>
      <w:r>
        <w:t>–</w:t>
      </w:r>
      <w:r>
        <w:tab/>
        <w:t>vu la demande d’approbation présentée par le Conseil conformément à l’article 212, à l’article 218, paragraphe 6, deuxième alinéa, point a), et à l’article 218, paragraphe 7, du traité sur le fonctionnement de l’Union européenne (C9</w:t>
      </w:r>
      <w:r>
        <w:noBreakHyphen/>
        <w:t>0017/2024),</w:t>
      </w:r>
      <w:bookmarkStart w:id="1" w:name="_GoBack"/>
      <w:bookmarkEnd w:id="1"/>
    </w:p>
    <w:p w:rsidR="00883492" w:rsidRPr="00796752" w:rsidRDefault="00883492" w:rsidP="00883492">
      <w:pPr>
        <w:pStyle w:val="NormalHanging12a"/>
        <w:rPr>
          <w:szCs w:val="24"/>
        </w:rPr>
      </w:pPr>
      <w:r>
        <w:t>–</w:t>
      </w:r>
      <w:r>
        <w:tab/>
        <w:t>vu l’article 105, paragraphes 1 et 4, ainsi que l’article 114, paragraphe 7, de son règlement intérieur,</w:t>
      </w:r>
    </w:p>
    <w:p w:rsidR="00883492" w:rsidRPr="00796752" w:rsidRDefault="00883492" w:rsidP="00883492">
      <w:pPr>
        <w:pStyle w:val="NormalHanging12a"/>
        <w:rPr>
          <w:szCs w:val="24"/>
        </w:rPr>
      </w:pPr>
      <w:r>
        <w:t>–</w:t>
      </w:r>
      <w:r>
        <w:tab/>
        <w:t>vu la recommandation de la commission des affaires étrangères (A9-0175/2024),</w:t>
      </w:r>
    </w:p>
    <w:p w:rsidR="00883492" w:rsidRPr="00796752" w:rsidRDefault="00883492" w:rsidP="00883492">
      <w:pPr>
        <w:pStyle w:val="NormalHanging12a"/>
        <w:rPr>
          <w:szCs w:val="24"/>
        </w:rPr>
      </w:pPr>
      <w:r>
        <w:t>1.</w:t>
      </w:r>
      <w:r>
        <w:tab/>
        <w:t>donne son approbation à la conclusion du protocole;</w:t>
      </w:r>
    </w:p>
    <w:p w:rsidR="00883492" w:rsidRPr="00796752" w:rsidRDefault="00883492" w:rsidP="00883492">
      <w:pPr>
        <w:pStyle w:val="NormalHanging12a"/>
      </w:pPr>
      <w:r>
        <w:t>2.</w:t>
      </w:r>
      <w:r>
        <w:tab/>
        <w:t>charge sa Présidente de transmettre la position du Parlement au Conseil et à la Commission, ainsi qu’aux gouvernements et aux parlements des États membres et de la République arabe d’Égypte.</w:t>
      </w:r>
    </w:p>
    <w:p w:rsidR="00786DBD" w:rsidRPr="00786DBD" w:rsidRDefault="00786DBD" w:rsidP="00786DBD">
      <w:r>
        <w:br w:type="page"/>
      </w:r>
    </w:p>
    <w:p w:rsidR="00883492" w:rsidRPr="00883492" w:rsidRDefault="00883492" w:rsidP="00883492">
      <w:pPr>
        <w:pStyle w:val="PageHeading"/>
      </w:pPr>
      <w:bookmarkStart w:id="2" w:name="ProcPageRR"/>
      <w:bookmarkStart w:id="3" w:name="_Toc164171017"/>
      <w:r>
        <w:lastRenderedPageBreak/>
        <w:t xml:space="preserve">ANNEXE: </w:t>
      </w:r>
      <w:r>
        <w:rPr>
          <w:caps/>
        </w:rPr>
        <w:t>ENTITÉS OU PERSONNES</w:t>
      </w:r>
      <w:r>
        <w:br/>
      </w:r>
      <w:r>
        <w:rPr>
          <w:caps/>
        </w:rPr>
        <w:t>DONT LE RAPPORTEUR A REÇU DES CONTRIBUTIONS</w:t>
      </w:r>
      <w:bookmarkEnd w:id="3"/>
    </w:p>
    <w:p w:rsidR="00883492" w:rsidRPr="00796752" w:rsidRDefault="00883492" w:rsidP="00883492">
      <w:pPr>
        <w:pStyle w:val="Normal24a"/>
      </w:pPr>
      <w:r>
        <w:rPr>
          <w:rStyle w:val="HideTWBExt"/>
        </w:rPr>
        <w:t>&lt;FootprintIntro&gt;</w:t>
      </w:r>
      <w:r>
        <w:t>Conformément à l’article 8 de l’annexe I du règlement intérieur, le rapporteur déclare avoir reçu des contributions des entités ou personnes suivantes pour l’élaboration du projet de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83492" w:rsidRPr="00796752" w:rsidTr="00A22668">
        <w:tc>
          <w:tcPr>
            <w:tcW w:w="9060" w:type="dxa"/>
            <w:shd w:val="clear" w:color="auto" w:fill="auto"/>
          </w:tcPr>
          <w:p w:rsidR="00883492" w:rsidRPr="00796752" w:rsidRDefault="00D04E1A" w:rsidP="00A22668">
            <w:pPr>
              <w:pStyle w:val="NormalBoldCenter"/>
            </w:pPr>
            <w:r>
              <w:rPr>
                <w:sz w:val="22"/>
              </w:rPr>
              <w:t>Entité et/ou personne</w:t>
            </w:r>
          </w:p>
        </w:tc>
      </w:tr>
      <w:tr w:rsidR="00883492" w:rsidRPr="00796752" w:rsidTr="00A22668">
        <w:tc>
          <w:tcPr>
            <w:tcW w:w="9060" w:type="dxa"/>
            <w:shd w:val="clear" w:color="auto" w:fill="auto"/>
          </w:tcPr>
          <w:p w:rsidR="00883492" w:rsidRPr="00796752" w:rsidRDefault="00883492" w:rsidP="00A22668">
            <w:pPr>
              <w:rPr>
                <w:b/>
              </w:rPr>
            </w:pPr>
            <w:r>
              <w:t>EEAS</w:t>
            </w:r>
          </w:p>
        </w:tc>
      </w:tr>
    </w:tbl>
    <w:p w:rsidR="00883492" w:rsidRPr="00796752" w:rsidRDefault="00883492" w:rsidP="00883492"/>
    <w:p w:rsidR="00883492" w:rsidRPr="00796752" w:rsidRDefault="00883492" w:rsidP="00883492">
      <w:pPr>
        <w:rPr>
          <w:szCs w:val="24"/>
        </w:rPr>
      </w:pPr>
      <w:r>
        <w:t>La liste ci-dessus est établie sous la responsabilité exclusive du rapporteur.</w:t>
      </w:r>
    </w:p>
    <w:p w:rsidR="00883492" w:rsidRDefault="00883492" w:rsidP="00786DBD">
      <w:pPr>
        <w:pStyle w:val="PageHeading"/>
      </w:pPr>
    </w:p>
    <w:p w:rsidR="00883492" w:rsidRDefault="00883492">
      <w:pPr>
        <w:widowControl/>
        <w:rPr>
          <w:rFonts w:ascii="Arial" w:hAnsi="Arial" w:cs="Arial"/>
          <w:b/>
        </w:rPr>
      </w:pPr>
      <w:r>
        <w:br w:type="page"/>
      </w:r>
    </w:p>
    <w:p w:rsidR="00786DBD" w:rsidRDefault="00786DBD" w:rsidP="00786DBD">
      <w:pPr>
        <w:pStyle w:val="PageHeading"/>
      </w:pPr>
      <w:bookmarkStart w:id="4" w:name="_Toc164171018"/>
      <w:r>
        <w:lastRenderedPageBreak/>
        <w:t>PROCÉDURE DE LA COMMISSION COMPÉTENTE AU FOND</w:t>
      </w:r>
      <w:bookmarkEnd w:id="4"/>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86D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Protocole à l’accord euro-méditerranéen établissant une association entre la Communauté européenne et ses États membres, d’une part, et la République arabe d’Égypte, d’autre part, concernant un accord-cadre entre l’Union européenne et la République arabe d’Égypte relatif aux principes généraux de la participation de la République arabe d’Égypte aux programmes de l’Union</w:t>
            </w:r>
          </w:p>
        </w:tc>
      </w:tr>
      <w:tr w:rsidR="00786D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15093/2023 – C9-0017/2024 – 2023/0220(NLE)</w:t>
            </w:r>
          </w:p>
        </w:tc>
      </w:tr>
      <w:tr w:rsidR="00786D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Date de la consultation ou de la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31.1.2024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r>
      <w:tr w:rsidR="00786D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Commission compétente au fond</w:t>
            </w:r>
          </w:p>
          <w:p w:rsidR="00786DBD" w:rsidRDefault="00786DBD">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AFET</w:t>
            </w:r>
          </w:p>
          <w:p w:rsidR="00786DBD" w:rsidRDefault="00786DBD">
            <w:pPr>
              <w:autoSpaceDE w:val="0"/>
              <w:autoSpaceDN w:val="0"/>
              <w:adjustRightInd w:val="0"/>
              <w:rPr>
                <w:color w:val="000000"/>
                <w:sz w:val="20"/>
              </w:rPr>
            </w:pPr>
            <w:r>
              <w:rPr>
                <w:color w:val="000000"/>
                <w:sz w:val="20"/>
              </w:rPr>
              <w:t>26.2.2024</w:t>
            </w:r>
          </w:p>
        </w:tc>
        <w:tc>
          <w:tcPr>
            <w:tcW w:w="1474" w:type="dxa"/>
            <w:tcBorders>
              <w:top w:val="nil"/>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r>
      <w:tr w:rsidR="00786D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Rapporteurs</w:t>
            </w:r>
          </w:p>
          <w:p w:rsidR="00786DBD" w:rsidRDefault="00786DBD">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Michael Gahler</w:t>
            </w:r>
          </w:p>
          <w:p w:rsidR="00786DBD" w:rsidRDefault="00786DBD">
            <w:pPr>
              <w:autoSpaceDE w:val="0"/>
              <w:autoSpaceDN w:val="0"/>
              <w:adjustRightInd w:val="0"/>
              <w:rPr>
                <w:color w:val="000000"/>
                <w:sz w:val="20"/>
              </w:rPr>
            </w:pPr>
            <w:r>
              <w:rPr>
                <w:color w:val="000000"/>
                <w:sz w:val="20"/>
              </w:rPr>
              <w:t>21.3.2024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r>
      <w:tr w:rsidR="00786D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Rapporteurs remplacés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Mounir Satouri</w:t>
            </w:r>
          </w:p>
        </w:tc>
      </w:tr>
      <w:tr w:rsidR="00786D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21.3.2024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r>
      <w:tr w:rsidR="00786D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9.4.2024</w:t>
            </w:r>
          </w:p>
        </w:tc>
        <w:tc>
          <w:tcPr>
            <w:tcW w:w="1474" w:type="dxa"/>
            <w:tcBorders>
              <w:top w:val="nil"/>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rFonts w:ascii="sans-serif" w:hAnsi="sans-serif" w:cs="sans-serif"/>
                <w:color w:val="000000"/>
                <w:szCs w:val="24"/>
              </w:rPr>
            </w:pPr>
          </w:p>
        </w:tc>
      </w:tr>
      <w:tr w:rsidR="00786D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w:t>
            </w:r>
          </w:p>
          <w:p w:rsidR="00786DBD" w:rsidRDefault="00786DBD">
            <w:pPr>
              <w:autoSpaceDE w:val="0"/>
              <w:autoSpaceDN w:val="0"/>
              <w:adjustRightInd w:val="0"/>
              <w:rPr>
                <w:color w:val="000000"/>
                <w:sz w:val="20"/>
              </w:rPr>
            </w:pPr>
            <w:r>
              <w:rPr>
                <w:color w:val="000000"/>
                <w:sz w:val="20"/>
              </w:rPr>
              <w:t>–:</w:t>
            </w:r>
          </w:p>
          <w:p w:rsidR="00786DBD" w:rsidRDefault="00786DB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39</w:t>
            </w:r>
          </w:p>
          <w:p w:rsidR="00786DBD" w:rsidRDefault="00786DBD">
            <w:pPr>
              <w:autoSpaceDE w:val="0"/>
              <w:autoSpaceDN w:val="0"/>
              <w:adjustRightInd w:val="0"/>
              <w:rPr>
                <w:color w:val="000000"/>
                <w:sz w:val="20"/>
              </w:rPr>
            </w:pPr>
            <w:r>
              <w:rPr>
                <w:color w:val="000000"/>
                <w:sz w:val="20"/>
              </w:rPr>
              <w:t>4</w:t>
            </w:r>
          </w:p>
          <w:p w:rsidR="00786DBD" w:rsidRDefault="00786DBD">
            <w:pPr>
              <w:autoSpaceDE w:val="0"/>
              <w:autoSpaceDN w:val="0"/>
              <w:adjustRightInd w:val="0"/>
              <w:rPr>
                <w:color w:val="000000"/>
                <w:sz w:val="20"/>
              </w:rPr>
            </w:pPr>
            <w:r>
              <w:rPr>
                <w:color w:val="000000"/>
                <w:sz w:val="20"/>
              </w:rPr>
              <w:t>8</w:t>
            </w:r>
          </w:p>
        </w:tc>
      </w:tr>
      <w:tr w:rsidR="00786D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Alexander Alexandrov Yordanov, François Alfonsi, Maria Arena, Petras Auštrevičius, Traian Băsescu, Reinhard Bütikofer, Susanna Ceccardi, Włodzimierz Cimoszewicz, Anna Fotyga, Sunčana Glavak, Klemen Grošelj, Bernard Guetta, Sandra Kalniete, Dietmar Köster, Andrius Kubilius, David Lega, Nathalie Loiseau, Leopoldo López Gil, Antonio López-Istúriz White, Thierry Mariani, Pedro Marques, David McAllister, Sven Mikser, Matjaž Nemec, Demetris Papadakis, Kostas Papadakis, Tonino Picula, Thijs Reuten, Nacho Sánchez Amor, Isabel Santos, Mounir Satouri, Jordi Solé, Tineke Strik, Dominik Tarczyński, Hermann Tertsch, Hilde Vautmans, Thomas Waitz, Charlie Weimers, Isabel Wiseler-Lima, Tomáš Zdechovský</w:t>
            </w:r>
          </w:p>
        </w:tc>
      </w:tr>
      <w:tr w:rsidR="00786D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Attila Ara-Kovács, Vladimír Bilčík, Mercedes Bresso, Arnaud Danjean, Angel Dzhambazki, Andrey Kovatchev, Jan OVELGÖNNE, María Soraya Rodríguez Ramos, Mick Wallace</w:t>
            </w:r>
          </w:p>
        </w:tc>
      </w:tr>
      <w:tr w:rsidR="00786D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Włodzimierz Karpiński, Georgios Kyrtsos</w:t>
            </w:r>
          </w:p>
        </w:tc>
      </w:tr>
      <w:tr w:rsidR="00786D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86DBD" w:rsidRDefault="00786DBD">
            <w:pPr>
              <w:autoSpaceDE w:val="0"/>
              <w:autoSpaceDN w:val="0"/>
              <w:adjustRightInd w:val="0"/>
              <w:rPr>
                <w:color w:val="000000"/>
                <w:sz w:val="20"/>
              </w:rPr>
            </w:pPr>
            <w:r>
              <w:rPr>
                <w:color w:val="000000"/>
                <w:sz w:val="20"/>
              </w:rPr>
              <w:t>11.4.2024</w:t>
            </w:r>
          </w:p>
        </w:tc>
      </w:tr>
    </w:tbl>
    <w:p w:rsidR="00786DBD" w:rsidRDefault="00786DBD"/>
    <w:bookmarkEnd w:id="2"/>
    <w:p w:rsidR="00883492" w:rsidRDefault="00883492" w:rsidP="00883492">
      <w:pPr>
        <w:sectPr w:rsidR="00883492" w:rsidSect="008834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83492" w:rsidRPr="00883492" w:rsidRDefault="00883492" w:rsidP="00883492"/>
    <w:p w:rsidR="00883492" w:rsidRPr="0099178F" w:rsidRDefault="00883492" w:rsidP="008B71C9">
      <w:pPr>
        <w:pStyle w:val="PageHeading"/>
      </w:pPr>
      <w:bookmarkStart w:id="5" w:name="RollCallPageRR"/>
      <w:bookmarkStart w:id="6" w:name="_Toc164171019"/>
      <w:r>
        <w:t>VOTE FINAL PAR APPEL NOMINAL</w:t>
      </w:r>
      <w:r>
        <w:br/>
        <w:t>EN COMMISSION COMPÉTENTE AU FOND</w:t>
      </w:r>
      <w:bookmarkEnd w:id="6"/>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3492" w:rsidRPr="00796752" w:rsidTr="00A22668">
        <w:trPr>
          <w:cantSplit/>
        </w:trPr>
        <w:tc>
          <w:tcPr>
            <w:tcW w:w="1701" w:type="dxa"/>
            <w:shd w:val="pct10" w:color="000000" w:fill="FFFFFF"/>
            <w:vAlign w:val="center"/>
          </w:tcPr>
          <w:p w:rsidR="00883492" w:rsidRPr="00796752" w:rsidRDefault="00883492" w:rsidP="00A22668">
            <w:pPr>
              <w:pStyle w:val="RollCallVotes"/>
            </w:pPr>
            <w:r>
              <w:t>39</w:t>
            </w:r>
          </w:p>
        </w:tc>
        <w:tc>
          <w:tcPr>
            <w:tcW w:w="7371" w:type="dxa"/>
            <w:shd w:val="pct10" w:color="000000" w:fill="FFFFFF"/>
          </w:tcPr>
          <w:p w:rsidR="00883492" w:rsidRPr="00796752" w:rsidRDefault="00883492" w:rsidP="00A22668">
            <w:pPr>
              <w:pStyle w:val="RollCallSymbols14pt"/>
            </w:pPr>
            <w:r>
              <w:t>+</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ECR</w:t>
            </w:r>
          </w:p>
        </w:tc>
        <w:tc>
          <w:tcPr>
            <w:tcW w:w="7371" w:type="dxa"/>
            <w:shd w:val="clear" w:color="auto" w:fill="FFFFFF"/>
          </w:tcPr>
          <w:p w:rsidR="00883492" w:rsidRPr="00796752" w:rsidRDefault="00883492" w:rsidP="00A22668">
            <w:pPr>
              <w:pStyle w:val="RollCallTable"/>
            </w:pPr>
            <w:r>
              <w:t>Angel Dzhambazki, Anna Fotyga, Dominik Tarczyński, Hermann Tertsch</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ID</w:t>
            </w:r>
          </w:p>
        </w:tc>
        <w:tc>
          <w:tcPr>
            <w:tcW w:w="7371" w:type="dxa"/>
            <w:shd w:val="clear" w:color="auto" w:fill="FFFFFF"/>
          </w:tcPr>
          <w:p w:rsidR="00883492" w:rsidRPr="00796752" w:rsidRDefault="00883492" w:rsidP="00A22668">
            <w:pPr>
              <w:pStyle w:val="RollCallTable"/>
            </w:pPr>
            <w:r>
              <w:t>Susanna Ceccardi, Thierry Mariani</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PPE</w:t>
            </w:r>
          </w:p>
        </w:tc>
        <w:tc>
          <w:tcPr>
            <w:tcW w:w="7371" w:type="dxa"/>
            <w:shd w:val="clear" w:color="auto" w:fill="FFFFFF"/>
          </w:tcPr>
          <w:p w:rsidR="00883492" w:rsidRPr="00796752" w:rsidRDefault="00883492" w:rsidP="00A22668">
            <w:pPr>
              <w:pStyle w:val="RollCallTable"/>
            </w:pPr>
            <w:r>
              <w:t>Alexander Alexandrov Yordanov, Traian Băsescu, Vladimír Bilčík, Arnaud Danjean, Sunčana Glavak, Sandra Kalniete, Włodzimierz Karpiński, Andrey Kovatchev, Andrius Kubilius, David Lega, Leopoldo López Gil, Antonio López-Istúriz White, David McAllister, Isabel Wiseler-Lima, Tomáš Zdechovský</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Renew</w:t>
            </w:r>
          </w:p>
        </w:tc>
        <w:tc>
          <w:tcPr>
            <w:tcW w:w="7371" w:type="dxa"/>
            <w:shd w:val="clear" w:color="auto" w:fill="FFFFFF"/>
          </w:tcPr>
          <w:p w:rsidR="00883492" w:rsidRPr="00796752" w:rsidRDefault="00883492" w:rsidP="00A22668">
            <w:pPr>
              <w:pStyle w:val="RollCallTable"/>
            </w:pPr>
            <w:r>
              <w:t>Petras Auštrevičius, Klemen Grošelj, Bernard Guetta, Georgios Kyrtsos, Nathalie Loiseau, María Soraya Rodríguez Ramos, Hilde Vautmans</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S&amp;D</w:t>
            </w:r>
          </w:p>
        </w:tc>
        <w:tc>
          <w:tcPr>
            <w:tcW w:w="7371" w:type="dxa"/>
            <w:shd w:val="clear" w:color="auto" w:fill="FFFFFF"/>
          </w:tcPr>
          <w:p w:rsidR="00883492" w:rsidRPr="00796752" w:rsidRDefault="00883492" w:rsidP="00A22668">
            <w:pPr>
              <w:pStyle w:val="RollCallTable"/>
            </w:pPr>
            <w:r>
              <w:t>Attila Ara-Kovács, Mercedes Bresso, Włodzimierz Cimoszewicz, Pedro Marques, Sven Mikser, Matjaž Nemec, Demetris Papadakis, Tonino Picula, Thijs Reuten, Nacho Sánchez Amor, Isabel Santos</w:t>
            </w:r>
          </w:p>
        </w:tc>
      </w:tr>
    </w:tbl>
    <w:p w:rsidR="00883492" w:rsidRPr="00796752" w:rsidRDefault="00883492" w:rsidP="0088349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3492" w:rsidRPr="00796752" w:rsidTr="00A22668">
        <w:trPr>
          <w:cantSplit/>
        </w:trPr>
        <w:tc>
          <w:tcPr>
            <w:tcW w:w="1701" w:type="dxa"/>
            <w:shd w:val="pct10" w:color="000000" w:fill="FFFFFF"/>
            <w:vAlign w:val="center"/>
          </w:tcPr>
          <w:p w:rsidR="00883492" w:rsidRPr="00796752" w:rsidRDefault="00883492" w:rsidP="00A22668">
            <w:pPr>
              <w:pStyle w:val="RollCallVotes"/>
            </w:pPr>
            <w:r>
              <w:t>4</w:t>
            </w:r>
          </w:p>
        </w:tc>
        <w:tc>
          <w:tcPr>
            <w:tcW w:w="7371" w:type="dxa"/>
            <w:shd w:val="pct10" w:color="000000" w:fill="FFFFFF"/>
          </w:tcPr>
          <w:p w:rsidR="00883492" w:rsidRPr="00796752" w:rsidRDefault="00883492" w:rsidP="00A22668">
            <w:pPr>
              <w:pStyle w:val="RollCallSymbols14pt"/>
            </w:pPr>
            <w:r>
              <w:t>-</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ECR</w:t>
            </w:r>
          </w:p>
        </w:tc>
        <w:tc>
          <w:tcPr>
            <w:tcW w:w="7371" w:type="dxa"/>
            <w:shd w:val="clear" w:color="auto" w:fill="FFFFFF"/>
          </w:tcPr>
          <w:p w:rsidR="00883492" w:rsidRPr="00796752" w:rsidRDefault="00883492" w:rsidP="00A22668">
            <w:pPr>
              <w:pStyle w:val="RollCallTable"/>
            </w:pPr>
            <w:r>
              <w:t>Charlie Weimers</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NI</w:t>
            </w:r>
          </w:p>
        </w:tc>
        <w:tc>
          <w:tcPr>
            <w:tcW w:w="7371" w:type="dxa"/>
            <w:shd w:val="clear" w:color="auto" w:fill="FFFFFF"/>
          </w:tcPr>
          <w:p w:rsidR="00883492" w:rsidRPr="00796752" w:rsidRDefault="00883492" w:rsidP="00A22668">
            <w:pPr>
              <w:pStyle w:val="RollCallTable"/>
            </w:pPr>
            <w:r>
              <w:t>Kostas Papadakis</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S&amp;D</w:t>
            </w:r>
          </w:p>
        </w:tc>
        <w:tc>
          <w:tcPr>
            <w:tcW w:w="7371" w:type="dxa"/>
            <w:shd w:val="clear" w:color="auto" w:fill="FFFFFF"/>
          </w:tcPr>
          <w:p w:rsidR="00883492" w:rsidRPr="00796752" w:rsidRDefault="00883492" w:rsidP="00A22668">
            <w:pPr>
              <w:pStyle w:val="RollCallTable"/>
            </w:pPr>
            <w:r>
              <w:t>Maria Arena</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The Left</w:t>
            </w:r>
          </w:p>
        </w:tc>
        <w:tc>
          <w:tcPr>
            <w:tcW w:w="7371" w:type="dxa"/>
            <w:shd w:val="clear" w:color="auto" w:fill="FFFFFF"/>
          </w:tcPr>
          <w:p w:rsidR="00883492" w:rsidRPr="00796752" w:rsidRDefault="00883492" w:rsidP="00A22668">
            <w:pPr>
              <w:pStyle w:val="RollCallTable"/>
            </w:pPr>
            <w:r>
              <w:t>Mick Wallace</w:t>
            </w:r>
          </w:p>
        </w:tc>
      </w:tr>
    </w:tbl>
    <w:p w:rsidR="00883492" w:rsidRPr="00796752" w:rsidRDefault="00883492" w:rsidP="0088349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83492" w:rsidRPr="00796752" w:rsidTr="00A22668">
        <w:trPr>
          <w:cantSplit/>
        </w:trPr>
        <w:tc>
          <w:tcPr>
            <w:tcW w:w="1701" w:type="dxa"/>
            <w:shd w:val="pct10" w:color="000000" w:fill="FFFFFF"/>
            <w:vAlign w:val="center"/>
          </w:tcPr>
          <w:p w:rsidR="00883492" w:rsidRPr="00796752" w:rsidRDefault="00883492" w:rsidP="00A22668">
            <w:pPr>
              <w:pStyle w:val="RollCallVotes"/>
            </w:pPr>
            <w:r>
              <w:t>8</w:t>
            </w:r>
          </w:p>
        </w:tc>
        <w:tc>
          <w:tcPr>
            <w:tcW w:w="7371" w:type="dxa"/>
            <w:shd w:val="pct10" w:color="000000" w:fill="FFFFFF"/>
          </w:tcPr>
          <w:p w:rsidR="00883492" w:rsidRPr="00796752" w:rsidRDefault="00883492" w:rsidP="00A22668">
            <w:pPr>
              <w:pStyle w:val="RollCallSymbols14pt"/>
            </w:pPr>
            <w:r>
              <w:t>0</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S&amp;D</w:t>
            </w:r>
          </w:p>
        </w:tc>
        <w:tc>
          <w:tcPr>
            <w:tcW w:w="7371" w:type="dxa"/>
            <w:shd w:val="clear" w:color="auto" w:fill="FFFFFF"/>
          </w:tcPr>
          <w:p w:rsidR="00883492" w:rsidRPr="00796752" w:rsidRDefault="00883492" w:rsidP="00A22668">
            <w:pPr>
              <w:pStyle w:val="RollCallTable"/>
            </w:pPr>
            <w:r>
              <w:t>Dietmar Köster</w:t>
            </w:r>
          </w:p>
        </w:tc>
      </w:tr>
      <w:tr w:rsidR="00883492" w:rsidRPr="00796752" w:rsidTr="00A22668">
        <w:trPr>
          <w:cantSplit/>
        </w:trPr>
        <w:tc>
          <w:tcPr>
            <w:tcW w:w="1701" w:type="dxa"/>
            <w:shd w:val="clear" w:color="auto" w:fill="FFFFFF"/>
          </w:tcPr>
          <w:p w:rsidR="00883492" w:rsidRPr="00796752" w:rsidRDefault="00883492" w:rsidP="00A22668">
            <w:pPr>
              <w:pStyle w:val="RollCallTable"/>
            </w:pPr>
            <w:r>
              <w:t>Verts/ALE</w:t>
            </w:r>
          </w:p>
        </w:tc>
        <w:tc>
          <w:tcPr>
            <w:tcW w:w="7371" w:type="dxa"/>
            <w:shd w:val="clear" w:color="auto" w:fill="FFFFFF"/>
          </w:tcPr>
          <w:p w:rsidR="00883492" w:rsidRPr="00796752" w:rsidRDefault="00883492" w:rsidP="00A22668">
            <w:pPr>
              <w:pStyle w:val="RollCallTable"/>
            </w:pPr>
            <w:r>
              <w:t>François Alfonsi, Reinhard Bütikofer, Jan OVELGÖNNE, Mounir Satouri, Jordi Solé, Tineke Strik, Thomas Waitz</w:t>
            </w:r>
          </w:p>
        </w:tc>
      </w:tr>
    </w:tbl>
    <w:p w:rsidR="00883492" w:rsidRDefault="00883492" w:rsidP="00147FBF">
      <w:pPr>
        <w:pStyle w:val="Normal12a"/>
      </w:pPr>
    </w:p>
    <w:p w:rsidR="00883492" w:rsidRDefault="00883492" w:rsidP="00B735E3">
      <w:r>
        <w:t>Légende des signes utilisés:</w:t>
      </w:r>
    </w:p>
    <w:p w:rsidR="00883492" w:rsidRDefault="00883492" w:rsidP="001C6342">
      <w:pPr>
        <w:pStyle w:val="RollCallTabs"/>
      </w:pPr>
      <w:r>
        <w:t>+</w:t>
      </w:r>
      <w:r>
        <w:tab/>
        <w:t>:</w:t>
      </w:r>
      <w:r>
        <w:tab/>
        <w:t>pour</w:t>
      </w:r>
    </w:p>
    <w:p w:rsidR="00883492" w:rsidRDefault="00883492" w:rsidP="001C6342">
      <w:pPr>
        <w:pStyle w:val="RollCallTabs"/>
      </w:pPr>
      <w:r>
        <w:t>-</w:t>
      </w:r>
      <w:r>
        <w:tab/>
        <w:t>:</w:t>
      </w:r>
      <w:r>
        <w:tab/>
        <w:t>contre</w:t>
      </w:r>
    </w:p>
    <w:p w:rsidR="00883492" w:rsidRDefault="00883492" w:rsidP="001C6342">
      <w:pPr>
        <w:pStyle w:val="RollCallTabs"/>
      </w:pPr>
      <w:r>
        <w:t>0</w:t>
      </w:r>
      <w:r>
        <w:tab/>
        <w:t>:</w:t>
      </w:r>
      <w:r>
        <w:tab/>
        <w:t>abstention</w:t>
      </w:r>
    </w:p>
    <w:p w:rsidR="00883492" w:rsidRDefault="00883492" w:rsidP="00AD5932"/>
    <w:bookmarkEnd w:id="5"/>
    <w:p w:rsidR="00363B94" w:rsidRPr="00883492" w:rsidRDefault="00363B94" w:rsidP="00883492"/>
    <w:sectPr w:rsidR="00363B94" w:rsidRPr="00883492" w:rsidSect="008834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EA1" w:rsidRPr="00333BFD" w:rsidRDefault="004D3EA1">
      <w:r w:rsidRPr="00333BFD">
        <w:separator/>
      </w:r>
    </w:p>
  </w:endnote>
  <w:endnote w:type="continuationSeparator" w:id="0">
    <w:p w:rsidR="004D3EA1" w:rsidRPr="00333BFD" w:rsidRDefault="004D3EA1">
      <w:r w:rsidRPr="00333B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DBD" w:rsidRDefault="00786DBD" w:rsidP="00786DBD">
    <w:pPr>
      <w:pStyle w:val="EPFooter"/>
    </w:pPr>
    <w:r>
      <w:t>PE</w:t>
    </w:r>
    <w:r w:rsidRPr="00786DBD">
      <w:rPr>
        <w:rStyle w:val="HideTWBExt"/>
      </w:rPr>
      <w:t>&lt;NoPE&gt;</w:t>
    </w:r>
    <w:r>
      <w:t>759.729</w:t>
    </w:r>
    <w:r w:rsidRPr="00786DBD">
      <w:rPr>
        <w:rStyle w:val="HideTWBExt"/>
      </w:rPr>
      <w:t>&lt;/NoPE&gt;&lt;Version&gt;</w:t>
    </w:r>
    <w:r>
      <w:t>v02-00</w:t>
    </w:r>
    <w:r w:rsidRPr="00786DBD">
      <w:rPr>
        <w:rStyle w:val="HideTWBExt"/>
      </w:rPr>
      <w:t>&lt;/Version&gt;</w:t>
    </w:r>
    <w:r>
      <w:tab/>
    </w:r>
    <w:r>
      <w:fldChar w:fldCharType="begin"/>
    </w:r>
    <w:r>
      <w:instrText xml:space="preserve"> PAGE  \* MERGEFORMAT </w:instrText>
    </w:r>
    <w:r>
      <w:fldChar w:fldCharType="separate"/>
    </w:r>
    <w:r w:rsidR="000B229A">
      <w:rPr>
        <w:noProof/>
      </w:rPr>
      <w:t>6</w:t>
    </w:r>
    <w:r>
      <w:fldChar w:fldCharType="end"/>
    </w:r>
    <w:r>
      <w:t>/</w:t>
    </w:r>
    <w:fldSimple w:instr=" NUMPAGES  \* MERGEFORMAT ">
      <w:r w:rsidR="000B229A">
        <w:rPr>
          <w:noProof/>
        </w:rPr>
        <w:t>7</w:t>
      </w:r>
    </w:fldSimple>
    <w:r>
      <w:tab/>
    </w:r>
    <w:r w:rsidRPr="00786DBD">
      <w:rPr>
        <w:rStyle w:val="HideTWBExt"/>
      </w:rPr>
      <w:t>&lt;PathFdR&gt;</w:t>
    </w:r>
    <w:r>
      <w:t>RR\1300914FR.docx</w:t>
    </w:r>
    <w:r w:rsidRPr="00786DBD">
      <w:rPr>
        <w:rStyle w:val="HideTWBExt"/>
      </w:rPr>
      <w:t>&lt;/PathFdR&gt;</w:t>
    </w:r>
  </w:p>
  <w:p w:rsidR="0085501C" w:rsidRPr="00333BFD" w:rsidRDefault="00786DBD" w:rsidP="00786DBD">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DBD" w:rsidRDefault="00786DBD" w:rsidP="00786DBD">
    <w:pPr>
      <w:pStyle w:val="EPFooter"/>
    </w:pPr>
    <w:r w:rsidRPr="00786DBD">
      <w:rPr>
        <w:rStyle w:val="HideTWBExt"/>
      </w:rPr>
      <w:t>&lt;PathFdR&gt;</w:t>
    </w:r>
    <w:r>
      <w:t>RR\1300914FR.docx</w:t>
    </w:r>
    <w:r w:rsidRPr="00786DBD">
      <w:rPr>
        <w:rStyle w:val="HideTWBExt"/>
      </w:rPr>
      <w:t>&lt;/PathFdR&gt;</w:t>
    </w:r>
    <w:r>
      <w:tab/>
    </w:r>
    <w:r>
      <w:fldChar w:fldCharType="begin"/>
    </w:r>
    <w:r>
      <w:instrText xml:space="preserve"> PAGE  \* MERGEFORMAT </w:instrText>
    </w:r>
    <w:r>
      <w:fldChar w:fldCharType="separate"/>
    </w:r>
    <w:r w:rsidR="000B229A">
      <w:rPr>
        <w:noProof/>
      </w:rPr>
      <w:t>5</w:t>
    </w:r>
    <w:r>
      <w:fldChar w:fldCharType="end"/>
    </w:r>
    <w:r>
      <w:t>/</w:t>
    </w:r>
    <w:fldSimple w:instr=" NUMPAGES  \* MERGEFORMAT ">
      <w:r w:rsidR="000B229A">
        <w:rPr>
          <w:noProof/>
        </w:rPr>
        <w:t>7</w:t>
      </w:r>
    </w:fldSimple>
    <w:r>
      <w:tab/>
      <w:t>PE</w:t>
    </w:r>
    <w:r w:rsidRPr="00786DBD">
      <w:rPr>
        <w:rStyle w:val="HideTWBExt"/>
      </w:rPr>
      <w:t>&lt;NoPE&gt;</w:t>
    </w:r>
    <w:r>
      <w:t>759.729</w:t>
    </w:r>
    <w:r w:rsidRPr="00786DBD">
      <w:rPr>
        <w:rStyle w:val="HideTWBExt"/>
      </w:rPr>
      <w:t>&lt;/NoPE&gt;&lt;Version&gt;</w:t>
    </w:r>
    <w:r>
      <w:t>v02-00</w:t>
    </w:r>
    <w:r w:rsidRPr="00786DBD">
      <w:rPr>
        <w:rStyle w:val="HideTWBExt"/>
      </w:rPr>
      <w:t>&lt;/Version&gt;</w:t>
    </w:r>
  </w:p>
  <w:p w:rsidR="0085501C" w:rsidRPr="00333BFD" w:rsidRDefault="00786DBD" w:rsidP="00786DBD">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DBD" w:rsidRDefault="00786DBD" w:rsidP="00786DBD">
    <w:pPr>
      <w:pStyle w:val="EPFooter"/>
    </w:pPr>
    <w:r w:rsidRPr="00786DBD">
      <w:rPr>
        <w:rStyle w:val="HideTWBExt"/>
      </w:rPr>
      <w:t>&lt;PathFdR&gt;</w:t>
    </w:r>
    <w:r>
      <w:t>RR\1300914FR.docx</w:t>
    </w:r>
    <w:r w:rsidRPr="00786DBD">
      <w:rPr>
        <w:rStyle w:val="HideTWBExt"/>
      </w:rPr>
      <w:t>&lt;/PathFdR&gt;</w:t>
    </w:r>
    <w:r>
      <w:tab/>
    </w:r>
    <w:r>
      <w:tab/>
      <w:t>PE</w:t>
    </w:r>
    <w:r w:rsidRPr="00786DBD">
      <w:rPr>
        <w:rStyle w:val="HideTWBExt"/>
      </w:rPr>
      <w:t>&lt;NoPE&gt;</w:t>
    </w:r>
    <w:r>
      <w:t>759.729</w:t>
    </w:r>
    <w:r w:rsidRPr="00786DBD">
      <w:rPr>
        <w:rStyle w:val="HideTWBExt"/>
      </w:rPr>
      <w:t>&lt;/NoPE&gt;&lt;Version&gt;</w:t>
    </w:r>
    <w:r>
      <w:t>v02-00</w:t>
    </w:r>
    <w:r w:rsidRPr="00786DBD">
      <w:rPr>
        <w:rStyle w:val="HideTWBExt"/>
      </w:rPr>
      <w:t>&lt;/Version&gt;</w:t>
    </w:r>
  </w:p>
  <w:p w:rsidR="0085501C" w:rsidRPr="00333BFD" w:rsidRDefault="00786DBD" w:rsidP="00786DBD">
    <w:pPr>
      <w:pStyle w:val="EPFooter2"/>
    </w:pPr>
    <w:r>
      <w:t>FR</w:t>
    </w:r>
    <w:r>
      <w:tab/>
    </w:r>
    <w:r w:rsidRPr="00786DBD">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EA1" w:rsidRPr="00333BFD" w:rsidRDefault="004D3EA1">
      <w:r w:rsidRPr="00333BFD">
        <w:separator/>
      </w:r>
    </w:p>
  </w:footnote>
  <w:footnote w:type="continuationSeparator" w:id="0">
    <w:p w:rsidR="004D3EA1" w:rsidRPr="00333BFD" w:rsidRDefault="004D3EA1">
      <w:r w:rsidRPr="00333B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92" w:rsidRDefault="008834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92" w:rsidRDefault="008834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92" w:rsidRDefault="00883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97148C0"/>
    <w:multiLevelType w:val="hybridMultilevel"/>
    <w:tmpl w:val="A8208844"/>
    <w:lvl w:ilvl="0" w:tplc="382E8EE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AFET"/>
    <w:docVar w:name="CONSENTMNU" w:val=" 1"/>
    <w:docVar w:name="LastEditedSection" w:val=" 1"/>
    <w:docVar w:name="strDocTypeID" w:val="PR_NLE-AP_Agreement"/>
    <w:docVar w:name="strSubDir" w:val="1300"/>
    <w:docVar w:name="TITLEMNU" w:val=" 2"/>
    <w:docVar w:name="TXTAUTHOR" w:val="Mounir Satouri"/>
    <w:docVar w:name="TXTLANGUE" w:val="FR"/>
    <w:docVar w:name="TXTLANGUEMIN" w:val="fr"/>
    <w:docVar w:name="TXTNRC" w:val="0017/2024"/>
    <w:docVar w:name="TXTNRCOUNC" w:val="15093/2023"/>
    <w:docVar w:name="TXTNRNLE" w:val="2023/0220"/>
    <w:docVar w:name="TXTNRPE" w:val="759.729"/>
    <w:docVar w:name="TXTPEorAP" w:val="PE"/>
    <w:docVar w:name="TXTROUTE" w:val="RR\1300914FR.docx"/>
    <w:docVar w:name="TXTTITLE" w:val="on the conclusion, on behalf of the Union, of the Protocol to the Euro-Mediterranean Agreement establishing an Association between the European Communities and their Member States, of the one part, and the Arab Republic of Egypt, of the other part, on a Framework Agreement between the European Union and the Arab Republic of Egypt on the general principles for the participation of the Arab Republic of Egypt in Union programmes"/>
    <w:docVar w:name="TXTVERSION" w:val="02-00"/>
  </w:docVars>
  <w:rsids>
    <w:rsidRoot w:val="004D3EA1"/>
    <w:rsid w:val="00001D52"/>
    <w:rsid w:val="0000443F"/>
    <w:rsid w:val="000053E3"/>
    <w:rsid w:val="00024C41"/>
    <w:rsid w:val="0006167F"/>
    <w:rsid w:val="00061EFE"/>
    <w:rsid w:val="00095D8B"/>
    <w:rsid w:val="000A2F73"/>
    <w:rsid w:val="000B229A"/>
    <w:rsid w:val="000C123D"/>
    <w:rsid w:val="000D78AF"/>
    <w:rsid w:val="00124EA0"/>
    <w:rsid w:val="0012750A"/>
    <w:rsid w:val="00180664"/>
    <w:rsid w:val="001874D8"/>
    <w:rsid w:val="001C7C1C"/>
    <w:rsid w:val="001D02E3"/>
    <w:rsid w:val="001F7BBE"/>
    <w:rsid w:val="0021049A"/>
    <w:rsid w:val="0022685A"/>
    <w:rsid w:val="002E2E20"/>
    <w:rsid w:val="002F5A83"/>
    <w:rsid w:val="003072BE"/>
    <w:rsid w:val="003265FA"/>
    <w:rsid w:val="00333BFD"/>
    <w:rsid w:val="00337C92"/>
    <w:rsid w:val="00363B94"/>
    <w:rsid w:val="003B598C"/>
    <w:rsid w:val="004174FC"/>
    <w:rsid w:val="00460BD6"/>
    <w:rsid w:val="004859B3"/>
    <w:rsid w:val="004C083C"/>
    <w:rsid w:val="004D3EA1"/>
    <w:rsid w:val="004E1650"/>
    <w:rsid w:val="0053367A"/>
    <w:rsid w:val="00544D48"/>
    <w:rsid w:val="005459FC"/>
    <w:rsid w:val="0057557B"/>
    <w:rsid w:val="005877C0"/>
    <w:rsid w:val="005A6B14"/>
    <w:rsid w:val="005D0B97"/>
    <w:rsid w:val="005F5D6C"/>
    <w:rsid w:val="006132CE"/>
    <w:rsid w:val="00613F2E"/>
    <w:rsid w:val="006A1A75"/>
    <w:rsid w:val="006A2CF5"/>
    <w:rsid w:val="006B11F7"/>
    <w:rsid w:val="006F1B6F"/>
    <w:rsid w:val="00741592"/>
    <w:rsid w:val="00786DBD"/>
    <w:rsid w:val="00791637"/>
    <w:rsid w:val="0080122F"/>
    <w:rsid w:val="00822206"/>
    <w:rsid w:val="008368CB"/>
    <w:rsid w:val="0085501C"/>
    <w:rsid w:val="00883492"/>
    <w:rsid w:val="00893FBD"/>
    <w:rsid w:val="008B75A4"/>
    <w:rsid w:val="008D23C6"/>
    <w:rsid w:val="008D3030"/>
    <w:rsid w:val="008E3848"/>
    <w:rsid w:val="00924EE0"/>
    <w:rsid w:val="009612AA"/>
    <w:rsid w:val="009E39A7"/>
    <w:rsid w:val="00A415B7"/>
    <w:rsid w:val="00AD5A52"/>
    <w:rsid w:val="00AD5D0C"/>
    <w:rsid w:val="00B31D18"/>
    <w:rsid w:val="00B42885"/>
    <w:rsid w:val="00B50C20"/>
    <w:rsid w:val="00B61D9A"/>
    <w:rsid w:val="00B6769C"/>
    <w:rsid w:val="00BB22CC"/>
    <w:rsid w:val="00BB41C8"/>
    <w:rsid w:val="00BB7E38"/>
    <w:rsid w:val="00BE5E72"/>
    <w:rsid w:val="00BF0A0F"/>
    <w:rsid w:val="00BF2E15"/>
    <w:rsid w:val="00BF7F55"/>
    <w:rsid w:val="00C05DD8"/>
    <w:rsid w:val="00C15447"/>
    <w:rsid w:val="00C35D01"/>
    <w:rsid w:val="00CB5651"/>
    <w:rsid w:val="00CC20CB"/>
    <w:rsid w:val="00CF44DF"/>
    <w:rsid w:val="00D04E0B"/>
    <w:rsid w:val="00D04E1A"/>
    <w:rsid w:val="00D62DA0"/>
    <w:rsid w:val="00D6543C"/>
    <w:rsid w:val="00DF594D"/>
    <w:rsid w:val="00E14FEE"/>
    <w:rsid w:val="00E67C23"/>
    <w:rsid w:val="00E71368"/>
    <w:rsid w:val="00E71FEF"/>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3980AE-9E68-4EF8-B7DA-CEDC7DC4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D5A52"/>
    <w:pPr>
      <w:tabs>
        <w:tab w:val="right" w:pos="454"/>
        <w:tab w:val="left" w:pos="737"/>
      </w:tabs>
      <w:ind w:left="737" w:hanging="737"/>
    </w:pPr>
    <w:rPr>
      <w:snapToGrid w:val="0"/>
      <w:sz w:val="18"/>
      <w:lang w:eastAsia="en-US"/>
    </w:rPr>
  </w:style>
  <w:style w:type="paragraph" w:customStyle="1" w:styleId="Lgendetitre">
    <w:name w:val="Légende titre"/>
    <w:basedOn w:val="Normal"/>
    <w:rsid w:val="00AD5A52"/>
    <w:pPr>
      <w:spacing w:before="240" w:after="240"/>
    </w:pPr>
    <w:rPr>
      <w:b/>
      <w:i/>
      <w:snapToGrid w:val="0"/>
      <w:lang w:eastAsia="en-US"/>
    </w:rPr>
  </w:style>
  <w:style w:type="paragraph" w:customStyle="1" w:styleId="Lgendestandard">
    <w:name w:val="Légende standard"/>
    <w:basedOn w:val="Normal"/>
    <w:rsid w:val="00AD5A52"/>
    <w:rPr>
      <w:sz w:val="18"/>
    </w:rPr>
  </w:style>
  <w:style w:type="paragraph" w:styleId="Footer">
    <w:name w:val="footer"/>
    <w:basedOn w:val="Normal"/>
    <w:link w:val="FooterChar"/>
    <w:semiHidden/>
    <w:rsid w:val="00AD5A52"/>
    <w:pPr>
      <w:tabs>
        <w:tab w:val="center" w:pos="4513"/>
        <w:tab w:val="right" w:pos="9026"/>
      </w:tabs>
    </w:pPr>
  </w:style>
  <w:style w:type="character" w:customStyle="1" w:styleId="FooterChar">
    <w:name w:val="Footer Char"/>
    <w:basedOn w:val="DefaultParagraphFont"/>
    <w:link w:val="Footer"/>
    <w:semiHidden/>
    <w:rsid w:val="00AD5A52"/>
    <w:rPr>
      <w:sz w:val="24"/>
    </w:rPr>
  </w:style>
  <w:style w:type="paragraph" w:customStyle="1" w:styleId="Normal24a">
    <w:name w:val="Normal24a"/>
    <w:basedOn w:val="Normal"/>
    <w:rsid w:val="00883492"/>
    <w:pPr>
      <w:spacing w:after="480"/>
    </w:pPr>
  </w:style>
  <w:style w:type="paragraph" w:customStyle="1" w:styleId="NormalBoldCenter">
    <w:name w:val="NormalBoldCenter"/>
    <w:basedOn w:val="Normal"/>
    <w:rsid w:val="00883492"/>
    <w:pPr>
      <w:jc w:val="center"/>
    </w:pPr>
    <w:rPr>
      <w:b/>
    </w:rPr>
  </w:style>
  <w:style w:type="paragraph" w:customStyle="1" w:styleId="Normal12a">
    <w:name w:val="Normal12a"/>
    <w:basedOn w:val="Normal"/>
    <w:rsid w:val="00883492"/>
    <w:pPr>
      <w:spacing w:after="240"/>
    </w:pPr>
  </w:style>
  <w:style w:type="paragraph" w:customStyle="1" w:styleId="RollCallVotes">
    <w:name w:val="RollCallVotes"/>
    <w:basedOn w:val="Normal"/>
    <w:rsid w:val="00883492"/>
    <w:pPr>
      <w:spacing w:before="120" w:after="120"/>
      <w:jc w:val="center"/>
    </w:pPr>
    <w:rPr>
      <w:b/>
      <w:bCs/>
      <w:snapToGrid w:val="0"/>
      <w:sz w:val="16"/>
      <w:lang w:eastAsia="en-US"/>
    </w:rPr>
  </w:style>
  <w:style w:type="paragraph" w:customStyle="1" w:styleId="RollCallTabs">
    <w:name w:val="RollCallTabs"/>
    <w:basedOn w:val="Normal"/>
    <w:qFormat/>
    <w:rsid w:val="00883492"/>
    <w:pPr>
      <w:tabs>
        <w:tab w:val="center" w:pos="284"/>
        <w:tab w:val="left" w:pos="426"/>
      </w:tabs>
    </w:pPr>
    <w:rPr>
      <w:snapToGrid w:val="0"/>
      <w:lang w:eastAsia="en-US"/>
    </w:rPr>
  </w:style>
  <w:style w:type="paragraph" w:customStyle="1" w:styleId="RollCallSymbols14pt">
    <w:name w:val="RollCallSymbols14pt"/>
    <w:basedOn w:val="Normal"/>
    <w:rsid w:val="00883492"/>
    <w:pPr>
      <w:spacing w:before="120" w:after="120"/>
      <w:jc w:val="center"/>
    </w:pPr>
    <w:rPr>
      <w:rFonts w:ascii="Arial" w:hAnsi="Arial"/>
      <w:b/>
      <w:bCs/>
      <w:snapToGrid w:val="0"/>
      <w:sz w:val="28"/>
      <w:lang w:eastAsia="en-US"/>
    </w:rPr>
  </w:style>
  <w:style w:type="paragraph" w:customStyle="1" w:styleId="RollCallTable">
    <w:name w:val="RollCallTable"/>
    <w:basedOn w:val="Normal"/>
    <w:rsid w:val="0088349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394023">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544F9-0BCE-452F-8619-C5261C298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946</Words>
  <Characters>5938</Characters>
  <Application>Microsoft Office Word</Application>
  <DocSecurity>0</DocSecurity>
  <Lines>219</Lines>
  <Paragraphs>137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ANDREEVA Elitsa</dc:creator>
  <cp:keywords/>
  <cp:lastModifiedBy>Author</cp:lastModifiedBy>
  <cp:revision>2</cp:revision>
  <cp:lastPrinted>2024-02-28T12:25:00Z</cp:lastPrinted>
  <dcterms:created xsi:type="dcterms:W3CDTF">2024-04-16T12:43:00Z</dcterms:created>
  <dcterms:modified xsi:type="dcterms:W3CDTF">2024-04-16T12:43:00Z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9.17.1 Build [20240202]</vt:lpwstr>
  </property>
  <property fmtid="{D5CDD505-2E9C-101B-9397-08002B2CF9AE}" pid="4" name="LastEdited with">
    <vt:lpwstr>9.17.2 Build [20240301]</vt:lpwstr>
  </property>
  <property fmtid="{D5CDD505-2E9C-101B-9397-08002B2CF9AE}" pid="5" name="&lt;FdR&gt;">
    <vt:lpwstr>1300914</vt:lpwstr>
  </property>
  <property fmtid="{D5CDD505-2E9C-101B-9397-08002B2CF9AE}" pid="6" name="&lt;Type&gt;">
    <vt:lpwstr>RR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RR\1300914FR.docx</vt:lpwstr>
  </property>
  <property fmtid="{D5CDD505-2E9C-101B-9397-08002B2CF9AE}" pid="11" name="PE number">
    <vt:lpwstr>759.729</vt:lpwstr>
  </property>
  <property fmtid="{D5CDD505-2E9C-101B-9397-08002B2CF9AE}" pid="12" name="SendToEpades">
    <vt:lpwstr>OK - 2024/03/06 15:00</vt:lpwstr>
  </property>
  <property fmtid="{D5CDD505-2E9C-101B-9397-08002B2CF9AE}" pid="13" name="Bookout">
    <vt:lpwstr>OK - 2024/04/16 14:43</vt:lpwstr>
  </property>
  <property fmtid="{D5CDD505-2E9C-101B-9397-08002B2CF9AE}" pid="14" name="SDLStudio">
    <vt:lpwstr/>
  </property>
</Properties>
</file>