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445EC4" w:rsidTr="00C85D0F">
        <w:trPr>
          <w:trHeight w:hRule="exact" w:val="1418"/>
        </w:trPr>
        <w:tc>
          <w:tcPr>
            <w:tcW w:w="6804" w:type="dxa"/>
            <w:shd w:val="clear" w:color="auto" w:fill="auto"/>
            <w:vAlign w:val="center"/>
          </w:tcPr>
          <w:p w:rsidR="00C05DD8" w:rsidRPr="00445EC4" w:rsidRDefault="00C64EB4" w:rsidP="00C85D0F">
            <w:pPr>
              <w:pStyle w:val="EPName"/>
            </w:pPr>
            <w:r>
              <w:t>Parlement européen</w:t>
            </w:r>
          </w:p>
          <w:p w:rsidR="00C05DD8" w:rsidRPr="00445EC4" w:rsidRDefault="00C97177" w:rsidP="00C97177">
            <w:pPr>
              <w:pStyle w:val="EPTerm"/>
            </w:pPr>
            <w:r>
              <w:t>2019-2024</w:t>
            </w:r>
          </w:p>
        </w:tc>
        <w:tc>
          <w:tcPr>
            <w:tcW w:w="2268" w:type="dxa"/>
            <w:shd w:val="clear" w:color="auto" w:fill="auto"/>
          </w:tcPr>
          <w:p w:rsidR="00C05DD8" w:rsidRPr="00445EC4" w:rsidRDefault="00C05DD8" w:rsidP="00C85D0F">
            <w:pPr>
              <w:pStyle w:val="EPLogo"/>
            </w:pPr>
            <w:r w:rsidRPr="00445EC4">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445EC4" w:rsidRDefault="009612AA" w:rsidP="009612AA">
      <w:pPr>
        <w:pStyle w:val="LineTop"/>
      </w:pPr>
    </w:p>
    <w:p w:rsidR="009612AA" w:rsidRPr="00445EC4" w:rsidRDefault="002151DE" w:rsidP="009612AA">
      <w:pPr>
        <w:pStyle w:val="EPBody"/>
      </w:pPr>
      <w:r>
        <w:t>Document de séance</w:t>
      </w:r>
    </w:p>
    <w:p w:rsidR="009612AA" w:rsidRPr="00445EC4" w:rsidRDefault="009612AA" w:rsidP="009612AA">
      <w:pPr>
        <w:pStyle w:val="LineBottom"/>
      </w:pPr>
    </w:p>
    <w:p w:rsidR="00363B94" w:rsidRPr="00445EC4" w:rsidRDefault="002151DE">
      <w:pPr>
        <w:pStyle w:val="CoverReference"/>
      </w:pPr>
      <w:r>
        <w:rPr>
          <w:rStyle w:val="HideTWBExt"/>
        </w:rPr>
        <w:t>&lt;NoDocSe&gt;</w:t>
      </w:r>
      <w:r>
        <w:t>A9</w:t>
      </w:r>
      <w:r>
        <w:noBreakHyphen/>
        <w:t>0177/2024</w:t>
      </w:r>
      <w:r>
        <w:rPr>
          <w:rStyle w:val="HideTWBExt"/>
        </w:rPr>
        <w:t>&lt;/NoDocSe&gt;</w:t>
      </w:r>
    </w:p>
    <w:p w:rsidR="00363B94" w:rsidRPr="00445EC4" w:rsidRDefault="00363B94">
      <w:pPr>
        <w:pStyle w:val="CoverDate"/>
      </w:pPr>
      <w:r>
        <w:rPr>
          <w:rStyle w:val="HideTWBExt"/>
        </w:rPr>
        <w:t>&lt;Date&gt;</w:t>
      </w:r>
      <w:r>
        <w:rPr>
          <w:rStyle w:val="HideTWBInt"/>
        </w:rPr>
        <w:t>{19/04/2024}</w:t>
      </w:r>
      <w:r>
        <w:t>19.4.2024</w:t>
      </w:r>
      <w:r>
        <w:rPr>
          <w:rStyle w:val="HideTWBExt"/>
        </w:rPr>
        <w:t>&lt;/Date&gt;</w:t>
      </w:r>
    </w:p>
    <w:p w:rsidR="00363B94" w:rsidRPr="00445EC4" w:rsidRDefault="00363B94">
      <w:pPr>
        <w:pStyle w:val="CoverDocType"/>
      </w:pPr>
      <w:r>
        <w:rPr>
          <w:rStyle w:val="HideTWBExt"/>
          <w:b w:val="0"/>
        </w:rPr>
        <w:t>&lt;RefProcLect&gt;</w:t>
      </w:r>
      <w:r>
        <w:t>***</w:t>
      </w:r>
      <w:r>
        <w:rPr>
          <w:rStyle w:val="HideTWBExt"/>
          <w:b w:val="0"/>
        </w:rPr>
        <w:t>&lt;/RefProcLect&gt;</w:t>
      </w:r>
    </w:p>
    <w:p w:rsidR="00363B94" w:rsidRPr="00445EC4" w:rsidRDefault="00363B94">
      <w:pPr>
        <w:pStyle w:val="CoverDocType24a"/>
      </w:pPr>
      <w:r>
        <w:rPr>
          <w:rStyle w:val="HideTWBExt"/>
          <w:b w:val="0"/>
        </w:rPr>
        <w:t>&lt;TitreType&gt;</w:t>
      </w:r>
      <w:r>
        <w:t>RECOMMANDATION</w:t>
      </w:r>
      <w:r>
        <w:rPr>
          <w:rStyle w:val="HideTWBExt"/>
          <w:b w:val="0"/>
        </w:rPr>
        <w:t>&lt;/TitreType&gt;</w:t>
      </w:r>
    </w:p>
    <w:p w:rsidR="00445EC4" w:rsidRPr="00445EC4" w:rsidRDefault="00445EC4" w:rsidP="00445EC4">
      <w:pPr>
        <w:pStyle w:val="CoverNormal"/>
      </w:pPr>
      <w:r>
        <w:rPr>
          <w:rStyle w:val="HideTWBExt"/>
        </w:rPr>
        <w:t>&lt;Titre&gt;</w:t>
      </w:r>
      <w:r>
        <w:t>sur le projet de décision du Conseil relative à la conclusion, au nom de l’Union européenne, de l’accord se rapportant à la Convention des Nations unies sur le droit de la mer et portant sur la conservation et l’utilisation durable de la diversité biologique marine des zones ne relevant pas de la juridiction nationale</w:t>
      </w:r>
      <w:r>
        <w:rPr>
          <w:rStyle w:val="HideTWBExt"/>
        </w:rPr>
        <w:t>&lt;/Titre&gt;</w:t>
      </w:r>
    </w:p>
    <w:p w:rsidR="00445EC4" w:rsidRPr="00445EC4" w:rsidRDefault="00445EC4" w:rsidP="00445EC4">
      <w:pPr>
        <w:pStyle w:val="CoverNormal24a"/>
      </w:pPr>
      <w:r>
        <w:rPr>
          <w:rStyle w:val="HideTWBExt"/>
        </w:rPr>
        <w:t>&lt;DocRef&gt;</w:t>
      </w:r>
      <w:r>
        <w:t>(07577/24 – C9</w:t>
      </w:r>
      <w:r>
        <w:noBreakHyphen/>
        <w:t>0135/2024 – 2023/0353(NLE))</w:t>
      </w:r>
      <w:r>
        <w:rPr>
          <w:rStyle w:val="HideTWBExt"/>
        </w:rPr>
        <w:t>&lt;/DocRef&gt;</w:t>
      </w:r>
    </w:p>
    <w:p w:rsidR="00363B94" w:rsidRPr="00445EC4" w:rsidRDefault="00363B94">
      <w:pPr>
        <w:pStyle w:val="CoverNormal24a"/>
      </w:pPr>
      <w:r>
        <w:rPr>
          <w:rStyle w:val="HideTWBExt"/>
        </w:rPr>
        <w:t>&lt;Commission&gt;</w:t>
      </w:r>
      <w:r>
        <w:rPr>
          <w:rStyle w:val="HideTWBInt"/>
        </w:rPr>
        <w:t>{ENVI}</w:t>
      </w:r>
      <w:r>
        <w:t>Commission de l’environnement, de la santé publique et de la sécurité alimentaire</w:t>
      </w:r>
      <w:r>
        <w:rPr>
          <w:rStyle w:val="HideTWBExt"/>
        </w:rPr>
        <w:t>&lt;/Commission&gt;</w:t>
      </w:r>
    </w:p>
    <w:p w:rsidR="00363B94" w:rsidRPr="00445EC4" w:rsidRDefault="00C97177">
      <w:pPr>
        <w:pStyle w:val="CoverNormal24a"/>
      </w:pPr>
      <w:r>
        <w:t xml:space="preserve">Rapporteure: </w:t>
      </w:r>
      <w:r>
        <w:rPr>
          <w:rStyle w:val="HideTWBExt"/>
        </w:rPr>
        <w:t>&lt;Depute&gt;</w:t>
      </w:r>
      <w:r>
        <w:t>Silvia Modig</w:t>
      </w:r>
      <w:r>
        <w:rPr>
          <w:rStyle w:val="HideTWBExt"/>
        </w:rPr>
        <w:t>&lt;/Depute&gt;</w:t>
      </w:r>
    </w:p>
    <w:p w:rsidR="00B42885" w:rsidRPr="00445EC4" w:rsidRDefault="00B42885" w:rsidP="00B42885">
      <w:pPr>
        <w:pStyle w:val="CoverNormal"/>
      </w:pPr>
    </w:p>
    <w:p w:rsidR="00C97177" w:rsidRPr="00445EC4" w:rsidRDefault="00363B94" w:rsidP="00016E55">
      <w:r>
        <w:br w:type="page"/>
      </w:r>
      <w:fldSimple w:instr=" TITLE  \* MERGEFORMAT ">
        <w:r w:rsidR="000252AD">
          <w:t>PR_NLE-AP_Agreement</w:t>
        </w:r>
      </w:fldSimple>
    </w:p>
    <w:p w:rsidR="00C97177" w:rsidRPr="00445EC4" w:rsidRDefault="00C97177" w:rsidP="00016E55"/>
    <w:p w:rsidR="00C97177" w:rsidRPr="00445EC4" w:rsidRDefault="00C9717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97177" w:rsidRPr="00445EC4">
        <w:tc>
          <w:tcPr>
            <w:tcW w:w="5811" w:type="dxa"/>
          </w:tcPr>
          <w:p w:rsidR="00C97177" w:rsidRPr="00445EC4" w:rsidRDefault="00C97177" w:rsidP="00016E55">
            <w:pPr>
              <w:pStyle w:val="Lgendetitre"/>
            </w:pPr>
            <w:r>
              <w:t>Légende des signes utilisés</w:t>
            </w:r>
          </w:p>
        </w:tc>
      </w:tr>
      <w:tr w:rsidR="00C97177" w:rsidRPr="00445EC4" w:rsidTr="007948A1">
        <w:trPr>
          <w:cantSplit/>
          <w:trHeight w:val="1944"/>
        </w:trPr>
        <w:tc>
          <w:tcPr>
            <w:tcW w:w="5811" w:type="dxa"/>
            <w:tcBorders>
              <w:bottom w:val="single" w:sz="4" w:space="0" w:color="auto"/>
            </w:tcBorders>
          </w:tcPr>
          <w:p w:rsidR="00C97177" w:rsidRPr="00445EC4" w:rsidRDefault="00C97177" w:rsidP="00016E55">
            <w:pPr>
              <w:pStyle w:val="Lgendesigne"/>
            </w:pPr>
            <w:r>
              <w:tab/>
              <w:t>*</w:t>
            </w:r>
            <w:r>
              <w:tab/>
              <w:t>Procédure de consultation</w:t>
            </w:r>
          </w:p>
          <w:p w:rsidR="00C97177" w:rsidRPr="00445EC4" w:rsidRDefault="00C97177" w:rsidP="00016E55">
            <w:pPr>
              <w:pStyle w:val="Lgendesigne"/>
            </w:pPr>
            <w:r>
              <w:tab/>
              <w:t>***</w:t>
            </w:r>
            <w:r>
              <w:tab/>
              <w:t>Procédure d’approbation</w:t>
            </w:r>
          </w:p>
          <w:p w:rsidR="00C97177" w:rsidRPr="00445EC4" w:rsidRDefault="00C97177" w:rsidP="00016E55">
            <w:pPr>
              <w:pStyle w:val="Lgendesigne"/>
            </w:pPr>
            <w:r>
              <w:tab/>
              <w:t>***I</w:t>
            </w:r>
            <w:r>
              <w:tab/>
              <w:t>Procédure législative ordinaire (première lecture)</w:t>
            </w:r>
          </w:p>
          <w:p w:rsidR="00C97177" w:rsidRPr="00445EC4" w:rsidRDefault="00C97177" w:rsidP="00016E55">
            <w:pPr>
              <w:pStyle w:val="Lgendesigne"/>
            </w:pPr>
            <w:r>
              <w:tab/>
              <w:t>***II</w:t>
            </w:r>
            <w:r>
              <w:tab/>
              <w:t>Procédure législative ordinaire (deuxième lecture)</w:t>
            </w:r>
          </w:p>
          <w:p w:rsidR="00C97177" w:rsidRPr="00445EC4" w:rsidRDefault="00C97177" w:rsidP="00016E55">
            <w:pPr>
              <w:pStyle w:val="Lgendesigne"/>
            </w:pPr>
            <w:r>
              <w:tab/>
              <w:t>***III</w:t>
            </w:r>
            <w:r>
              <w:tab/>
              <w:t>Procédure législative ordinaire (troisième lecture)</w:t>
            </w:r>
          </w:p>
          <w:p w:rsidR="00C97177" w:rsidRPr="00445EC4" w:rsidRDefault="00C97177" w:rsidP="00016E55">
            <w:pPr>
              <w:pStyle w:val="Lgendestandard"/>
            </w:pPr>
          </w:p>
          <w:p w:rsidR="00C97177" w:rsidRPr="00445EC4" w:rsidRDefault="00C97177" w:rsidP="00016E55">
            <w:pPr>
              <w:pStyle w:val="Lgendestandard"/>
            </w:pPr>
            <w:r>
              <w:t>(La procédure indiquée est fondée sur la base juridique proposée par le projet d’acte.)</w:t>
            </w:r>
          </w:p>
          <w:p w:rsidR="00C97177" w:rsidRPr="00445EC4" w:rsidRDefault="00C97177" w:rsidP="000F1972">
            <w:pPr>
              <w:pStyle w:val="Lgendestandard"/>
            </w:pPr>
          </w:p>
        </w:tc>
      </w:tr>
    </w:tbl>
    <w:p w:rsidR="00C97177" w:rsidRPr="00445EC4" w:rsidRDefault="00C97177" w:rsidP="00016E55"/>
    <w:p w:rsidR="00363B94" w:rsidRPr="00445EC4" w:rsidRDefault="00363B94" w:rsidP="00613F2E">
      <w:pPr>
        <w:widowControl/>
        <w:tabs>
          <w:tab w:val="center" w:pos="4677"/>
        </w:tabs>
      </w:pPr>
    </w:p>
    <w:p w:rsidR="00363B94" w:rsidRPr="00445EC4" w:rsidRDefault="00363B94">
      <w:pPr>
        <w:pStyle w:val="TOCHeading"/>
      </w:pPr>
      <w:r>
        <w:br w:type="page"/>
      </w:r>
      <w:r>
        <w:lastRenderedPageBreak/>
        <w:t>SOMMAIRE</w:t>
      </w:r>
    </w:p>
    <w:p w:rsidR="00363B94" w:rsidRPr="00445EC4" w:rsidRDefault="00C64EB4">
      <w:pPr>
        <w:pStyle w:val="TOCPage"/>
      </w:pPr>
      <w:r>
        <w:t>Page</w:t>
      </w:r>
    </w:p>
    <w:bookmarkStart w:id="0" w:name="_GoBack"/>
    <w:p w:rsidR="000252AD" w:rsidRDefault="00EF48F2">
      <w:pPr>
        <w:pStyle w:val="TOC1"/>
        <w:tabs>
          <w:tab w:val="right" w:leader="dot" w:pos="9060"/>
        </w:tabs>
        <w:rPr>
          <w:rFonts w:asciiTheme="minorHAnsi" w:eastAsiaTheme="minorEastAsia" w:hAnsiTheme="minorHAnsi" w:cstheme="minorBidi"/>
          <w:noProof/>
          <w:sz w:val="22"/>
          <w:szCs w:val="22"/>
          <w:lang w:eastAsia="fr-FR"/>
        </w:rPr>
      </w:pPr>
      <w:r w:rsidRPr="00445EC4">
        <w:fldChar w:fldCharType="begin"/>
      </w:r>
      <w:r w:rsidRPr="00445EC4">
        <w:instrText xml:space="preserve"> TOC \t "PageHeading</w:instrText>
      </w:r>
      <w:r w:rsidR="002151DE" w:rsidRPr="00445EC4">
        <w:instrText>;</w:instrText>
      </w:r>
      <w:r w:rsidRPr="00445EC4">
        <w:instrText xml:space="preserve">1" </w:instrText>
      </w:r>
      <w:r w:rsidRPr="00445EC4">
        <w:fldChar w:fldCharType="separate"/>
      </w:r>
      <w:r w:rsidR="000252AD">
        <w:rPr>
          <w:noProof/>
        </w:rPr>
        <w:t>PROJET DE RÉSOLUTION LÉGISLATIVE DU PARLEMENT EUROPÉEN</w:t>
      </w:r>
      <w:r w:rsidR="000252AD">
        <w:rPr>
          <w:noProof/>
        </w:rPr>
        <w:tab/>
      </w:r>
      <w:r w:rsidR="000252AD">
        <w:rPr>
          <w:noProof/>
        </w:rPr>
        <w:fldChar w:fldCharType="begin"/>
      </w:r>
      <w:r w:rsidR="000252AD">
        <w:rPr>
          <w:noProof/>
        </w:rPr>
        <w:instrText xml:space="preserve"> PAGEREF _Toc164687291 \h </w:instrText>
      </w:r>
      <w:r w:rsidR="000252AD">
        <w:rPr>
          <w:noProof/>
        </w:rPr>
      </w:r>
      <w:r w:rsidR="000252AD">
        <w:rPr>
          <w:noProof/>
        </w:rPr>
        <w:fldChar w:fldCharType="separate"/>
      </w:r>
      <w:r w:rsidR="000252AD">
        <w:rPr>
          <w:noProof/>
        </w:rPr>
        <w:t>5</w:t>
      </w:r>
      <w:r w:rsidR="000252AD">
        <w:rPr>
          <w:noProof/>
        </w:rPr>
        <w:fldChar w:fldCharType="end"/>
      </w:r>
    </w:p>
    <w:p w:rsidR="000252AD" w:rsidRDefault="000252AD">
      <w:pPr>
        <w:pStyle w:val="TOC1"/>
        <w:tabs>
          <w:tab w:val="right" w:leader="dot" w:pos="9060"/>
        </w:tabs>
        <w:rPr>
          <w:rFonts w:asciiTheme="minorHAnsi" w:eastAsiaTheme="minorEastAsia" w:hAnsiTheme="minorHAnsi" w:cstheme="minorBidi"/>
          <w:noProof/>
          <w:sz w:val="22"/>
          <w:szCs w:val="22"/>
          <w:lang w:eastAsia="fr-FR"/>
        </w:rPr>
      </w:pPr>
      <w:r>
        <w:rPr>
          <w:noProof/>
        </w:rPr>
        <w:t>EXPOSÉ DES MOTIFS</w:t>
      </w:r>
      <w:r>
        <w:rPr>
          <w:noProof/>
        </w:rPr>
        <w:tab/>
      </w:r>
      <w:r>
        <w:rPr>
          <w:noProof/>
        </w:rPr>
        <w:fldChar w:fldCharType="begin"/>
      </w:r>
      <w:r>
        <w:rPr>
          <w:noProof/>
        </w:rPr>
        <w:instrText xml:space="preserve"> PAGEREF _Toc164687292 \h </w:instrText>
      </w:r>
      <w:r>
        <w:rPr>
          <w:noProof/>
        </w:rPr>
      </w:r>
      <w:r>
        <w:rPr>
          <w:noProof/>
        </w:rPr>
        <w:fldChar w:fldCharType="separate"/>
      </w:r>
      <w:r>
        <w:rPr>
          <w:noProof/>
        </w:rPr>
        <w:t>6</w:t>
      </w:r>
      <w:r>
        <w:rPr>
          <w:noProof/>
        </w:rPr>
        <w:fldChar w:fldCharType="end"/>
      </w:r>
    </w:p>
    <w:p w:rsidR="000252AD" w:rsidRDefault="000252AD">
      <w:pPr>
        <w:pStyle w:val="TOC1"/>
        <w:tabs>
          <w:tab w:val="right" w:leader="dot" w:pos="9060"/>
        </w:tabs>
        <w:rPr>
          <w:rFonts w:asciiTheme="minorHAnsi" w:eastAsiaTheme="minorEastAsia" w:hAnsiTheme="minorHAnsi" w:cstheme="minorBidi"/>
          <w:noProof/>
          <w:sz w:val="22"/>
          <w:szCs w:val="22"/>
          <w:lang w:eastAsia="fr-FR"/>
        </w:rPr>
      </w:pPr>
      <w:r>
        <w:rPr>
          <w:noProof/>
        </w:rPr>
        <w:t>ANNEXE: ENTITÉS OU PERSONNES DONT LA RAPPORTEURE A REÇU DES CONTRIBUTIONS</w:t>
      </w:r>
      <w:r>
        <w:rPr>
          <w:noProof/>
        </w:rPr>
        <w:tab/>
      </w:r>
      <w:r>
        <w:rPr>
          <w:noProof/>
        </w:rPr>
        <w:fldChar w:fldCharType="begin"/>
      </w:r>
      <w:r>
        <w:rPr>
          <w:noProof/>
        </w:rPr>
        <w:instrText xml:space="preserve"> PAGEREF _Toc164687293 \h </w:instrText>
      </w:r>
      <w:r>
        <w:rPr>
          <w:noProof/>
        </w:rPr>
      </w:r>
      <w:r>
        <w:rPr>
          <w:noProof/>
        </w:rPr>
        <w:fldChar w:fldCharType="separate"/>
      </w:r>
      <w:r>
        <w:rPr>
          <w:noProof/>
        </w:rPr>
        <w:t>9</w:t>
      </w:r>
      <w:r>
        <w:rPr>
          <w:noProof/>
        </w:rPr>
        <w:fldChar w:fldCharType="end"/>
      </w:r>
    </w:p>
    <w:p w:rsidR="000252AD" w:rsidRDefault="000252AD">
      <w:pPr>
        <w:pStyle w:val="TOC1"/>
        <w:tabs>
          <w:tab w:val="right" w:leader="dot" w:pos="9060"/>
        </w:tabs>
        <w:rPr>
          <w:rFonts w:asciiTheme="minorHAnsi" w:eastAsiaTheme="minorEastAsia" w:hAnsiTheme="minorHAnsi" w:cstheme="minorBidi"/>
          <w:noProof/>
          <w:sz w:val="22"/>
          <w:szCs w:val="22"/>
          <w:lang w:eastAsia="fr-FR"/>
        </w:rPr>
      </w:pPr>
      <w:r>
        <w:rPr>
          <w:noProof/>
        </w:rPr>
        <w:t>OPINION MINORITAIRE</w:t>
      </w:r>
      <w:r>
        <w:rPr>
          <w:noProof/>
        </w:rPr>
        <w:tab/>
      </w:r>
      <w:r>
        <w:rPr>
          <w:noProof/>
        </w:rPr>
        <w:fldChar w:fldCharType="begin"/>
      </w:r>
      <w:r>
        <w:rPr>
          <w:noProof/>
        </w:rPr>
        <w:instrText xml:space="preserve"> PAGEREF _Toc164687294 \h </w:instrText>
      </w:r>
      <w:r>
        <w:rPr>
          <w:noProof/>
        </w:rPr>
      </w:r>
      <w:r>
        <w:rPr>
          <w:noProof/>
        </w:rPr>
        <w:fldChar w:fldCharType="separate"/>
      </w:r>
      <w:r>
        <w:rPr>
          <w:noProof/>
        </w:rPr>
        <w:t>10</w:t>
      </w:r>
      <w:r>
        <w:rPr>
          <w:noProof/>
        </w:rPr>
        <w:fldChar w:fldCharType="end"/>
      </w:r>
    </w:p>
    <w:p w:rsidR="000252AD" w:rsidRDefault="000252AD">
      <w:pPr>
        <w:pStyle w:val="TOC1"/>
        <w:tabs>
          <w:tab w:val="right" w:leader="dot" w:pos="9060"/>
        </w:tabs>
        <w:rPr>
          <w:rFonts w:asciiTheme="minorHAnsi" w:eastAsiaTheme="minorEastAsia" w:hAnsiTheme="minorHAnsi" w:cstheme="minorBidi"/>
          <w:noProof/>
          <w:sz w:val="22"/>
          <w:szCs w:val="22"/>
          <w:lang w:eastAsia="fr-FR"/>
        </w:rPr>
      </w:pPr>
      <w:r>
        <w:rPr>
          <w:noProof/>
        </w:rPr>
        <w:t>AVIS DE LA COMMISSION DE LA PÊCHE</w:t>
      </w:r>
      <w:r>
        <w:rPr>
          <w:noProof/>
        </w:rPr>
        <w:tab/>
      </w:r>
      <w:r>
        <w:rPr>
          <w:noProof/>
        </w:rPr>
        <w:fldChar w:fldCharType="begin"/>
      </w:r>
      <w:r>
        <w:rPr>
          <w:noProof/>
        </w:rPr>
        <w:instrText xml:space="preserve"> PAGEREF _Toc164687295 \h </w:instrText>
      </w:r>
      <w:r>
        <w:rPr>
          <w:noProof/>
        </w:rPr>
      </w:r>
      <w:r>
        <w:rPr>
          <w:noProof/>
        </w:rPr>
        <w:fldChar w:fldCharType="separate"/>
      </w:r>
      <w:r>
        <w:rPr>
          <w:noProof/>
        </w:rPr>
        <w:t>11</w:t>
      </w:r>
      <w:r>
        <w:rPr>
          <w:noProof/>
        </w:rPr>
        <w:fldChar w:fldCharType="end"/>
      </w:r>
    </w:p>
    <w:p w:rsidR="000252AD" w:rsidRDefault="000252AD">
      <w:pPr>
        <w:pStyle w:val="TOC1"/>
        <w:tabs>
          <w:tab w:val="right" w:leader="dot" w:pos="9060"/>
        </w:tabs>
        <w:rPr>
          <w:rFonts w:asciiTheme="minorHAnsi" w:eastAsiaTheme="minorEastAsia" w:hAnsiTheme="minorHAnsi" w:cstheme="minorBidi"/>
          <w:noProof/>
          <w:sz w:val="22"/>
          <w:szCs w:val="22"/>
          <w:lang w:eastAsia="fr-FR"/>
        </w:rPr>
      </w:pPr>
      <w:r>
        <w:rPr>
          <w:noProof/>
        </w:rPr>
        <w:t>PROCÉDURE DE LA COMMISSION COMPÉTENTE AU FOND</w:t>
      </w:r>
      <w:r>
        <w:rPr>
          <w:noProof/>
        </w:rPr>
        <w:tab/>
      </w:r>
      <w:r>
        <w:rPr>
          <w:noProof/>
        </w:rPr>
        <w:fldChar w:fldCharType="begin"/>
      </w:r>
      <w:r>
        <w:rPr>
          <w:noProof/>
        </w:rPr>
        <w:instrText xml:space="preserve"> PAGEREF _Toc164687296 \h </w:instrText>
      </w:r>
      <w:r>
        <w:rPr>
          <w:noProof/>
        </w:rPr>
      </w:r>
      <w:r>
        <w:rPr>
          <w:noProof/>
        </w:rPr>
        <w:fldChar w:fldCharType="separate"/>
      </w:r>
      <w:r>
        <w:rPr>
          <w:noProof/>
        </w:rPr>
        <w:t>17</w:t>
      </w:r>
      <w:r>
        <w:rPr>
          <w:noProof/>
        </w:rPr>
        <w:fldChar w:fldCharType="end"/>
      </w:r>
    </w:p>
    <w:p w:rsidR="000252AD" w:rsidRDefault="000252AD">
      <w:pPr>
        <w:pStyle w:val="TOC1"/>
        <w:tabs>
          <w:tab w:val="right" w:leader="dot" w:pos="9060"/>
        </w:tabs>
        <w:rPr>
          <w:rFonts w:asciiTheme="minorHAnsi" w:eastAsiaTheme="minorEastAsia" w:hAnsiTheme="minorHAnsi" w:cstheme="minorBidi"/>
          <w:noProof/>
          <w:sz w:val="22"/>
          <w:szCs w:val="22"/>
          <w:lang w:eastAsia="fr-FR"/>
        </w:rPr>
      </w:pPr>
      <w:r w:rsidRPr="009375C8">
        <w:rPr>
          <w:noProof/>
          <w:color w:val="111111"/>
        </w:rPr>
        <w:t>VOTE FINAL PAR APPEL NOMINAL EN COMMISSION COMPÉTENTE AU FOND</w:t>
      </w:r>
      <w:r>
        <w:rPr>
          <w:noProof/>
        </w:rPr>
        <w:tab/>
      </w:r>
      <w:r>
        <w:rPr>
          <w:noProof/>
        </w:rPr>
        <w:fldChar w:fldCharType="begin"/>
      </w:r>
      <w:r>
        <w:rPr>
          <w:noProof/>
        </w:rPr>
        <w:instrText xml:space="preserve"> PAGEREF _Toc164687297 \h </w:instrText>
      </w:r>
      <w:r>
        <w:rPr>
          <w:noProof/>
        </w:rPr>
      </w:r>
      <w:r>
        <w:rPr>
          <w:noProof/>
        </w:rPr>
        <w:fldChar w:fldCharType="separate"/>
      </w:r>
      <w:r>
        <w:rPr>
          <w:noProof/>
        </w:rPr>
        <w:t>18</w:t>
      </w:r>
      <w:r>
        <w:rPr>
          <w:noProof/>
        </w:rPr>
        <w:fldChar w:fldCharType="end"/>
      </w:r>
    </w:p>
    <w:p w:rsidR="004E1650" w:rsidRPr="00445EC4" w:rsidRDefault="00EF48F2" w:rsidP="00F04010">
      <w:r w:rsidRPr="00445EC4">
        <w:fldChar w:fldCharType="end"/>
      </w:r>
      <w:bookmarkEnd w:id="0"/>
    </w:p>
    <w:p w:rsidR="00363B94" w:rsidRPr="00445EC4" w:rsidRDefault="00363B94" w:rsidP="0006167F">
      <w:pPr>
        <w:pStyle w:val="PageHeading"/>
      </w:pPr>
      <w:r>
        <w:br w:type="page"/>
      </w:r>
      <w:r>
        <w:lastRenderedPageBreak/>
        <w:br w:type="page"/>
      </w:r>
      <w:bookmarkStart w:id="1" w:name="_Toc164687291"/>
      <w:r>
        <w:lastRenderedPageBreak/>
        <w:t>PROJET DE RÉSOLUTION LÉGISLATIVE DU PARLEMENT EUROPÉEN</w:t>
      </w:r>
      <w:bookmarkEnd w:id="1"/>
    </w:p>
    <w:p w:rsidR="00445EC4" w:rsidRPr="00445EC4" w:rsidRDefault="00445EC4" w:rsidP="00445EC4">
      <w:pPr>
        <w:pStyle w:val="NormalBold"/>
      </w:pPr>
      <w:r>
        <w:t>sur le projet de décision du Conseil relative à la conclusion, au nom de l’Union européenne, de l’accord se rapportant à la Convention des Nations unies sur le droit de la mer et portant sur la conservation et l’utilisation durable de la diversité biologique marine des zones ne relevant pas de la juridiction nationale</w:t>
      </w:r>
    </w:p>
    <w:p w:rsidR="00445EC4" w:rsidRPr="00445EC4" w:rsidRDefault="00445EC4" w:rsidP="00445EC4">
      <w:pPr>
        <w:pStyle w:val="NormalBold12a"/>
      </w:pPr>
      <w:r>
        <w:t>(07577/24 – C9</w:t>
      </w:r>
      <w:r>
        <w:noBreakHyphen/>
        <w:t>0135/2024 – 2023/0353(NLE))</w:t>
      </w:r>
    </w:p>
    <w:p w:rsidR="00363B94" w:rsidRPr="00445EC4" w:rsidRDefault="00C64EB4" w:rsidP="00445EC4">
      <w:pPr>
        <w:pStyle w:val="NormalBold"/>
      </w:pPr>
      <w:r>
        <w:t>(Approbation)</w:t>
      </w:r>
    </w:p>
    <w:p w:rsidR="00C97177" w:rsidRPr="00445EC4" w:rsidRDefault="00C64EB4" w:rsidP="00C97177">
      <w:pPr>
        <w:pStyle w:val="EPComma"/>
      </w:pPr>
      <w:r>
        <w:rPr>
          <w:i/>
        </w:rPr>
        <w:t>Le Parlement européen</w:t>
      </w:r>
      <w:r>
        <w:t xml:space="preserve">, </w:t>
      </w:r>
    </w:p>
    <w:p w:rsidR="00445EC4" w:rsidRPr="00445EC4" w:rsidRDefault="00445EC4" w:rsidP="00445EC4">
      <w:pPr>
        <w:pStyle w:val="NormalHanging12a"/>
      </w:pPr>
      <w:r>
        <w:t>–</w:t>
      </w:r>
      <w:r>
        <w:tab/>
        <w:t>vu le projet de décision du Conseil (07577/24),</w:t>
      </w:r>
    </w:p>
    <w:p w:rsidR="00445EC4" w:rsidRPr="00445EC4" w:rsidRDefault="00445EC4" w:rsidP="00445EC4">
      <w:pPr>
        <w:pStyle w:val="NormalHanging12a"/>
      </w:pPr>
      <w:r>
        <w:t>–</w:t>
      </w:r>
      <w:r>
        <w:tab/>
        <w:t>vu le projet d’accord se rapportant à la Convention des Nations Unies sur le droit de la mer et portant sur la conservation et l’utilisation durable de la diversité biologique marine des zones ne relevant pas de la juridiction nationale (12126/23),</w:t>
      </w:r>
    </w:p>
    <w:p w:rsidR="00445EC4" w:rsidRPr="00445EC4" w:rsidRDefault="00445EC4" w:rsidP="00445EC4">
      <w:pPr>
        <w:pStyle w:val="NormalHanging12a"/>
      </w:pPr>
      <w:r>
        <w:t>–</w:t>
      </w:r>
      <w:r>
        <w:tab/>
        <w:t>vu la demande d’approbation présentée par le Conseil conformément à l’article 192, paragraphe 1, et à l’article 218, paragraphe 6, deuxième alinéa, point a), du traité sur le fonctionnement de l’Union européenne (C9</w:t>
      </w:r>
      <w:r>
        <w:noBreakHyphen/>
        <w:t>0135/2024),</w:t>
      </w:r>
    </w:p>
    <w:p w:rsidR="00445EC4" w:rsidRPr="00445EC4" w:rsidRDefault="00445EC4" w:rsidP="00445EC4">
      <w:pPr>
        <w:pStyle w:val="NormalHanging12a"/>
      </w:pPr>
      <w:r>
        <w:t>–</w:t>
      </w:r>
      <w:r>
        <w:tab/>
        <w:t>vu l’article 105, paragraphes 1 et 4, ainsi que l’article 114, paragraphe 7, de son règlement intérieur,</w:t>
      </w:r>
    </w:p>
    <w:p w:rsidR="00445EC4" w:rsidRPr="00445EC4" w:rsidRDefault="00445EC4" w:rsidP="00445EC4">
      <w:pPr>
        <w:pStyle w:val="NormalHanging12a"/>
      </w:pPr>
      <w:r>
        <w:t>–</w:t>
      </w:r>
      <w:r>
        <w:tab/>
        <w:t>vu l’avis de la commission de la pêche,</w:t>
      </w:r>
    </w:p>
    <w:p w:rsidR="00445EC4" w:rsidRPr="00445EC4" w:rsidRDefault="00445EC4" w:rsidP="00445EC4">
      <w:pPr>
        <w:pStyle w:val="NormalHanging12a"/>
      </w:pPr>
      <w:r>
        <w:t>–</w:t>
      </w:r>
      <w:r>
        <w:tab/>
        <w:t>vu la recommandation de la commission de l’environnement, de la santé publique et de la sécurité alimentaire (A9</w:t>
      </w:r>
      <w:r>
        <w:noBreakHyphen/>
        <w:t>0177/2024),</w:t>
      </w:r>
    </w:p>
    <w:p w:rsidR="00445EC4" w:rsidRPr="00445EC4" w:rsidRDefault="00445EC4" w:rsidP="00445EC4">
      <w:pPr>
        <w:pStyle w:val="NormalHanging12a"/>
      </w:pPr>
      <w:r>
        <w:t>1.</w:t>
      </w:r>
      <w:r>
        <w:tab/>
        <w:t>donne son approbation à la conclusion de l’accord;</w:t>
      </w:r>
    </w:p>
    <w:p w:rsidR="00445EC4" w:rsidRPr="00445EC4" w:rsidRDefault="00445EC4" w:rsidP="00445EC4">
      <w:pPr>
        <w:pStyle w:val="NormalHanging12a"/>
      </w:pPr>
      <w:r>
        <w:t>2.</w:t>
      </w:r>
      <w:r>
        <w:tab/>
        <w:t>charge sa Présidente de transmettre la position du Parlement au Conseil et à la Commission, ainsi qu’aux gouvernements et aux parlements des États membres.</w:t>
      </w:r>
    </w:p>
    <w:p w:rsidR="00445EC4" w:rsidRPr="00445EC4" w:rsidRDefault="00445EC4" w:rsidP="00445EC4">
      <w:pPr>
        <w:pStyle w:val="NormalHanging12a"/>
      </w:pPr>
    </w:p>
    <w:p w:rsidR="00445EC4" w:rsidRPr="00445EC4" w:rsidRDefault="00445EC4" w:rsidP="00445EC4"/>
    <w:p w:rsidR="00C97177" w:rsidRPr="00445EC4" w:rsidRDefault="00C97177" w:rsidP="00C97177"/>
    <w:p w:rsidR="00C97177" w:rsidRPr="00445EC4" w:rsidRDefault="00C97177" w:rsidP="00C97177">
      <w:pPr>
        <w:sectPr w:rsidR="00C97177" w:rsidRPr="00445EC4" w:rsidSect="00445E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97177" w:rsidRPr="00445EC4" w:rsidRDefault="00C97177" w:rsidP="00C97177">
      <w:pPr>
        <w:pStyle w:val="PageHeading"/>
      </w:pPr>
      <w:bookmarkStart w:id="2" w:name="_Toc162266718"/>
      <w:bookmarkStart w:id="3" w:name="_Toc164687292"/>
      <w:r>
        <w:lastRenderedPageBreak/>
        <w:t>EXPOSÉ DES MOTIFS</w:t>
      </w:r>
      <w:bookmarkEnd w:id="2"/>
      <w:bookmarkEnd w:id="3"/>
    </w:p>
    <w:p w:rsidR="00445EC4" w:rsidRPr="00445EC4" w:rsidRDefault="00445EC4" w:rsidP="00445EC4">
      <w:pPr>
        <w:pStyle w:val="NormalHanging12a"/>
        <w:ind w:left="0" w:firstLine="0"/>
        <w:jc w:val="both"/>
        <w:rPr>
          <w:szCs w:val="24"/>
        </w:rPr>
      </w:pPr>
      <w:r>
        <w:t xml:space="preserve">Nous vivons un moment historique pour l’humanité, marqué par une </w:t>
      </w:r>
      <w:r>
        <w:rPr>
          <w:b/>
        </w:rPr>
        <w:t>grave crise en matière de climat et de biodiversité</w:t>
      </w:r>
      <w:r>
        <w:t xml:space="preserve">, reconnue comme telle par le Parlement au début de la législature actuelle. Il nous faut donc prendre l’initiative d’agir de toute urgence. Nous sommes submergés de littérature scientifique documentant l’effondrement de nos systèmes naturels et notre incapacité collective à agir pour protéger ce dont nous dépendons le plus. Le rapport de l’évaluation mondiale de l’IPBES nous alerte qu’un million d’espèces sont menacées d’extinction, et que nombre d’entre elles pourraient disparaître en quelques décennies, pointant du doigt sans ambages la responsabilité de l’activité humaine à cet égard. Ces scientifiques signalent que 40 % du milieu marin présente les signes d’une grave dégradation. L’Organisation météorologique mondiale (OMM) constate que l’année 2023 a été l’année la plus chaude jamais enregistrée dans le monde, la chaleur océanique mondiale atteignant un nouveau record. Le Groupe d’experts intergouvernemental sur l’évolution du climat (GIEC) nous indique que les choix que nous faisons aujourd’hui sont décisifs pour l’avenir de notre océan, et souligne l’urgence de prendre des mesures ambitieuses, coordonnées et en temps utile pour faire face aux changements sans précédent et persistants dans l’océan. </w:t>
      </w:r>
    </w:p>
    <w:p w:rsidR="00445EC4" w:rsidRPr="00445EC4" w:rsidRDefault="00445EC4" w:rsidP="00445EC4">
      <w:pPr>
        <w:pStyle w:val="NormalHanging12a"/>
        <w:ind w:left="0" w:firstLine="0"/>
        <w:jc w:val="both"/>
        <w:rPr>
          <w:color w:val="212121"/>
          <w:szCs w:val="24"/>
        </w:rPr>
      </w:pPr>
      <w:r>
        <w:t xml:space="preserve">Si l’Union européenne est attachée au programme du </w:t>
      </w:r>
      <w:r>
        <w:rPr>
          <w:b/>
        </w:rPr>
        <w:t>pacte vert pour l’Europe</w:t>
      </w:r>
      <w:r>
        <w:t xml:space="preserve">, qui repose à la fois sur un pilier environnemental et sur un pilier climatique, la dimension internationale du pacte revêt également une grande importance pour assurer une dynamique mondiale d’action, coordonner les actions et développer des systèmes de gouvernance appropriés. La crise de la biodiversité et la crise climatique sont étroitement liées et, par essence, mondiales et transnationales, depuis leurs diverses causes profondes jusqu’à leurs incidences transfrontalières. Cette double crise est pourtant également fortement locale. Ce sont les populations côtières de l’Europe et du reste du monde qui font face aux conséquences de l’effondrement de nos systèmes océaniques. Il nous faut agir à tous les niveaux, et nous avons avant tout besoin d’un cadre international pour gouverner et gérer durablement notre bien commun – notre océan. La haute mer se compose de la zone maritime située au-delà des juridictions nationales des États, à 200 milles marins de la ligne de base. Elle représente environ 64 % de la surface de l’océan, et environ 95 % de son volume, ce qui en fait l’habitat le plus vaste de notre planète bleue.  Du fait qu’elle se trouve hors des juridictions nationales, la haute mer souffre plus que tout autre endroit de la «tragédie des biens communs». </w:t>
      </w:r>
      <w:r>
        <w:rPr>
          <w:color w:val="212121"/>
        </w:rPr>
        <w:t xml:space="preserve">Le </w:t>
      </w:r>
      <w:r>
        <w:rPr>
          <w:b/>
          <w:color w:val="212121"/>
        </w:rPr>
        <w:t>multilatéralisme et la gouvernance internationale des océans</w:t>
      </w:r>
      <w:r>
        <w:rPr>
          <w:color w:val="212121"/>
        </w:rPr>
        <w:t xml:space="preserve"> sont essentiels pour protéger et gérer avec succès ces biens communs mondiaux essentiels. L’océan joue un rôle de plus en plus important pour une planète qui est déjà en surchauffe: sa santé doit être restaurée et il ne saurait rester dépourvu d’une structure de gouvernance commune. </w:t>
      </w:r>
    </w:p>
    <w:p w:rsidR="00445EC4" w:rsidRPr="00445EC4" w:rsidRDefault="00445EC4" w:rsidP="00445EC4">
      <w:pPr>
        <w:pStyle w:val="NormalHanging12a"/>
        <w:ind w:left="0" w:firstLine="0"/>
        <w:jc w:val="both"/>
        <w:rPr>
          <w:rFonts w:ascii="Aptos" w:hAnsi="Aptos"/>
        </w:rPr>
      </w:pPr>
      <w:r>
        <w:t xml:space="preserve">Le </w:t>
      </w:r>
      <w:r>
        <w:rPr>
          <w:b/>
        </w:rPr>
        <w:t>traité sur la haute mer</w:t>
      </w:r>
      <w:r>
        <w:t xml:space="preserve">, de son nom officiel l’accord sur le droit de la mer portant sur la conservation et l’utilisation durable de la diversité biologique marine des zones ne relevant pas de la juridiction nationale, a été conclu le 4 mars 2023 à New York et adopté par les parties aux Nations unies le 19 juin 2023. Près de 20 années ont été nécessaires pour le négocier. Il aura une incidence révolutionnaire sur le renforcement de la gouvernance des océans. Pour ce faire, il encouragera en particulier une plus grande conservation de la biodiversité en haute mer, ainsi que l’équité et la justice océanique au moyen de ses dispositions relatives au financement, au renforcement des capacités, au transfert de technologies, à l’accès équitable et au partage des ressources génétiques marines et en veillant à ce que les intérêts et la contribution des peuples autochtones et des populations locales soient reconnus. Le traité comble de nombreuses lacunes </w:t>
      </w:r>
      <w:r>
        <w:lastRenderedPageBreak/>
        <w:t>en matière de gouvernance des océans, d’autant plus qu’il prévoit un mécanisme d’identification, d’établissement et de gestion de réseaux représentatifs des zones marines protégées, sans pour autant compromettre le mandat des organisations compétentes.</w:t>
      </w:r>
    </w:p>
    <w:p w:rsidR="00445EC4" w:rsidRPr="00445EC4" w:rsidRDefault="00445EC4" w:rsidP="00445EC4">
      <w:pPr>
        <w:pStyle w:val="NormalHanging12a"/>
        <w:ind w:left="0" w:firstLine="0"/>
        <w:jc w:val="both"/>
        <w:rPr>
          <w:szCs w:val="24"/>
        </w:rPr>
      </w:pPr>
      <w:r>
        <w:t>Il contribuera à la réalisation de l’</w:t>
      </w:r>
      <w:r>
        <w:rPr>
          <w:b/>
        </w:rPr>
        <w:t>objectif 30x30</w:t>
      </w:r>
      <w:r>
        <w:t xml:space="preserve"> du cadre mondial de Kunming-Montréal en matière de biodiversité (consistant à protéger au moins 30 % de l’océan d’ici à 2030) en prévoyant des règles et des processus clairs pour la création de zones marines protégées (ZMP) en haute mer. Il est également impératif de renforcer la gestion des activités humaines responsables de la détérioration de l’état de santé des océans, telles que la surpêche et le transport maritime. En outre, il est nécessaire d’adopter une approche de précaution à l’égard des industries émergentes telles que la géo-ingénierie marine et de la perspective risquée de l’exploitation minière des grands fonds, pour laquelle le Parlement a demandé un moratoire. </w:t>
      </w:r>
    </w:p>
    <w:p w:rsidR="00445EC4" w:rsidRPr="00445EC4" w:rsidRDefault="00445EC4" w:rsidP="00445EC4">
      <w:pPr>
        <w:pStyle w:val="NormalHanging12a"/>
        <w:ind w:left="0" w:firstLine="0"/>
        <w:jc w:val="both"/>
        <w:rPr>
          <w:szCs w:val="24"/>
        </w:rPr>
      </w:pPr>
      <w:r>
        <w:t>Les nouvelles dispositions du traité relatives à l’</w:t>
      </w:r>
      <w:r>
        <w:rPr>
          <w:b/>
        </w:rPr>
        <w:t>évaluation des incidences sur l’environnement</w:t>
      </w:r>
      <w:r>
        <w:t xml:space="preserve"> (EIE) renforcent grandement la transparence des activités, en offrant un cadre stratégique pour l’évaluation et la réglementation des activités actuelles et à venir afin d’atténuer les effets néfastes importants aux fins de la protection et de la préservation du milieu marin. L’adoption rapide et généralisée de ces dispositions est primordiale. Les EIE permettront un examen plus global des effets cumulés de diverses activités humaines sur l’écosystème. Ces évaluations tiendront compte des ramifications du changement climatique, de l’acidification des océans et des incidences associées. </w:t>
      </w:r>
    </w:p>
    <w:p w:rsidR="00445EC4" w:rsidRPr="00445EC4" w:rsidRDefault="00445EC4" w:rsidP="00445EC4">
      <w:pPr>
        <w:spacing w:after="240"/>
        <w:jc w:val="both"/>
        <w:rPr>
          <w:color w:val="212121"/>
          <w:szCs w:val="24"/>
        </w:rPr>
      </w:pPr>
      <w:r>
        <w:rPr>
          <w:color w:val="212121"/>
        </w:rPr>
        <w:t>L’</w:t>
      </w:r>
      <w:r>
        <w:rPr>
          <w:b/>
          <w:color w:val="212121"/>
        </w:rPr>
        <w:t>équité</w:t>
      </w:r>
      <w:r>
        <w:rPr>
          <w:color w:val="212121"/>
        </w:rPr>
        <w:t xml:space="preserve"> constitue un fil conducteur du traité sur la haute mer et sera la clé de son succès mondial. </w:t>
      </w:r>
      <w:r>
        <w:t>Le traité donne aux pays en développement un rôle bien plus important dans la prise de décision et la mise en œuvre de l’accord en renforçant leurs capacités de recherche et de développement, grâce à ses dispositions relatives au renforcement des capacités et au transfert de technologies marines.</w:t>
      </w:r>
      <w:r>
        <w:rPr>
          <w:color w:val="212121"/>
        </w:rPr>
        <w:t xml:space="preserve"> </w:t>
      </w:r>
      <w:r>
        <w:t>Le traité contribue également à remédier aux inégalités en favorisant le partage équitable, entre les parties prenantes, des avantages monétaires et non monétaires tirés de ressources génétiques de la haute mer qui sont potentiellement très rentables, y compris par la mise en place d’un fonds spécial en vue de sa mise en œuvre.</w:t>
      </w:r>
      <w:r>
        <w:rPr>
          <w:color w:val="000000"/>
        </w:rPr>
        <w:t xml:space="preserve">   </w:t>
      </w:r>
    </w:p>
    <w:p w:rsidR="00445EC4" w:rsidRPr="00445EC4" w:rsidRDefault="00445EC4" w:rsidP="00445EC4">
      <w:pPr>
        <w:spacing w:after="240"/>
        <w:jc w:val="both"/>
        <w:rPr>
          <w:color w:val="212121"/>
          <w:szCs w:val="24"/>
        </w:rPr>
      </w:pPr>
      <w:r>
        <w:rPr>
          <w:color w:val="212121"/>
        </w:rPr>
        <w:t>Étant donné que l’</w:t>
      </w:r>
      <w:r>
        <w:rPr>
          <w:b/>
          <w:color w:val="212121"/>
        </w:rPr>
        <w:t>ODD 14</w:t>
      </w:r>
      <w:r>
        <w:rPr>
          <w:color w:val="212121"/>
        </w:rPr>
        <w:t xml:space="preserve"> est l’objectif de développement durable le plus sous-financé, il est nécessaire de prévoir un </w:t>
      </w:r>
      <w:r>
        <w:rPr>
          <w:b/>
          <w:color w:val="212121"/>
        </w:rPr>
        <w:t>financement ambitieux</w:t>
      </w:r>
      <w:r>
        <w:rPr>
          <w:color w:val="212121"/>
        </w:rPr>
        <w:t xml:space="preserve"> pour faire en sorte que l’objectif 30x30 devienne réalité. Pour la désignation des ZMP, il convient de prendre en considération les régions faisant déjà l’objet d’une gestion partielle. Il s’agit par exemple des zones faisant l’objet de mesures de protection, comme les écosystèmes marins vulnérables (EMV) préservés de la pêche en eau profonde par les organisations régionales de gestion des pêches (ORGP) ou les zones désignées d’intérêt environnemental particulier. Il sera également essentiel de faire preuve d’une coordination interne étroite au niveau de l’UE afin de veiller à ce que le traité soit respecté au travers de toutes les politiques de l’UE, ainsi que lors de la participation de l’UE à d’autres enceintes pertinentes, et d’éviter de porter atteinte aux dispositions du traité lors de la participation de l’UE à d’autres organes. Par ailleurs, nous avons besoin de davantage de </w:t>
      </w:r>
      <w:r>
        <w:rPr>
          <w:b/>
          <w:color w:val="212121"/>
        </w:rPr>
        <w:t>recherches indépendantes</w:t>
      </w:r>
      <w:r>
        <w:rPr>
          <w:color w:val="212121"/>
        </w:rPr>
        <w:t>, et non uniquement de recherches industrielles. Étant donné qu’au moins 30 organes des Nations unies prévoient des dispositions spécifiques relatives à l’océan, une coordination efficace des Nations unies est nécessaire pour veiller à ce que les conflits d’intérêts n’entravent pas la bonne mise en œuvre de l’accord sur la haute mer.</w:t>
      </w:r>
    </w:p>
    <w:p w:rsidR="00445EC4" w:rsidRPr="00445EC4" w:rsidRDefault="00445EC4" w:rsidP="00445EC4">
      <w:pPr>
        <w:pStyle w:val="NormalHanging12a"/>
        <w:ind w:left="0" w:firstLine="0"/>
        <w:jc w:val="both"/>
        <w:rPr>
          <w:szCs w:val="24"/>
        </w:rPr>
      </w:pPr>
      <w:r>
        <w:t xml:space="preserve">L’UE est à la pointe des efforts en faveur de ce traité depuis près de 20 ans, de sorte qu’elle doit également jouer un rôle de chef de file dans sa </w:t>
      </w:r>
      <w:r>
        <w:rPr>
          <w:b/>
        </w:rPr>
        <w:t>ratification</w:t>
      </w:r>
      <w:r>
        <w:t xml:space="preserve">. En approuvant rapidement ce traité, </w:t>
      </w:r>
      <w:r>
        <w:lastRenderedPageBreak/>
        <w:t xml:space="preserve">avant la fin de la présente législature du Parlement actuel, nous montrons l’importance que l’Union européenne accorde à sa mise en œuvre et son engagement résolu en faveur de cet accord de portée considérable. Le vote portant sur cette procédure d’approbation constitue un jalon qui vient à point nommé dans le processus de ratification. Dans le cadre de notre diplomatie du pacte vert, nous devons veiller à ce que notre rôle de chef de file soit étayé par notre action et l’exemple que nous donnons. </w:t>
      </w:r>
    </w:p>
    <w:p w:rsidR="00445EC4" w:rsidRPr="00445EC4" w:rsidRDefault="00445EC4" w:rsidP="00445EC4">
      <w:pPr>
        <w:sectPr w:rsidR="00445EC4" w:rsidRPr="00445EC4" w:rsidSect="00445E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45EC4" w:rsidRPr="00445EC4" w:rsidRDefault="00445EC4" w:rsidP="00445EC4">
      <w:pPr>
        <w:pStyle w:val="PageHeading"/>
      </w:pPr>
      <w:bookmarkStart w:id="4" w:name="_Toc164437762"/>
      <w:bookmarkStart w:id="5" w:name="_Toc164687293"/>
      <w:r>
        <w:t>ANNEXE: ENTITÉS OU PERSONNES</w:t>
      </w:r>
      <w:r>
        <w:br/>
        <w:t>DONT LA RAPPORTEURE A REÇU DES CONTRIBUTIONS</w:t>
      </w:r>
      <w:bookmarkEnd w:id="4"/>
      <w:bookmarkEnd w:id="5"/>
    </w:p>
    <w:p w:rsidR="00445EC4" w:rsidRPr="00445EC4" w:rsidRDefault="00445EC4" w:rsidP="00445EC4">
      <w:pPr>
        <w:pStyle w:val="Normal24a"/>
        <w:jc w:val="both"/>
      </w:pPr>
      <w:r>
        <w:rPr>
          <w:rStyle w:val="HideTWBExt"/>
        </w:rPr>
        <w:t>&lt;FootprintIntro&gt;</w:t>
      </w:r>
      <w:r>
        <w:rPr>
          <w:snapToGrid w:val="0"/>
          <w:sz w:val="22"/>
        </w:rPr>
        <w:t>Conformément à l’article 8 de l’annexe I du règlement intérieur, la rapporteure a reçu des contributions des entités ou personnes suivantes pour l’élaboration du projet de recommandation,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pPr>
              <w:pStyle w:val="NormalBoldCenter"/>
            </w:pPr>
            <w:r>
              <w:t>Entité et/ou personne</w:t>
            </w: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pPr>
              <w:rPr>
                <w:lang w:eastAsia="en-US"/>
              </w:rPr>
            </w:pP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pPr>
              <w:widowControl/>
              <w:rPr>
                <w:sz w:val="20"/>
              </w:rPr>
            </w:pP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pPr>
              <w:widowControl/>
              <w:rPr>
                <w:sz w:val="20"/>
              </w:rPr>
            </w:pP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pPr>
              <w:widowControl/>
              <w:rPr>
                <w:sz w:val="20"/>
              </w:rPr>
            </w:pP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r>
              <w:t>WWF Finland</w:t>
            </w: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r>
              <w:t>WWF EU</w:t>
            </w: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r>
              <w:t>Greenpeace Nordic</w:t>
            </w:r>
          </w:p>
        </w:tc>
      </w:tr>
      <w:tr w:rsidR="00445EC4" w:rsidRPr="000252AD"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0252AD" w:rsidRDefault="00445EC4" w:rsidP="001579D7">
            <w:pPr>
              <w:rPr>
                <w:lang w:val="en-GB"/>
              </w:rPr>
            </w:pPr>
            <w:r w:rsidRPr="000252AD">
              <w:rPr>
                <w:lang w:val="en-GB"/>
              </w:rPr>
              <w:t>The Finnish Association for Nature Conservation</w:t>
            </w: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r>
              <w:t>Seas at Risk</w:t>
            </w: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r>
              <w:t>High Seas Alliance</w:t>
            </w:r>
          </w:p>
        </w:tc>
      </w:tr>
      <w:tr w:rsidR="00445EC4" w:rsidRPr="00445EC4" w:rsidTr="001579D7">
        <w:tc>
          <w:tcPr>
            <w:tcW w:w="9016" w:type="dxa"/>
            <w:tcBorders>
              <w:top w:val="single" w:sz="4" w:space="0" w:color="auto"/>
              <w:left w:val="single" w:sz="4" w:space="0" w:color="auto"/>
              <w:bottom w:val="single" w:sz="4" w:space="0" w:color="auto"/>
              <w:right w:val="single" w:sz="4" w:space="0" w:color="auto"/>
            </w:tcBorders>
            <w:hideMark/>
          </w:tcPr>
          <w:p w:rsidR="00445EC4" w:rsidRPr="00445EC4" w:rsidRDefault="00445EC4" w:rsidP="001579D7"/>
        </w:tc>
      </w:tr>
    </w:tbl>
    <w:p w:rsidR="00445EC4" w:rsidRPr="00445EC4" w:rsidRDefault="00445EC4" w:rsidP="00445EC4"/>
    <w:p w:rsidR="00445EC4" w:rsidRPr="00445EC4" w:rsidRDefault="00445EC4" w:rsidP="00445EC4">
      <w:r>
        <w:rPr>
          <w:snapToGrid w:val="0"/>
          <w:sz w:val="22"/>
        </w:rPr>
        <w:t>La liste ci-dessus est établie sous la responsabilité exclusive de la rapporteure.</w:t>
      </w:r>
    </w:p>
    <w:p w:rsidR="00445EC4" w:rsidRPr="00445EC4" w:rsidRDefault="00445EC4" w:rsidP="00445EC4"/>
    <w:p w:rsidR="00445EC4" w:rsidRPr="00445EC4" w:rsidRDefault="00445EC4" w:rsidP="00445EC4">
      <w:pPr>
        <w:sectPr w:rsidR="00445EC4" w:rsidRPr="00445EC4" w:rsidSect="00445E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45EC4" w:rsidRPr="00445EC4" w:rsidRDefault="00445EC4" w:rsidP="00445EC4">
      <w:pPr>
        <w:pStyle w:val="PageHeading"/>
      </w:pPr>
      <w:bookmarkStart w:id="6" w:name="_Toc164437763"/>
      <w:bookmarkStart w:id="7" w:name="_Toc164687294"/>
      <w:r>
        <w:t>OPINION MINORITAIRE</w:t>
      </w:r>
      <w:bookmarkEnd w:id="6"/>
      <w:bookmarkEnd w:id="7"/>
    </w:p>
    <w:p w:rsidR="00445EC4" w:rsidRPr="00445EC4" w:rsidRDefault="00445EC4" w:rsidP="00445EC4">
      <w:pPr>
        <w:jc w:val="both"/>
      </w:pPr>
      <w:r>
        <w:t>exprimée, conformément à l’article 55, paragraphe 4, du règlement intérieur,</w:t>
      </w:r>
    </w:p>
    <w:p w:rsidR="00445EC4" w:rsidRPr="00445EC4" w:rsidRDefault="00445EC4" w:rsidP="00445EC4">
      <w:pPr>
        <w:jc w:val="both"/>
        <w:rPr>
          <w:sz w:val="22"/>
        </w:rPr>
      </w:pPr>
      <w:r>
        <w:t>par Mathilde Androuët</w:t>
      </w:r>
    </w:p>
    <w:p w:rsidR="00445EC4" w:rsidRPr="00445EC4" w:rsidRDefault="00445EC4" w:rsidP="00445EC4">
      <w:pPr>
        <w:jc w:val="both"/>
      </w:pPr>
    </w:p>
    <w:p w:rsidR="00445EC4" w:rsidRPr="00445EC4" w:rsidRDefault="00445EC4" w:rsidP="00445EC4">
      <w:pPr>
        <w:jc w:val="both"/>
      </w:pPr>
    </w:p>
    <w:p w:rsidR="00445EC4" w:rsidRPr="00445EC4" w:rsidRDefault="00445EC4" w:rsidP="00445EC4">
      <w:pPr>
        <w:jc w:val="both"/>
      </w:pPr>
      <w:r>
        <w:t>Sous prétexte de protection de la biodiversité, le traité international pour la protection de la haute mer et de la biodiversité marine, et la décision du Conseil y afférente, consistent surtout à organiser l’exploitation des ressources marines dans une zone dépourvue de souveraineté. De plus, la décision du Conseil pousse l’Union européenne à s’immiscer dans la gestion de la haute mer; elle disposera de 27 droits de vote en cas d’absence des États membres.</w:t>
      </w:r>
    </w:p>
    <w:p w:rsidR="00445EC4" w:rsidRPr="00445EC4" w:rsidRDefault="00445EC4" w:rsidP="00445EC4">
      <w:pPr>
        <w:jc w:val="both"/>
        <w:rPr>
          <w:sz w:val="22"/>
        </w:rPr>
      </w:pPr>
    </w:p>
    <w:p w:rsidR="00445EC4" w:rsidRPr="00445EC4" w:rsidRDefault="00445EC4" w:rsidP="00445EC4">
      <w:pPr>
        <w:jc w:val="both"/>
      </w:pPr>
      <w:r>
        <w:t>Par ailleurs, ce traité laisse trop de zones d’ombre. Parmi les outils de gestion de la zone, seule l’aire marine protégée (AMP) est privilégiée, mettant de côté le développement d’autres outils plus respectueux des droits. En effet, les AMP ont posé des problèmes de respect des droits humains, des droits de pêche ou de respect de la souveraineté des États. La question de l’attribution des revenus issus des ressources génétiques marines (RGM) n’est pas abordée, laissant une large marge d’appréciation aux négociations de gestion de l’AMP. Enfin, le problème éthique posé par les brevets sur le vivant n’est pas abordé alors que les États ont des positions divergentes sur le sujet.</w:t>
      </w:r>
    </w:p>
    <w:p w:rsidR="00445EC4" w:rsidRPr="00445EC4" w:rsidRDefault="00445EC4" w:rsidP="00445EC4">
      <w:pPr>
        <w:jc w:val="both"/>
      </w:pPr>
    </w:p>
    <w:p w:rsidR="00445EC4" w:rsidRPr="00445EC4" w:rsidRDefault="00445EC4" w:rsidP="00445EC4"/>
    <w:p w:rsidR="00445EC4" w:rsidRPr="00445EC4" w:rsidRDefault="00445EC4" w:rsidP="00445EC4">
      <w:pPr>
        <w:sectPr w:rsidR="00445EC4" w:rsidRPr="00445EC4" w:rsidSect="00445EC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45EC4" w:rsidRPr="00445EC4" w:rsidRDefault="00445EC4" w:rsidP="00445EC4">
      <w:pPr>
        <w:pStyle w:val="Normal24a"/>
      </w:pPr>
      <w:r>
        <w:rPr>
          <w:rStyle w:val="HideTWBExt"/>
        </w:rPr>
        <w:t>&lt;Date&gt;</w:t>
      </w:r>
      <w:r>
        <w:rPr>
          <w:rStyle w:val="HideTWBInt"/>
        </w:rPr>
        <w:t>{20/03/2024}</w:t>
      </w:r>
      <w:r>
        <w:t>20.3.2024</w:t>
      </w:r>
      <w:r>
        <w:rPr>
          <w:rStyle w:val="HideTWBExt"/>
        </w:rPr>
        <w:t>&lt;/Date&gt;</w:t>
      </w:r>
    </w:p>
    <w:p w:rsidR="00445EC4" w:rsidRPr="00445EC4" w:rsidRDefault="00445EC4" w:rsidP="00445EC4">
      <w:pPr>
        <w:pStyle w:val="PageHeading"/>
      </w:pPr>
      <w:r>
        <w:rPr>
          <w:rStyle w:val="HideTWBExt"/>
        </w:rPr>
        <w:t>&lt;CommissionResp&gt;</w:t>
      </w:r>
      <w:bookmarkStart w:id="8" w:name="OpinionToc_1"/>
      <w:bookmarkStart w:id="9" w:name="_Toc164687295"/>
      <w:r>
        <w:t>AVIS DE LA COMMISSION DE LA PÊCHE</w:t>
      </w:r>
      <w:bookmarkEnd w:id="8"/>
      <w:bookmarkEnd w:id="9"/>
      <w:r>
        <w:rPr>
          <w:rStyle w:val="HideTWBExt"/>
        </w:rPr>
        <w:t>&lt;/CommissionResp&gt;</w:t>
      </w:r>
    </w:p>
    <w:p w:rsidR="00445EC4" w:rsidRPr="00445EC4" w:rsidRDefault="00445EC4" w:rsidP="00445EC4">
      <w:pPr>
        <w:pStyle w:val="Normal12a"/>
      </w:pPr>
      <w:r>
        <w:rPr>
          <w:rStyle w:val="HideTWBExt"/>
        </w:rPr>
        <w:t>&lt;CommissionInt&gt;</w:t>
      </w:r>
      <w:r>
        <w:t>à l’intention de la commission de l’environnement, de la santé publique et de la sécurité alimentaire</w:t>
      </w:r>
      <w:r>
        <w:rPr>
          <w:rStyle w:val="HideTWBExt"/>
        </w:rPr>
        <w:t>&lt;/CommissionInt&gt;</w:t>
      </w:r>
    </w:p>
    <w:p w:rsidR="00445EC4" w:rsidRPr="00445EC4" w:rsidRDefault="00445EC4" w:rsidP="00445EC4">
      <w:r>
        <w:rPr>
          <w:rStyle w:val="HideTWBExt"/>
        </w:rPr>
        <w:t>&lt;Titre&gt;</w:t>
      </w:r>
      <w:r>
        <w:t>sur la proposition de décision du Conseil relative à la conclusion, au nom de l’Union européenne, de l’accord se rapportant à la Convention des Nations unies sur le droit de la mer et portant sur la conservation et l’utilisation durable de la diversité biologique marine des zones ne relevant pas de la juridiction nationale (BBNJ)</w:t>
      </w:r>
      <w:r>
        <w:rPr>
          <w:rStyle w:val="HideTWBExt"/>
        </w:rPr>
        <w:t>&lt;/Titre&gt;</w:t>
      </w:r>
    </w:p>
    <w:p w:rsidR="00445EC4" w:rsidRPr="000252AD" w:rsidRDefault="00445EC4" w:rsidP="00445EC4">
      <w:pPr>
        <w:pStyle w:val="Normal12a"/>
        <w:rPr>
          <w:lang w:val="pt-PT"/>
        </w:rPr>
      </w:pPr>
      <w:r w:rsidRPr="000252AD">
        <w:rPr>
          <w:rStyle w:val="HideTWBExt"/>
          <w:lang w:val="pt-PT"/>
        </w:rPr>
        <w:t>&lt;DocRef&gt;</w:t>
      </w:r>
      <w:r w:rsidRPr="000252AD">
        <w:rPr>
          <w:lang w:val="pt-PT"/>
        </w:rPr>
        <w:t>(COM(2023)0580 – C9</w:t>
      </w:r>
      <w:r w:rsidRPr="000252AD">
        <w:rPr>
          <w:lang w:val="pt-PT"/>
        </w:rPr>
        <w:noBreakHyphen/>
        <w:t>xxxx/20xx – 2023/0353(NLE))</w:t>
      </w:r>
      <w:r w:rsidRPr="000252AD">
        <w:rPr>
          <w:rStyle w:val="HideTWBExt"/>
          <w:lang w:val="pt-PT"/>
        </w:rPr>
        <w:t>&lt;/DocRef&gt;</w:t>
      </w:r>
    </w:p>
    <w:p w:rsidR="00445EC4" w:rsidRPr="00445EC4" w:rsidRDefault="00445EC4" w:rsidP="00445EC4">
      <w:pPr>
        <w:pStyle w:val="Normal24a"/>
      </w:pPr>
      <w:r>
        <w:t xml:space="preserve">Rapporteur pour avis: </w:t>
      </w:r>
      <w:r>
        <w:rPr>
          <w:rStyle w:val="HideTWBExt"/>
        </w:rPr>
        <w:t>&lt;Depute&gt;</w:t>
      </w:r>
      <w:r>
        <w:t>Predrag Fred Matić</w:t>
      </w:r>
      <w:r>
        <w:rPr>
          <w:rStyle w:val="HideTWBExt"/>
        </w:rPr>
        <w:t>&lt;/Depute&gt;</w:t>
      </w:r>
    </w:p>
    <w:p w:rsidR="00445EC4" w:rsidRPr="00445EC4" w:rsidRDefault="00445EC4" w:rsidP="00445EC4"/>
    <w:p w:rsidR="00445EC4" w:rsidRPr="00445EC4" w:rsidRDefault="00445EC4" w:rsidP="00EA3304">
      <w:pPr>
        <w:widowControl/>
        <w:tabs>
          <w:tab w:val="center" w:pos="4677"/>
        </w:tabs>
      </w:pPr>
    </w:p>
    <w:p w:rsidR="00445EC4" w:rsidRPr="00445EC4" w:rsidRDefault="00445EC4">
      <w:pPr>
        <w:pStyle w:val="PageHeadingNotTOC"/>
      </w:pPr>
      <w:r>
        <w:t>JUSTIFICATION SUCCINCTE</w:t>
      </w:r>
    </w:p>
    <w:p w:rsidR="00445EC4" w:rsidRPr="00445EC4" w:rsidRDefault="00445EC4" w:rsidP="00712044">
      <w:pPr>
        <w:spacing w:after="120"/>
        <w:ind w:right="1066"/>
        <w:jc w:val="both"/>
        <w:rPr>
          <w:b/>
          <w:sz w:val="22"/>
        </w:rPr>
      </w:pPr>
      <w:r>
        <w:rPr>
          <w:b/>
        </w:rPr>
        <w:t>Contexte de la proposition</w:t>
      </w:r>
    </w:p>
    <w:p w:rsidR="00445EC4" w:rsidRPr="00445EC4" w:rsidRDefault="00445EC4" w:rsidP="00895114">
      <w:pPr>
        <w:pStyle w:val="NormalCenter12a"/>
        <w:jc w:val="both"/>
      </w:pPr>
      <w:r>
        <w:t>L’Union européenne s’emploie activement à œuvrer en faveur de la conservation et de l’utilisation durable de la diversité biologique marine des zones ne relevant pas de la juridiction nationale dans le cadre de l’accord se rapportant à la Convention des Nations unies sur le droit de la mer (CNUDM), appelé «accord BBNJ».</w:t>
      </w:r>
    </w:p>
    <w:p w:rsidR="00445EC4" w:rsidRPr="00445EC4" w:rsidRDefault="00445EC4" w:rsidP="00895114">
      <w:pPr>
        <w:pStyle w:val="NormalCenter12a"/>
        <w:jc w:val="both"/>
      </w:pPr>
      <w:r>
        <w:t>Le processus a débuté en 2004 et, entre 2016 et 2023, l’Union, mandatée par le Conseil, a mené des négociations qui ont abouti à l’adoption de l’accord BBNJ le 19 juin 2023. L’Union a signé cet accord crucial le 20 septembre 2023.</w:t>
      </w:r>
    </w:p>
    <w:p w:rsidR="00445EC4" w:rsidRPr="00445EC4" w:rsidRDefault="00445EC4" w:rsidP="00895114">
      <w:pPr>
        <w:pStyle w:val="NormalCenter12a"/>
        <w:jc w:val="both"/>
      </w:pPr>
      <w:r>
        <w:t>L’accord BBNJ se concentre sur la conservation et l’utilisation durable de la diversité biologique marine dans près de deux tiers des océans du monde, contribuant ainsi à un environnement marin plus sain et au maintien de la rentabilité à long terme du secteur de la pêche. Il traite des ressources génétiques marines, du partage des avantages, des outils de gestion par zone, des évaluations d’impact sur l’environnement et du renforcement des capacités.</w:t>
      </w:r>
    </w:p>
    <w:p w:rsidR="00445EC4" w:rsidRPr="00445EC4" w:rsidRDefault="00445EC4" w:rsidP="00895114">
      <w:pPr>
        <w:pStyle w:val="NormalCenter12a"/>
        <w:jc w:val="both"/>
      </w:pPr>
      <w:r>
        <w:t>Troisième accord de mise en œuvre de la CNUDM auquel l’Union est partie, cet accord modernise la CNUDM pour tenir compte de l’évolution de la biodiversité marine depuis 1982. Il vient à l’appui du programme de développement durable des Nations unies à l’horizon 2030, en particulier son objectif de développement durable 14, et contribue à la réalisation des objectifs du cadre mondial de la biodiversité consistant à assurer la conservation d’au moins 30 % des terres et des océans de la planète d’ici à 2030. En outre, il contribue à la mise en œuvre de la convention-cadre des Nations unies sur les changements climatiques (CCNUCC) et de l’accord de Paris, soulignant par là-même que la réponse aux enjeux mondiaux requiert un effet de synergie.</w:t>
      </w:r>
    </w:p>
    <w:p w:rsidR="00445EC4" w:rsidRPr="00445EC4" w:rsidRDefault="00445EC4" w:rsidP="00895114">
      <w:pPr>
        <w:spacing w:after="120"/>
        <w:ind w:right="1066"/>
        <w:jc w:val="both"/>
        <w:rPr>
          <w:b/>
        </w:rPr>
      </w:pPr>
      <w:r>
        <w:rPr>
          <w:b/>
        </w:rPr>
        <w:t>Contenu de la proposition</w:t>
      </w:r>
    </w:p>
    <w:p w:rsidR="00445EC4" w:rsidRPr="00445EC4" w:rsidRDefault="00445EC4" w:rsidP="00895114">
      <w:pPr>
        <w:pStyle w:val="NormalCenter12a"/>
        <w:jc w:val="both"/>
      </w:pPr>
      <w:r>
        <w:t>L’accord BBNJ tente d’apporter une réponse aux défis posés par environ deux tiers des océans de la planète, qui sont la propriété de tous, de sorte qu’ils n’appartiennent à aucune entité spécifique. La conservation de ce bien commun mondial est assurée par des mesures contraignantes et volontaires, qui mettent l’accent sur une meilleure coopération et une meilleure coordination entre les parties prenantes. L’accord vise à lutter contre la perte de diversité biologique, la dégradation des écosystèmes et les effets du changement climatique sur les écosystèmes marins dans les zones ne relevant pas de la juridiction nationale, en couvrant des questions telles que le réchauffement, la désoxygénation, l’acidification et la pollution (y compris la pollution par les plastiques) des océans ainsi que leur utilisation non durable.</w:t>
      </w:r>
    </w:p>
    <w:p w:rsidR="00445EC4" w:rsidRPr="00445EC4" w:rsidRDefault="00445EC4" w:rsidP="00895114">
      <w:pPr>
        <w:pStyle w:val="NormalCenter12a"/>
        <w:jc w:val="both"/>
      </w:pPr>
      <w:r>
        <w:t>L’accord BBNJ insiste en outre sur la nécessité de faire avancer la recherche scientifique à l’échelle mondiale, de veiller à la compatibilité avec les responsabilités incombant aux parties prenantes et de remédier aux inégalités, en particulier pour les pays en développement. Il cherche à renforcer la collaboration entre les organisations maritimes régionales et les organisations régionales de gestion des pêches.</w:t>
      </w:r>
    </w:p>
    <w:p w:rsidR="00445EC4" w:rsidRPr="00445EC4" w:rsidRDefault="00445EC4" w:rsidP="00895114">
      <w:pPr>
        <w:pStyle w:val="NormalCenter12a"/>
        <w:jc w:val="both"/>
      </w:pPr>
      <w:r>
        <w:t>L’accord BBNJ entend adapter la CNUDM aux problématiques actuelles et promouvoir des pratiques durables à l’échelle mondiale.</w:t>
      </w:r>
    </w:p>
    <w:p w:rsidR="00445EC4" w:rsidRPr="00445EC4" w:rsidRDefault="00445EC4" w:rsidP="00895114">
      <w:pPr>
        <w:spacing w:after="120"/>
        <w:ind w:right="1066"/>
        <w:jc w:val="both"/>
        <w:rPr>
          <w:b/>
        </w:rPr>
      </w:pPr>
      <w:r>
        <w:rPr>
          <w:b/>
        </w:rPr>
        <w:t>Avis du rapporteur</w:t>
      </w:r>
    </w:p>
    <w:p w:rsidR="00445EC4" w:rsidRPr="00445EC4" w:rsidRDefault="00445EC4" w:rsidP="00895114">
      <w:pPr>
        <w:pStyle w:val="NormalCenter12a"/>
        <w:jc w:val="both"/>
      </w:pPr>
      <w:r>
        <w:t>Le rapporteur se félicite des mesures efficaces et opportunes adoptées lors de la cinquième session de la conférence intergouvernementale. Il est d’avis que cet instrument international juridiquement contraignant représente une avancée décisive dans la réponse aux problématiques complexes liées aux écosystèmes marins à l’échelle mondiale. Un environnement marin sain, caractérisé par des stocks halieutiques sains et une biodiversité riche, est essentiel pour garantir un avenir prospère aux communautés de pêcheurs.</w:t>
      </w:r>
    </w:p>
    <w:p w:rsidR="00445EC4" w:rsidRPr="00445EC4" w:rsidRDefault="00445EC4" w:rsidP="00895114">
      <w:pPr>
        <w:pStyle w:val="NormalCenter12a"/>
        <w:jc w:val="both"/>
      </w:pPr>
      <w:r>
        <w:t>Le rapporteur se félicite de la transposition rapide des obligations générales convenues énoncées dans l’accord, qui garantissent la mise en œuvre effective de mesures favorisant la cohérence et la coordination, sans porter atteinte aux instruments et cadres existants, ni saper le travail des organismes internationaux, régionaux, sous-régionaux et sectoriels. Cet engagement en faveur de la cohérence et de la collaboration est essentiel à la réussite de l’accord et à la réalisation de son objectif global consistant à assurer la conservation et l’utilisation durable de la biodiversité marine des zones ne relevant pas de la juridiction nationale.</w:t>
      </w:r>
    </w:p>
    <w:p w:rsidR="00445EC4" w:rsidRPr="00445EC4" w:rsidRDefault="00445EC4" w:rsidP="00895114">
      <w:pPr>
        <w:pStyle w:val="NormalCenter12a"/>
        <w:jc w:val="both"/>
      </w:pPr>
      <w:r>
        <w:t>En conclusion, le rapporteur est favorable à l’accord conclu dans le cadre de la CNUDM et à son adoption rapide, en soulignant l’importance des efforts de coopération visant à préserver la santé et la résilience des écosystèmes marins dans les zones ne relevant pas de la juridiction nationale.</w:t>
      </w:r>
    </w:p>
    <w:p w:rsidR="00445EC4" w:rsidRPr="00445EC4" w:rsidRDefault="00445EC4" w:rsidP="00895114">
      <w:pPr>
        <w:pStyle w:val="NormalCenter12a"/>
        <w:jc w:val="both"/>
      </w:pPr>
    </w:p>
    <w:p w:rsidR="00445EC4" w:rsidRPr="00445EC4" w:rsidRDefault="00445EC4" w:rsidP="00895114">
      <w:pPr>
        <w:pStyle w:val="NormalCenter12a"/>
      </w:pPr>
      <w:r>
        <w:t>******</w:t>
      </w:r>
    </w:p>
    <w:p w:rsidR="00445EC4" w:rsidRPr="00445EC4" w:rsidRDefault="00445EC4" w:rsidP="00895114">
      <w:pPr>
        <w:pStyle w:val="Normal12a"/>
      </w:pPr>
      <w:r>
        <w:t>La commission de la pêche invite la commission de l’environnement, de la santé publique et de la sécurité alimentaire, compétente au fond, à recommander l’approbation de la proposition de décision du Conseil relative à la conclusion, au nom de l’Union européenne, de l’accord se rapportant à la Convention des Nations unies sur le droit de la mer et portant sur la conservation et l’utilisation durable de la diversité biologique marine des zones ne relevant pas de la juridiction nationale (BBNJ).</w:t>
      </w:r>
    </w:p>
    <w:p w:rsidR="00445EC4" w:rsidRPr="00445EC4" w:rsidRDefault="00445EC4" w:rsidP="00895114">
      <w:pPr>
        <w:widowControl/>
        <w:sectPr w:rsidR="00445EC4" w:rsidRPr="00445EC4" w:rsidSect="00445EC4">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45EC4" w:rsidRPr="00445EC4" w:rsidRDefault="00445EC4" w:rsidP="00895114">
      <w:pPr>
        <w:widowControl/>
      </w:pPr>
    </w:p>
    <w:p w:rsidR="00445EC4" w:rsidRPr="00445EC4" w:rsidRDefault="00445EC4" w:rsidP="00895114">
      <w:pPr>
        <w:pStyle w:val="PageHeadingNotTOC"/>
        <w:rPr>
          <w:noProof/>
        </w:rPr>
      </w:pPr>
      <w:bookmarkStart w:id="10" w:name="FootprintPageAD"/>
      <w:r>
        <w:t>ANNEXE: ENTITÉS OU PERSONNES</w:t>
      </w:r>
      <w:r>
        <w:br/>
        <w:t>DONT LE RAPPORTEUR POUR AVIS A REÇU DES CONTRIBUTIONS</w:t>
      </w:r>
    </w:p>
    <w:p w:rsidR="00445EC4" w:rsidRPr="00445EC4" w:rsidRDefault="00445EC4" w:rsidP="00895114">
      <w:pPr>
        <w:pStyle w:val="Normal24a"/>
      </w:pPr>
      <w:r>
        <w:rPr>
          <w:rStyle w:val="HideTWBExt"/>
        </w:rPr>
        <w:t>&lt;FootprintIntro&gt;</w:t>
      </w:r>
      <w:r>
        <w:t>Le rapporteur pour avis déclare, sous sa responsabilité exclusive, n’avoir reçu aucune contribution d’une entité ou personne devant être indiquée dans la présente annexe en vertu de l’article 8 de l’annexe I du règlement intérieur.</w:t>
      </w:r>
      <w:r>
        <w:rPr>
          <w:rStyle w:val="HideTWBExt"/>
        </w:rPr>
        <w:t>&lt;/FootprintIntro&gt;</w:t>
      </w:r>
    </w:p>
    <w:p w:rsidR="00445EC4" w:rsidRPr="00445EC4" w:rsidRDefault="00445EC4" w:rsidP="00895114"/>
    <w:p w:rsidR="00445EC4" w:rsidRPr="00445EC4" w:rsidRDefault="00445EC4" w:rsidP="00895114"/>
    <w:bookmarkEnd w:id="10"/>
    <w:p w:rsidR="00445EC4" w:rsidRPr="00445EC4" w:rsidRDefault="00445EC4" w:rsidP="00895114">
      <w:r>
        <w:br w:type="page"/>
      </w:r>
    </w:p>
    <w:p w:rsidR="00445EC4" w:rsidRPr="00445EC4" w:rsidRDefault="00445EC4" w:rsidP="00895114">
      <w:pPr>
        <w:pStyle w:val="PageHeadingNotTOC"/>
      </w:pPr>
      <w:r>
        <w:t>PROCÉDURE DE LA COMMISSION SAISIE POUR AVIS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45EC4" w:rsidRPr="00445EC4" w:rsidTr="00FA23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Accord au titre de la convention des Nations unies sur le droit de la mer et portant sur la conservation et l’utilisation durable de la biodiversité marine des zones ne relevant pas de la juridiction nationale</w:t>
            </w:r>
          </w:p>
        </w:tc>
      </w:tr>
      <w:tr w:rsidR="00445EC4" w:rsidRPr="00445EC4" w:rsidTr="00FA23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2023/0353(NLE)</w:t>
            </w:r>
          </w:p>
        </w:tc>
      </w:tr>
      <w:tr w:rsidR="00445EC4" w:rsidRPr="00445EC4" w:rsidTr="00FA23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Commission compétente au fond</w:t>
            </w:r>
          </w:p>
          <w:p w:rsidR="00445EC4" w:rsidRPr="00445EC4" w:rsidRDefault="00445EC4" w:rsidP="00FA2399">
            <w:pPr>
              <w:autoSpaceDE w:val="0"/>
              <w:autoSpaceDN w:val="0"/>
              <w:adjustRightInd w:val="0"/>
              <w:rPr>
                <w:color w:val="000000"/>
                <w:sz w:val="20"/>
              </w:rPr>
            </w:pP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ENVI</w:t>
            </w:r>
          </w:p>
          <w:p w:rsidR="00445EC4" w:rsidRPr="00445EC4" w:rsidRDefault="00445EC4" w:rsidP="00FA2399">
            <w:pPr>
              <w:autoSpaceDE w:val="0"/>
              <w:autoSpaceDN w:val="0"/>
              <w:adjustRightInd w:val="0"/>
              <w:rPr>
                <w:color w:val="000000"/>
                <w:sz w:val="2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rFonts w:ascii="sans-serif" w:hAnsi="sans-serif" w:cs="sans-serif"/>
                <w:color w:val="000000"/>
                <w:szCs w:val="24"/>
              </w:rPr>
            </w:pPr>
          </w:p>
        </w:tc>
      </w:tr>
      <w:tr w:rsidR="00445EC4" w:rsidRPr="00445EC4" w:rsidTr="00FA23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Rapporteur pour avis</w:t>
            </w:r>
          </w:p>
          <w:p w:rsidR="00445EC4" w:rsidRPr="00445EC4" w:rsidRDefault="00445EC4" w:rsidP="00FA2399">
            <w:pPr>
              <w:autoSpaceDE w:val="0"/>
              <w:autoSpaceDN w:val="0"/>
              <w:adjustRightInd w:val="0"/>
              <w:rPr>
                <w:color w:val="000000"/>
                <w:sz w:val="20"/>
              </w:rPr>
            </w:pPr>
            <w:r>
              <w:rPr>
                <w:color w:val="000000"/>
                <w:sz w:val="20"/>
              </w:rPr>
              <w:t>       Date de la nomination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Predrag Fred Matić</w:t>
            </w:r>
          </w:p>
          <w:p w:rsidR="00445EC4" w:rsidRPr="00445EC4" w:rsidRDefault="00445EC4" w:rsidP="00FA2399">
            <w:pPr>
              <w:autoSpaceDE w:val="0"/>
              <w:autoSpaceDN w:val="0"/>
              <w:adjustRightInd w:val="0"/>
              <w:rPr>
                <w:color w:val="000000"/>
                <w:sz w:val="20"/>
              </w:rPr>
            </w:pPr>
            <w:r>
              <w:rPr>
                <w:color w:val="000000"/>
                <w:sz w:val="20"/>
              </w:rPr>
              <w:t>13.12.2023</w:t>
            </w:r>
          </w:p>
        </w:tc>
      </w:tr>
      <w:tr w:rsidR="00445EC4" w:rsidRPr="00445EC4" w:rsidTr="00FA23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7.12.2023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19.2.2024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rFonts w:ascii="sans-serif" w:hAnsi="sans-serif" w:cs="sans-serif"/>
                <w:color w:val="000000"/>
                <w:szCs w:val="24"/>
              </w:rPr>
            </w:pPr>
          </w:p>
        </w:tc>
      </w:tr>
      <w:tr w:rsidR="00445EC4" w:rsidRPr="00445EC4" w:rsidTr="00FA23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rFonts w:ascii="sans-serif" w:hAnsi="sans-serif" w:cs="sans-serif"/>
                <w:color w:val="000000"/>
                <w:szCs w:val="24"/>
              </w:rPr>
            </w:pPr>
          </w:p>
        </w:tc>
      </w:tr>
      <w:tr w:rsidR="00445EC4" w:rsidRPr="00445EC4" w:rsidTr="00FA23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w:t>
            </w:r>
          </w:p>
          <w:p w:rsidR="00445EC4" w:rsidRPr="00445EC4" w:rsidRDefault="00445EC4" w:rsidP="00FA2399">
            <w:pPr>
              <w:autoSpaceDE w:val="0"/>
              <w:autoSpaceDN w:val="0"/>
              <w:adjustRightInd w:val="0"/>
              <w:rPr>
                <w:color w:val="000000"/>
                <w:sz w:val="20"/>
              </w:rPr>
            </w:pPr>
            <w:r>
              <w:rPr>
                <w:color w:val="000000"/>
                <w:sz w:val="20"/>
              </w:rPr>
              <w:t>–:</w:t>
            </w:r>
          </w:p>
          <w:p w:rsidR="00445EC4" w:rsidRPr="00445EC4" w:rsidRDefault="00445EC4" w:rsidP="00FA239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20</w:t>
            </w:r>
          </w:p>
          <w:p w:rsidR="00445EC4" w:rsidRPr="00445EC4" w:rsidRDefault="00445EC4" w:rsidP="00FA2399">
            <w:pPr>
              <w:autoSpaceDE w:val="0"/>
              <w:autoSpaceDN w:val="0"/>
              <w:adjustRightInd w:val="0"/>
              <w:rPr>
                <w:color w:val="000000"/>
                <w:sz w:val="20"/>
              </w:rPr>
            </w:pPr>
            <w:r>
              <w:rPr>
                <w:color w:val="000000"/>
                <w:sz w:val="20"/>
              </w:rPr>
              <w:t>1</w:t>
            </w:r>
          </w:p>
          <w:p w:rsidR="00445EC4" w:rsidRPr="00445EC4" w:rsidRDefault="00445EC4" w:rsidP="00FA2399">
            <w:pPr>
              <w:autoSpaceDE w:val="0"/>
              <w:autoSpaceDN w:val="0"/>
              <w:adjustRightInd w:val="0"/>
              <w:rPr>
                <w:color w:val="000000"/>
                <w:sz w:val="20"/>
              </w:rPr>
            </w:pPr>
            <w:r>
              <w:rPr>
                <w:color w:val="000000"/>
                <w:sz w:val="20"/>
              </w:rPr>
              <w:t>1</w:t>
            </w:r>
          </w:p>
        </w:tc>
      </w:tr>
      <w:tr w:rsidR="00445EC4" w:rsidRPr="00445EC4" w:rsidTr="00FA239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Clara Aguilera, João Albuquerque, Pietro Bartolo, Isabel Carvalhais, Rosanna Conte, Rosa D’Amato, Anja Haga, Ladislav Ilčić, France Jamet, Pierre Karleskind, Predrag Fred Matić, Francisco José Millán Mon, Caroline Roose, Bert-Jan Ruissen, Marc Tarabella, Emma Wiesner, Theodoros Zagorakis</w:t>
            </w:r>
          </w:p>
        </w:tc>
      </w:tr>
      <w:tr w:rsidR="00445EC4" w:rsidRPr="00445EC4" w:rsidTr="00FA23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Catherine Chabaud, Ska Keller, Grace O’Sullivan</w:t>
            </w:r>
          </w:p>
        </w:tc>
      </w:tr>
      <w:tr w:rsidR="00445EC4" w:rsidRPr="00445EC4" w:rsidTr="00FA239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45EC4" w:rsidRPr="00445EC4" w:rsidRDefault="00445EC4" w:rsidP="00FA2399">
            <w:pPr>
              <w:autoSpaceDE w:val="0"/>
              <w:autoSpaceDN w:val="0"/>
              <w:adjustRightInd w:val="0"/>
              <w:rPr>
                <w:color w:val="000000"/>
                <w:sz w:val="20"/>
              </w:rPr>
            </w:pPr>
            <w:r>
              <w:rPr>
                <w:color w:val="000000"/>
                <w:sz w:val="20"/>
              </w:rPr>
              <w:t>Karolin Braunsberger-Reinhold, Henk Jan Ormel</w:t>
            </w:r>
          </w:p>
        </w:tc>
      </w:tr>
    </w:tbl>
    <w:p w:rsidR="00445EC4" w:rsidRPr="00445EC4" w:rsidRDefault="00445EC4" w:rsidP="00895114"/>
    <w:p w:rsidR="00445EC4" w:rsidRPr="00445EC4" w:rsidRDefault="00445EC4" w:rsidP="00895114">
      <w:pPr>
        <w:sectPr w:rsidR="00445EC4" w:rsidRPr="00445EC4" w:rsidSect="00445E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45EC4" w:rsidRPr="00445EC4" w:rsidRDefault="00445EC4" w:rsidP="00895114">
      <w:pPr>
        <w:pStyle w:val="PageHeadingNotTOC"/>
      </w:pPr>
      <w:r>
        <w:t>VOTE FINAL PAR APPEL NOMINAL EN COMMISSION SAISIE POUR AVIS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5EC4" w:rsidRPr="00445EC4" w:rsidTr="00FA2399">
        <w:trPr>
          <w:cantSplit/>
        </w:trPr>
        <w:tc>
          <w:tcPr>
            <w:tcW w:w="1701" w:type="dxa"/>
            <w:shd w:val="pct10" w:color="000000" w:fill="FFFFFF"/>
            <w:vAlign w:val="center"/>
          </w:tcPr>
          <w:p w:rsidR="00445EC4" w:rsidRPr="00445EC4" w:rsidRDefault="00445EC4" w:rsidP="00FA2399">
            <w:pPr>
              <w:pStyle w:val="RollCallVotes"/>
            </w:pPr>
            <w:r>
              <w:t>20</w:t>
            </w:r>
          </w:p>
        </w:tc>
        <w:tc>
          <w:tcPr>
            <w:tcW w:w="7371" w:type="dxa"/>
            <w:shd w:val="pct10" w:color="000000" w:fill="FFFFFF"/>
          </w:tcPr>
          <w:p w:rsidR="00445EC4" w:rsidRPr="00445EC4" w:rsidRDefault="00445EC4" w:rsidP="00FA2399">
            <w:pPr>
              <w:pStyle w:val="RollCallSymbols14pt"/>
            </w:pPr>
            <w:r>
              <w:t>+</w:t>
            </w:r>
          </w:p>
        </w:tc>
      </w:tr>
      <w:tr w:rsidR="00445EC4" w:rsidRPr="00445EC4" w:rsidTr="00FA2399">
        <w:trPr>
          <w:cantSplit/>
        </w:trPr>
        <w:tc>
          <w:tcPr>
            <w:tcW w:w="1701" w:type="dxa"/>
            <w:shd w:val="clear" w:color="auto" w:fill="FFFFFF"/>
          </w:tcPr>
          <w:p w:rsidR="00445EC4" w:rsidRPr="00445EC4" w:rsidRDefault="00445EC4" w:rsidP="00FA2399">
            <w:pPr>
              <w:pStyle w:val="RollCallTable"/>
            </w:pPr>
            <w:r>
              <w:t>ECR</w:t>
            </w:r>
          </w:p>
        </w:tc>
        <w:tc>
          <w:tcPr>
            <w:tcW w:w="7371" w:type="dxa"/>
            <w:shd w:val="clear" w:color="auto" w:fill="FFFFFF"/>
          </w:tcPr>
          <w:p w:rsidR="00445EC4" w:rsidRPr="00445EC4" w:rsidRDefault="00445EC4" w:rsidP="00FA2399">
            <w:pPr>
              <w:pStyle w:val="RollCallTable"/>
            </w:pPr>
            <w:r>
              <w:t>Ladislav Ilčić, Bert-Jan Ruissen</w:t>
            </w:r>
          </w:p>
        </w:tc>
      </w:tr>
      <w:tr w:rsidR="00445EC4" w:rsidRPr="00445EC4" w:rsidTr="00FA2399">
        <w:trPr>
          <w:cantSplit/>
        </w:trPr>
        <w:tc>
          <w:tcPr>
            <w:tcW w:w="1701" w:type="dxa"/>
            <w:shd w:val="clear" w:color="auto" w:fill="FFFFFF"/>
          </w:tcPr>
          <w:p w:rsidR="00445EC4" w:rsidRPr="00445EC4" w:rsidRDefault="00445EC4" w:rsidP="00FA2399">
            <w:pPr>
              <w:pStyle w:val="RollCallTable"/>
            </w:pPr>
            <w:r>
              <w:t>NI</w:t>
            </w:r>
          </w:p>
        </w:tc>
        <w:tc>
          <w:tcPr>
            <w:tcW w:w="7371" w:type="dxa"/>
            <w:shd w:val="clear" w:color="auto" w:fill="FFFFFF"/>
          </w:tcPr>
          <w:p w:rsidR="00445EC4" w:rsidRPr="00445EC4" w:rsidRDefault="00445EC4" w:rsidP="00FA2399">
            <w:pPr>
              <w:pStyle w:val="RollCallTable"/>
            </w:pPr>
            <w:r>
              <w:t>Marc Tarabella</w:t>
            </w:r>
          </w:p>
        </w:tc>
      </w:tr>
      <w:tr w:rsidR="00445EC4" w:rsidRPr="00445EC4" w:rsidTr="00FA2399">
        <w:trPr>
          <w:cantSplit/>
        </w:trPr>
        <w:tc>
          <w:tcPr>
            <w:tcW w:w="1701" w:type="dxa"/>
            <w:shd w:val="clear" w:color="auto" w:fill="FFFFFF"/>
          </w:tcPr>
          <w:p w:rsidR="00445EC4" w:rsidRPr="00445EC4" w:rsidRDefault="00445EC4" w:rsidP="00FA2399">
            <w:pPr>
              <w:pStyle w:val="RollCallTable"/>
            </w:pPr>
            <w:r>
              <w:t>PPE</w:t>
            </w:r>
          </w:p>
        </w:tc>
        <w:tc>
          <w:tcPr>
            <w:tcW w:w="7371" w:type="dxa"/>
            <w:shd w:val="clear" w:color="auto" w:fill="FFFFFF"/>
          </w:tcPr>
          <w:p w:rsidR="00445EC4" w:rsidRPr="00445EC4" w:rsidRDefault="00445EC4" w:rsidP="00FA2399">
            <w:pPr>
              <w:pStyle w:val="RollCallTable"/>
            </w:pPr>
            <w:r>
              <w:t>Karolin Braunsberger-Reinhold, Anja Haga, Francisco José Millán Mon, Henk Jan Ormel, Theodoros Zagorakis</w:t>
            </w:r>
          </w:p>
        </w:tc>
      </w:tr>
      <w:tr w:rsidR="00445EC4" w:rsidRPr="00445EC4" w:rsidTr="00FA2399">
        <w:trPr>
          <w:cantSplit/>
        </w:trPr>
        <w:tc>
          <w:tcPr>
            <w:tcW w:w="1701" w:type="dxa"/>
            <w:shd w:val="clear" w:color="auto" w:fill="FFFFFF"/>
          </w:tcPr>
          <w:p w:rsidR="00445EC4" w:rsidRPr="00445EC4" w:rsidRDefault="00445EC4" w:rsidP="00FA2399">
            <w:pPr>
              <w:pStyle w:val="RollCallTable"/>
            </w:pPr>
            <w:r>
              <w:t>Renew</w:t>
            </w:r>
          </w:p>
        </w:tc>
        <w:tc>
          <w:tcPr>
            <w:tcW w:w="7371" w:type="dxa"/>
            <w:shd w:val="clear" w:color="auto" w:fill="FFFFFF"/>
          </w:tcPr>
          <w:p w:rsidR="00445EC4" w:rsidRPr="00445EC4" w:rsidRDefault="00445EC4" w:rsidP="00FA2399">
            <w:pPr>
              <w:pStyle w:val="RollCallTable"/>
            </w:pPr>
            <w:r>
              <w:t>Catherine Chabaud, Pierre Karleskind, Emma Wiesner</w:t>
            </w:r>
          </w:p>
        </w:tc>
      </w:tr>
      <w:tr w:rsidR="00445EC4" w:rsidRPr="000252AD" w:rsidTr="00FA2399">
        <w:trPr>
          <w:cantSplit/>
        </w:trPr>
        <w:tc>
          <w:tcPr>
            <w:tcW w:w="1701" w:type="dxa"/>
            <w:shd w:val="clear" w:color="auto" w:fill="FFFFFF"/>
          </w:tcPr>
          <w:p w:rsidR="00445EC4" w:rsidRPr="00445EC4" w:rsidRDefault="00445EC4" w:rsidP="00FA2399">
            <w:pPr>
              <w:pStyle w:val="RollCallTable"/>
            </w:pPr>
            <w:r>
              <w:t>S&amp;D</w:t>
            </w:r>
          </w:p>
        </w:tc>
        <w:tc>
          <w:tcPr>
            <w:tcW w:w="7371" w:type="dxa"/>
            <w:shd w:val="clear" w:color="auto" w:fill="FFFFFF"/>
          </w:tcPr>
          <w:p w:rsidR="00445EC4" w:rsidRPr="000252AD" w:rsidRDefault="00445EC4" w:rsidP="00FA2399">
            <w:pPr>
              <w:pStyle w:val="RollCallTable"/>
              <w:rPr>
                <w:lang w:val="pt-PT"/>
              </w:rPr>
            </w:pPr>
            <w:r w:rsidRPr="000252AD">
              <w:rPr>
                <w:lang w:val="pt-PT"/>
              </w:rPr>
              <w:t>Clara Aguilera, João Albuquerque, Pietro Bartolo, Isabel Carvalhais, Predrag Fred Matić</w:t>
            </w:r>
          </w:p>
        </w:tc>
      </w:tr>
      <w:tr w:rsidR="00445EC4" w:rsidRPr="000252AD" w:rsidTr="00FA2399">
        <w:trPr>
          <w:cantSplit/>
        </w:trPr>
        <w:tc>
          <w:tcPr>
            <w:tcW w:w="1701" w:type="dxa"/>
            <w:shd w:val="clear" w:color="auto" w:fill="FFFFFF"/>
          </w:tcPr>
          <w:p w:rsidR="00445EC4" w:rsidRPr="00445EC4" w:rsidRDefault="00445EC4" w:rsidP="00FA2399">
            <w:pPr>
              <w:pStyle w:val="RollCallTable"/>
            </w:pPr>
            <w:r>
              <w:t>Verts/ALE</w:t>
            </w:r>
          </w:p>
        </w:tc>
        <w:tc>
          <w:tcPr>
            <w:tcW w:w="7371" w:type="dxa"/>
            <w:shd w:val="clear" w:color="auto" w:fill="FFFFFF"/>
          </w:tcPr>
          <w:p w:rsidR="00445EC4" w:rsidRPr="000252AD" w:rsidRDefault="00445EC4" w:rsidP="00FA2399">
            <w:pPr>
              <w:pStyle w:val="RollCallTable"/>
              <w:rPr>
                <w:lang w:val="it-IT"/>
              </w:rPr>
            </w:pPr>
            <w:r w:rsidRPr="000252AD">
              <w:rPr>
                <w:lang w:val="it-IT"/>
              </w:rPr>
              <w:t>Rosa D'Amato, Ska Keller, Grace O'Sullivan, Caroline Roose</w:t>
            </w:r>
          </w:p>
        </w:tc>
      </w:tr>
    </w:tbl>
    <w:p w:rsidR="00445EC4" w:rsidRPr="000252AD" w:rsidRDefault="00445EC4" w:rsidP="00895114">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5EC4" w:rsidRPr="00445EC4" w:rsidTr="00FA2399">
        <w:trPr>
          <w:cantSplit/>
        </w:trPr>
        <w:tc>
          <w:tcPr>
            <w:tcW w:w="1701" w:type="dxa"/>
            <w:shd w:val="pct10" w:color="000000" w:fill="FFFFFF"/>
            <w:vAlign w:val="center"/>
          </w:tcPr>
          <w:p w:rsidR="00445EC4" w:rsidRPr="00445EC4" w:rsidRDefault="00445EC4" w:rsidP="00FA2399">
            <w:pPr>
              <w:pStyle w:val="RollCallVotes"/>
            </w:pPr>
            <w:r>
              <w:t>1</w:t>
            </w:r>
          </w:p>
        </w:tc>
        <w:tc>
          <w:tcPr>
            <w:tcW w:w="7371" w:type="dxa"/>
            <w:shd w:val="pct10" w:color="000000" w:fill="FFFFFF"/>
          </w:tcPr>
          <w:p w:rsidR="00445EC4" w:rsidRPr="00445EC4" w:rsidRDefault="00445EC4" w:rsidP="00FA2399">
            <w:pPr>
              <w:pStyle w:val="RollCallSymbols14pt"/>
            </w:pPr>
            <w:r>
              <w:t>–</w:t>
            </w:r>
          </w:p>
        </w:tc>
      </w:tr>
      <w:tr w:rsidR="00445EC4" w:rsidRPr="00445EC4" w:rsidTr="00FA2399">
        <w:trPr>
          <w:cantSplit/>
        </w:trPr>
        <w:tc>
          <w:tcPr>
            <w:tcW w:w="1701" w:type="dxa"/>
            <w:shd w:val="clear" w:color="auto" w:fill="FFFFFF"/>
          </w:tcPr>
          <w:p w:rsidR="00445EC4" w:rsidRPr="00445EC4" w:rsidRDefault="00445EC4" w:rsidP="00FA2399">
            <w:pPr>
              <w:pStyle w:val="RollCallTable"/>
            </w:pPr>
            <w:r>
              <w:t>ID</w:t>
            </w:r>
          </w:p>
        </w:tc>
        <w:tc>
          <w:tcPr>
            <w:tcW w:w="7371" w:type="dxa"/>
            <w:shd w:val="clear" w:color="auto" w:fill="FFFFFF"/>
          </w:tcPr>
          <w:p w:rsidR="00445EC4" w:rsidRPr="00445EC4" w:rsidRDefault="00445EC4" w:rsidP="00FA2399">
            <w:pPr>
              <w:pStyle w:val="RollCallTable"/>
            </w:pPr>
            <w:r>
              <w:t>France Jamet</w:t>
            </w:r>
          </w:p>
        </w:tc>
      </w:tr>
    </w:tbl>
    <w:p w:rsidR="00445EC4" w:rsidRPr="00445EC4" w:rsidRDefault="00445EC4" w:rsidP="0089511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5EC4" w:rsidRPr="00445EC4" w:rsidTr="00FA2399">
        <w:trPr>
          <w:cantSplit/>
        </w:trPr>
        <w:tc>
          <w:tcPr>
            <w:tcW w:w="1701" w:type="dxa"/>
            <w:shd w:val="pct10" w:color="000000" w:fill="FFFFFF"/>
            <w:vAlign w:val="center"/>
          </w:tcPr>
          <w:p w:rsidR="00445EC4" w:rsidRPr="00445EC4" w:rsidRDefault="00445EC4" w:rsidP="00FA2399">
            <w:pPr>
              <w:pStyle w:val="RollCallVotes"/>
            </w:pPr>
            <w:r>
              <w:t>1</w:t>
            </w:r>
          </w:p>
        </w:tc>
        <w:tc>
          <w:tcPr>
            <w:tcW w:w="7371" w:type="dxa"/>
            <w:shd w:val="pct10" w:color="000000" w:fill="FFFFFF"/>
          </w:tcPr>
          <w:p w:rsidR="00445EC4" w:rsidRPr="00445EC4" w:rsidRDefault="00445EC4" w:rsidP="00FA2399">
            <w:pPr>
              <w:pStyle w:val="RollCallSymbols14pt"/>
            </w:pPr>
            <w:r>
              <w:t>0</w:t>
            </w:r>
          </w:p>
        </w:tc>
      </w:tr>
      <w:tr w:rsidR="00445EC4" w:rsidRPr="00445EC4" w:rsidTr="00FA2399">
        <w:trPr>
          <w:cantSplit/>
        </w:trPr>
        <w:tc>
          <w:tcPr>
            <w:tcW w:w="1701" w:type="dxa"/>
            <w:shd w:val="clear" w:color="auto" w:fill="FFFFFF"/>
          </w:tcPr>
          <w:p w:rsidR="00445EC4" w:rsidRPr="00445EC4" w:rsidRDefault="00445EC4" w:rsidP="00FA2399">
            <w:pPr>
              <w:pStyle w:val="RollCallTable"/>
            </w:pPr>
            <w:r>
              <w:t>ID</w:t>
            </w:r>
          </w:p>
        </w:tc>
        <w:tc>
          <w:tcPr>
            <w:tcW w:w="7371" w:type="dxa"/>
            <w:shd w:val="clear" w:color="auto" w:fill="FFFFFF"/>
          </w:tcPr>
          <w:p w:rsidR="00445EC4" w:rsidRPr="00445EC4" w:rsidRDefault="00445EC4" w:rsidP="00FA2399">
            <w:pPr>
              <w:pStyle w:val="RollCallTable"/>
            </w:pPr>
            <w:r>
              <w:t>Rosanna Conte</w:t>
            </w:r>
          </w:p>
        </w:tc>
      </w:tr>
    </w:tbl>
    <w:p w:rsidR="00445EC4" w:rsidRPr="00445EC4" w:rsidRDefault="00445EC4" w:rsidP="00895114">
      <w:pPr>
        <w:pStyle w:val="Normal12a"/>
      </w:pPr>
    </w:p>
    <w:p w:rsidR="00445EC4" w:rsidRPr="00445EC4" w:rsidRDefault="00445EC4" w:rsidP="00895114">
      <w:r>
        <w:t>Légende:</w:t>
      </w:r>
    </w:p>
    <w:p w:rsidR="00445EC4" w:rsidRPr="00445EC4" w:rsidRDefault="00445EC4" w:rsidP="00895114">
      <w:pPr>
        <w:pStyle w:val="RollCallTabs"/>
      </w:pPr>
      <w:r>
        <w:t>+</w:t>
      </w:r>
      <w:r>
        <w:tab/>
        <w:t>:</w:t>
      </w:r>
      <w:r>
        <w:tab/>
        <w:t>pour</w:t>
      </w:r>
    </w:p>
    <w:p w:rsidR="00445EC4" w:rsidRPr="00445EC4" w:rsidRDefault="00445EC4" w:rsidP="00895114">
      <w:pPr>
        <w:pStyle w:val="RollCallTabs"/>
      </w:pPr>
      <w:r>
        <w:t>–</w:t>
      </w:r>
      <w:r>
        <w:tab/>
        <w:t>:</w:t>
      </w:r>
      <w:r>
        <w:tab/>
        <w:t>contre</w:t>
      </w:r>
    </w:p>
    <w:p w:rsidR="00445EC4" w:rsidRPr="00445EC4" w:rsidRDefault="00445EC4" w:rsidP="00895114">
      <w:pPr>
        <w:pStyle w:val="RollCallTabs"/>
      </w:pPr>
      <w:r>
        <w:t>0</w:t>
      </w:r>
      <w:r>
        <w:tab/>
        <w:t>:</w:t>
      </w:r>
      <w:r>
        <w:tab/>
        <w:t>abstention</w:t>
      </w:r>
    </w:p>
    <w:p w:rsidR="00445EC4" w:rsidRPr="00445EC4" w:rsidRDefault="00445EC4" w:rsidP="00895114"/>
    <w:p w:rsidR="00445EC4" w:rsidRPr="00445EC4" w:rsidRDefault="00445EC4" w:rsidP="00967E8B"/>
    <w:p w:rsidR="00445EC4" w:rsidRPr="00445EC4" w:rsidRDefault="00445EC4" w:rsidP="00445EC4"/>
    <w:p w:rsidR="00445EC4" w:rsidRPr="00445EC4" w:rsidRDefault="00445EC4" w:rsidP="002151DE">
      <w:pPr>
        <w:sectPr w:rsidR="00445EC4" w:rsidRPr="00445EC4" w:rsidSect="00445EC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151DE" w:rsidRPr="00445EC4" w:rsidRDefault="002151DE" w:rsidP="002151DE"/>
    <w:p w:rsidR="002151DE" w:rsidRPr="00445EC4" w:rsidRDefault="002151DE" w:rsidP="002151DE">
      <w:pPr>
        <w:pStyle w:val="PageHeading"/>
      </w:pPr>
      <w:bookmarkStart w:id="11" w:name="ProcPageRR"/>
      <w:bookmarkStart w:id="12" w:name="_Toc164687296"/>
      <w:r>
        <w:t>PROCÉDURE DE LA COMMISSION COMPÉTENTE AU FOND</w:t>
      </w:r>
      <w:bookmarkEnd w:id="12"/>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151DE" w:rsidRPr="00445E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Accord au titre de la convention des Nations unies sur le droit de la mer et portant sur la conservation et l’utilisation durable de la biodiversité marine des zones ne relevant pas de la juridiction nationale</w:t>
            </w:r>
          </w:p>
        </w:tc>
      </w:tr>
      <w:tr w:rsidR="002151DE" w:rsidRPr="00445EC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07577/2024 – C9-0135/2024 – 2023/0353(NLE)</w:t>
            </w:r>
          </w:p>
        </w:tc>
      </w:tr>
      <w:tr w:rsidR="002151DE" w:rsidRPr="00445E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Date de la consultation ou de la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26.3.2024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r>
      <w:tr w:rsidR="002151DE" w:rsidRPr="00445EC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Commission compétente au fond</w:t>
            </w:r>
          </w:p>
          <w:p w:rsidR="002151DE" w:rsidRPr="00445EC4" w:rsidRDefault="002151DE">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ENVI</w:t>
            </w:r>
          </w:p>
          <w:p w:rsidR="002151DE" w:rsidRPr="00445EC4" w:rsidRDefault="002151DE">
            <w:pPr>
              <w:autoSpaceDE w:val="0"/>
              <w:autoSpaceDN w:val="0"/>
              <w:adjustRightInd w:val="0"/>
              <w:rPr>
                <w:color w:val="000000"/>
                <w:sz w:val="20"/>
              </w:rPr>
            </w:pPr>
          </w:p>
        </w:tc>
        <w:tc>
          <w:tcPr>
            <w:tcW w:w="1474" w:type="dxa"/>
            <w:tcBorders>
              <w:top w:val="nil"/>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r>
      <w:tr w:rsidR="002151DE" w:rsidRPr="00445E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Commissions saisies pour avis</w:t>
            </w:r>
          </w:p>
          <w:p w:rsidR="002151DE" w:rsidRPr="00445EC4" w:rsidRDefault="002151DE">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PECH</w:t>
            </w:r>
          </w:p>
          <w:p w:rsidR="002151DE" w:rsidRPr="00445EC4" w:rsidRDefault="002151DE">
            <w:pPr>
              <w:autoSpaceDE w:val="0"/>
              <w:autoSpaceDN w:val="0"/>
              <w:adjustRightInd w:val="0"/>
              <w:rPr>
                <w:color w:val="000000"/>
                <w:sz w:val="2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r>
      <w:tr w:rsidR="002151DE" w:rsidRPr="00445E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Rapporteurs</w:t>
            </w:r>
          </w:p>
          <w:p w:rsidR="002151DE" w:rsidRPr="00445EC4" w:rsidRDefault="002151DE">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Silvia Modig</w:t>
            </w:r>
          </w:p>
          <w:p w:rsidR="002151DE" w:rsidRPr="00445EC4" w:rsidRDefault="002151DE">
            <w:pPr>
              <w:autoSpaceDE w:val="0"/>
              <w:autoSpaceDN w:val="0"/>
              <w:adjustRightInd w:val="0"/>
              <w:rPr>
                <w:color w:val="000000"/>
                <w:sz w:val="20"/>
              </w:rPr>
            </w:pPr>
            <w:r>
              <w:rPr>
                <w:color w:val="000000"/>
                <w:sz w:val="20"/>
              </w:rPr>
              <w:t>4.12.2023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r>
      <w:tr w:rsidR="002151DE" w:rsidRPr="00445E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18.4.2024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r>
      <w:tr w:rsidR="002151DE" w:rsidRPr="00445EC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18.4.2024</w:t>
            </w:r>
          </w:p>
        </w:tc>
        <w:tc>
          <w:tcPr>
            <w:tcW w:w="1474" w:type="dxa"/>
            <w:tcBorders>
              <w:top w:val="nil"/>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rFonts w:ascii="sans-serif" w:hAnsi="sans-serif" w:cs="sans-serif"/>
                <w:color w:val="000000"/>
                <w:szCs w:val="24"/>
              </w:rPr>
            </w:pPr>
          </w:p>
        </w:tc>
      </w:tr>
      <w:tr w:rsidR="002151DE" w:rsidRPr="00445E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w:t>
            </w:r>
          </w:p>
          <w:p w:rsidR="002151DE" w:rsidRPr="00445EC4" w:rsidRDefault="002151DE">
            <w:pPr>
              <w:autoSpaceDE w:val="0"/>
              <w:autoSpaceDN w:val="0"/>
              <w:adjustRightInd w:val="0"/>
              <w:rPr>
                <w:color w:val="000000"/>
                <w:sz w:val="20"/>
              </w:rPr>
            </w:pPr>
            <w:r>
              <w:rPr>
                <w:color w:val="000000"/>
                <w:sz w:val="20"/>
              </w:rPr>
              <w:t>–:</w:t>
            </w:r>
          </w:p>
          <w:p w:rsidR="002151DE" w:rsidRPr="00445EC4" w:rsidRDefault="002151D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49</w:t>
            </w:r>
          </w:p>
          <w:p w:rsidR="002151DE" w:rsidRPr="00445EC4" w:rsidRDefault="002151DE">
            <w:pPr>
              <w:autoSpaceDE w:val="0"/>
              <w:autoSpaceDN w:val="0"/>
              <w:adjustRightInd w:val="0"/>
              <w:rPr>
                <w:color w:val="000000"/>
                <w:sz w:val="20"/>
              </w:rPr>
            </w:pPr>
            <w:r>
              <w:rPr>
                <w:color w:val="000000"/>
                <w:sz w:val="20"/>
              </w:rPr>
              <w:t>3</w:t>
            </w:r>
          </w:p>
          <w:p w:rsidR="002151DE" w:rsidRPr="00445EC4" w:rsidRDefault="002151DE">
            <w:pPr>
              <w:autoSpaceDE w:val="0"/>
              <w:autoSpaceDN w:val="0"/>
              <w:adjustRightInd w:val="0"/>
              <w:rPr>
                <w:color w:val="000000"/>
                <w:sz w:val="20"/>
              </w:rPr>
            </w:pPr>
            <w:r>
              <w:rPr>
                <w:color w:val="000000"/>
                <w:sz w:val="20"/>
              </w:rPr>
              <w:t>1</w:t>
            </w:r>
          </w:p>
        </w:tc>
      </w:tr>
      <w:tr w:rsidR="002151DE" w:rsidRPr="00445EC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Mathilde Androuët, Maria Arena, Margrete Auken, Marek Paweł Balt, Traian Băsescu, Aurélia Beigneux, Hildegard Bentele, Malin Björk, Delara Burkhardt, Pascal Canfin, Sara Cerdas, Mohammed Chahim, Nathalie Colin-Oesterlé, Corina Crețu, Heléne Fritzon, Andreas Glück, Jan Huitema, Karin Karlsbro, Joanna Kopcińska, Sylvia Limmer, César Luena, Marian-Jean Marinescu, Marina Mesure, Tilly Metz, Silvia Modig, Ville Niinistö, Ljudmila Novak, Henk Jan Ormel, Jessica Polfjärd, Frédérique Ries, María Soraya Rodríguez Ramos, Sándor Rónai, Maria Veronica Rossi, Laurence Sailliet, Nils Torvalds, Edina Tóth, Petar Vitanov, Mick Wallace, Pernille Weiss, Stefania Zambelli</w:t>
            </w:r>
          </w:p>
        </w:tc>
      </w:tr>
      <w:tr w:rsidR="002151DE" w:rsidRPr="00445EC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Mercedes Bresso, Catherine Chabaud, Radan Kanev, Ska Keller, Manuela Ripa, István Ujhelyi</w:t>
            </w:r>
          </w:p>
        </w:tc>
      </w:tr>
      <w:tr w:rsidR="002151DE" w:rsidRPr="00445EC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Karolin Braunsberger-Reinhold, Jakop G. Dalunde, Frances Fitzgerald, Henrike Hahn, Katrin Langensiepen, Aušra Seibutytė, Thomas Waitz</w:t>
            </w:r>
          </w:p>
        </w:tc>
      </w:tr>
      <w:tr w:rsidR="002151DE" w:rsidRPr="00445EC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151DE" w:rsidRPr="00445EC4" w:rsidRDefault="002151DE">
            <w:pPr>
              <w:autoSpaceDE w:val="0"/>
              <w:autoSpaceDN w:val="0"/>
              <w:adjustRightInd w:val="0"/>
              <w:rPr>
                <w:color w:val="000000"/>
                <w:sz w:val="20"/>
              </w:rPr>
            </w:pPr>
            <w:r>
              <w:rPr>
                <w:color w:val="000000"/>
                <w:sz w:val="20"/>
              </w:rPr>
              <w:t>19.4.2024</w:t>
            </w:r>
          </w:p>
        </w:tc>
      </w:tr>
    </w:tbl>
    <w:p w:rsidR="002151DE" w:rsidRPr="00445EC4" w:rsidRDefault="002151DE"/>
    <w:bookmarkEnd w:id="11"/>
    <w:p w:rsidR="00445EC4" w:rsidRPr="00445EC4" w:rsidRDefault="00445EC4">
      <w:pPr>
        <w:widowControl/>
      </w:pPr>
      <w:r>
        <w:br w:type="page"/>
      </w:r>
    </w:p>
    <w:p w:rsidR="00445EC4" w:rsidRPr="00370269" w:rsidRDefault="00370269" w:rsidP="00445EC4">
      <w:pPr>
        <w:pStyle w:val="PageHeading"/>
        <w:rPr>
          <w:szCs w:val="24"/>
        </w:rPr>
      </w:pPr>
      <w:bookmarkStart w:id="13" w:name="RollCallPageRR"/>
      <w:bookmarkStart w:id="14" w:name="_Toc164687297"/>
      <w:r>
        <w:rPr>
          <w:color w:val="111111"/>
        </w:rPr>
        <w:t>VOTE FINAL PAR APPEL NOMINAL EN COMMISSION COMPÉTENTE AU FOND</w:t>
      </w:r>
      <w:bookmarkEnd w:id="14"/>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5EC4" w:rsidRPr="00445EC4" w:rsidTr="001579D7">
        <w:trPr>
          <w:cantSplit/>
        </w:trPr>
        <w:tc>
          <w:tcPr>
            <w:tcW w:w="1701" w:type="dxa"/>
            <w:shd w:val="pct10" w:color="000000" w:fill="FFFFFF"/>
            <w:vAlign w:val="center"/>
          </w:tcPr>
          <w:p w:rsidR="00445EC4" w:rsidRPr="00445EC4" w:rsidRDefault="00445EC4" w:rsidP="001579D7">
            <w:pPr>
              <w:pStyle w:val="RollCallVotes"/>
            </w:pPr>
            <w:r>
              <w:t>49</w:t>
            </w:r>
          </w:p>
        </w:tc>
        <w:tc>
          <w:tcPr>
            <w:tcW w:w="7371" w:type="dxa"/>
            <w:shd w:val="pct10" w:color="000000" w:fill="FFFFFF"/>
          </w:tcPr>
          <w:p w:rsidR="00445EC4" w:rsidRPr="00445EC4" w:rsidRDefault="00445EC4" w:rsidP="001579D7">
            <w:pPr>
              <w:pStyle w:val="RollCallSymbols14pt"/>
            </w:pPr>
            <w:r>
              <w:t>+</w:t>
            </w:r>
          </w:p>
        </w:tc>
      </w:tr>
      <w:tr w:rsidR="00445EC4" w:rsidRPr="00445EC4" w:rsidTr="001579D7">
        <w:trPr>
          <w:cantSplit/>
        </w:trPr>
        <w:tc>
          <w:tcPr>
            <w:tcW w:w="1701" w:type="dxa"/>
            <w:shd w:val="clear" w:color="auto" w:fill="FFFFFF"/>
          </w:tcPr>
          <w:p w:rsidR="00445EC4" w:rsidRPr="00445EC4" w:rsidRDefault="00445EC4" w:rsidP="001579D7">
            <w:pPr>
              <w:pStyle w:val="RollCallTable"/>
            </w:pPr>
            <w:r>
              <w:t>ECR</w:t>
            </w:r>
          </w:p>
        </w:tc>
        <w:tc>
          <w:tcPr>
            <w:tcW w:w="7371" w:type="dxa"/>
            <w:shd w:val="clear" w:color="auto" w:fill="FFFFFF"/>
          </w:tcPr>
          <w:p w:rsidR="00445EC4" w:rsidRPr="00445EC4" w:rsidRDefault="00445EC4" w:rsidP="001579D7">
            <w:pPr>
              <w:pStyle w:val="RollCallTable"/>
            </w:pPr>
            <w:r>
              <w:t>Joanna Kopcińska</w:t>
            </w:r>
          </w:p>
        </w:tc>
      </w:tr>
      <w:tr w:rsidR="00445EC4" w:rsidRPr="00445EC4" w:rsidTr="001579D7">
        <w:trPr>
          <w:cantSplit/>
        </w:trPr>
        <w:tc>
          <w:tcPr>
            <w:tcW w:w="1701" w:type="dxa"/>
            <w:shd w:val="clear" w:color="auto" w:fill="FFFFFF"/>
          </w:tcPr>
          <w:p w:rsidR="00445EC4" w:rsidRPr="00445EC4" w:rsidRDefault="00445EC4" w:rsidP="001579D7">
            <w:pPr>
              <w:pStyle w:val="RollCallTable"/>
            </w:pPr>
            <w:r>
              <w:t>NI</w:t>
            </w:r>
          </w:p>
        </w:tc>
        <w:tc>
          <w:tcPr>
            <w:tcW w:w="7371" w:type="dxa"/>
            <w:shd w:val="clear" w:color="auto" w:fill="FFFFFF"/>
          </w:tcPr>
          <w:p w:rsidR="00445EC4" w:rsidRPr="00445EC4" w:rsidRDefault="00445EC4" w:rsidP="001579D7">
            <w:pPr>
              <w:pStyle w:val="RollCallTable"/>
            </w:pPr>
            <w:r>
              <w:t>Edina Tóth</w:t>
            </w:r>
          </w:p>
        </w:tc>
      </w:tr>
      <w:tr w:rsidR="00445EC4" w:rsidRPr="00445EC4" w:rsidTr="001579D7">
        <w:trPr>
          <w:cantSplit/>
        </w:trPr>
        <w:tc>
          <w:tcPr>
            <w:tcW w:w="1701" w:type="dxa"/>
            <w:shd w:val="clear" w:color="auto" w:fill="FFFFFF"/>
          </w:tcPr>
          <w:p w:rsidR="00445EC4" w:rsidRPr="00445EC4" w:rsidRDefault="00445EC4" w:rsidP="001579D7">
            <w:pPr>
              <w:pStyle w:val="RollCallTable"/>
            </w:pPr>
            <w:r>
              <w:t>PPE</w:t>
            </w:r>
          </w:p>
        </w:tc>
        <w:tc>
          <w:tcPr>
            <w:tcW w:w="7371" w:type="dxa"/>
            <w:shd w:val="clear" w:color="auto" w:fill="FFFFFF"/>
          </w:tcPr>
          <w:p w:rsidR="00445EC4" w:rsidRPr="00445EC4" w:rsidRDefault="00445EC4" w:rsidP="001579D7">
            <w:pPr>
              <w:pStyle w:val="RollCallTable"/>
            </w:pPr>
            <w:r>
              <w:t>Traian Băsescu, Hildegard Bentele, Karolin Braunsberger-Reinhold, Nathalie Colin-Oesterlé, Frances Fitzgerald, Radan Kanev, Marian-Jean Marinescu, Ljudmila Novak, Henk Jan Ormel, Jessica Polfjärd, Laurence Sailliet, Aušra Seibutytė, Pernille Weiss, Stefania Zambelli</w:t>
            </w:r>
          </w:p>
        </w:tc>
      </w:tr>
      <w:tr w:rsidR="00445EC4" w:rsidRPr="00445EC4" w:rsidTr="001579D7">
        <w:trPr>
          <w:cantSplit/>
        </w:trPr>
        <w:tc>
          <w:tcPr>
            <w:tcW w:w="1701" w:type="dxa"/>
            <w:shd w:val="clear" w:color="auto" w:fill="FFFFFF"/>
          </w:tcPr>
          <w:p w:rsidR="00445EC4" w:rsidRPr="00445EC4" w:rsidRDefault="00445EC4" w:rsidP="001579D7">
            <w:pPr>
              <w:pStyle w:val="RollCallTable"/>
            </w:pPr>
            <w:r>
              <w:t>Renew</w:t>
            </w:r>
          </w:p>
        </w:tc>
        <w:tc>
          <w:tcPr>
            <w:tcW w:w="7371" w:type="dxa"/>
            <w:shd w:val="clear" w:color="auto" w:fill="FFFFFF"/>
          </w:tcPr>
          <w:p w:rsidR="00445EC4" w:rsidRPr="00445EC4" w:rsidRDefault="00445EC4" w:rsidP="001579D7">
            <w:pPr>
              <w:pStyle w:val="RollCallTable"/>
            </w:pPr>
            <w:r>
              <w:t>Pascal Canfin, Catherine Chabaud, Andreas Glück, Jan Huitema, Karin Karlsbro, Frédérique Ries, María Soraya Rodríguez Ramos, Nils Torvalds</w:t>
            </w:r>
          </w:p>
        </w:tc>
      </w:tr>
      <w:tr w:rsidR="00445EC4" w:rsidRPr="00445EC4" w:rsidTr="001579D7">
        <w:trPr>
          <w:cantSplit/>
        </w:trPr>
        <w:tc>
          <w:tcPr>
            <w:tcW w:w="1701" w:type="dxa"/>
            <w:shd w:val="clear" w:color="auto" w:fill="FFFFFF"/>
          </w:tcPr>
          <w:p w:rsidR="00445EC4" w:rsidRPr="00445EC4" w:rsidRDefault="00445EC4" w:rsidP="001579D7">
            <w:pPr>
              <w:pStyle w:val="RollCallTable"/>
            </w:pPr>
            <w:r>
              <w:t>S&amp;D</w:t>
            </w:r>
          </w:p>
        </w:tc>
        <w:tc>
          <w:tcPr>
            <w:tcW w:w="7371" w:type="dxa"/>
            <w:shd w:val="clear" w:color="auto" w:fill="FFFFFF"/>
          </w:tcPr>
          <w:p w:rsidR="00445EC4" w:rsidRPr="00445EC4" w:rsidRDefault="00445EC4" w:rsidP="001579D7">
            <w:pPr>
              <w:pStyle w:val="RollCallTable"/>
            </w:pPr>
            <w:r>
              <w:t>Maria Arena, Marek Paweł Balt, Mercedes Bresso, Delara Burkhardt, Sara Cerdas, Mohammed Chahim, Corina Crețu, Heléne Fritzon, César Luena, Sándor Rónai, István Ujhelyi, Petar Vitanov</w:t>
            </w:r>
          </w:p>
        </w:tc>
      </w:tr>
      <w:tr w:rsidR="00445EC4" w:rsidRPr="000252AD" w:rsidTr="001579D7">
        <w:trPr>
          <w:cantSplit/>
        </w:trPr>
        <w:tc>
          <w:tcPr>
            <w:tcW w:w="1701" w:type="dxa"/>
            <w:shd w:val="clear" w:color="auto" w:fill="FFFFFF"/>
          </w:tcPr>
          <w:p w:rsidR="00445EC4" w:rsidRPr="00445EC4" w:rsidRDefault="00445EC4" w:rsidP="001579D7">
            <w:pPr>
              <w:pStyle w:val="RollCallTable"/>
            </w:pPr>
            <w:r>
              <w:t>The Left</w:t>
            </w:r>
          </w:p>
        </w:tc>
        <w:tc>
          <w:tcPr>
            <w:tcW w:w="7371" w:type="dxa"/>
            <w:shd w:val="clear" w:color="auto" w:fill="FFFFFF"/>
          </w:tcPr>
          <w:p w:rsidR="00445EC4" w:rsidRPr="000252AD" w:rsidRDefault="00445EC4" w:rsidP="001579D7">
            <w:pPr>
              <w:pStyle w:val="RollCallTable"/>
              <w:rPr>
                <w:lang w:val="sv-SE"/>
              </w:rPr>
            </w:pPr>
            <w:r w:rsidRPr="000252AD">
              <w:rPr>
                <w:lang w:val="sv-SE"/>
              </w:rPr>
              <w:t>Malin Björk, Marina Mesure, Silvia Modig, Mick Wallace</w:t>
            </w:r>
          </w:p>
        </w:tc>
      </w:tr>
      <w:tr w:rsidR="00445EC4" w:rsidRPr="00445EC4" w:rsidTr="001579D7">
        <w:trPr>
          <w:cantSplit/>
        </w:trPr>
        <w:tc>
          <w:tcPr>
            <w:tcW w:w="1701" w:type="dxa"/>
            <w:shd w:val="clear" w:color="auto" w:fill="FFFFFF"/>
          </w:tcPr>
          <w:p w:rsidR="00445EC4" w:rsidRPr="00445EC4" w:rsidRDefault="00445EC4" w:rsidP="001579D7">
            <w:pPr>
              <w:pStyle w:val="RollCallTable"/>
            </w:pPr>
            <w:r>
              <w:t>Verts/ALE</w:t>
            </w:r>
          </w:p>
        </w:tc>
        <w:tc>
          <w:tcPr>
            <w:tcW w:w="7371" w:type="dxa"/>
            <w:shd w:val="clear" w:color="auto" w:fill="FFFFFF"/>
          </w:tcPr>
          <w:p w:rsidR="00445EC4" w:rsidRPr="00445EC4" w:rsidRDefault="00445EC4" w:rsidP="001579D7">
            <w:pPr>
              <w:pStyle w:val="RollCallTable"/>
            </w:pPr>
            <w:r>
              <w:t>Margrete Auken, Jakop G. Dalunde, Henrike Hahn, Ska Keller, Katrin Langensiepen, Tilly Metz, Ville Niinistö, Manuela Ripa, Thomas Waitz</w:t>
            </w:r>
          </w:p>
        </w:tc>
      </w:tr>
    </w:tbl>
    <w:p w:rsidR="00445EC4" w:rsidRPr="00445EC4" w:rsidRDefault="00445EC4" w:rsidP="00445EC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5EC4" w:rsidRPr="00445EC4" w:rsidTr="001579D7">
        <w:trPr>
          <w:cantSplit/>
        </w:trPr>
        <w:tc>
          <w:tcPr>
            <w:tcW w:w="1701" w:type="dxa"/>
            <w:shd w:val="pct10" w:color="000000" w:fill="FFFFFF"/>
            <w:vAlign w:val="center"/>
          </w:tcPr>
          <w:p w:rsidR="00445EC4" w:rsidRPr="00445EC4" w:rsidRDefault="00445EC4" w:rsidP="001579D7">
            <w:pPr>
              <w:pStyle w:val="RollCallVotes"/>
            </w:pPr>
            <w:r>
              <w:t>3</w:t>
            </w:r>
          </w:p>
        </w:tc>
        <w:tc>
          <w:tcPr>
            <w:tcW w:w="7371" w:type="dxa"/>
            <w:shd w:val="pct10" w:color="000000" w:fill="FFFFFF"/>
          </w:tcPr>
          <w:p w:rsidR="00445EC4" w:rsidRPr="00445EC4" w:rsidRDefault="00445EC4" w:rsidP="001579D7">
            <w:pPr>
              <w:pStyle w:val="RollCallSymbols14pt"/>
            </w:pPr>
            <w:r>
              <w:t>-</w:t>
            </w:r>
          </w:p>
        </w:tc>
      </w:tr>
      <w:tr w:rsidR="00445EC4" w:rsidRPr="00445EC4" w:rsidTr="001579D7">
        <w:trPr>
          <w:cantSplit/>
        </w:trPr>
        <w:tc>
          <w:tcPr>
            <w:tcW w:w="1701" w:type="dxa"/>
            <w:shd w:val="clear" w:color="auto" w:fill="FFFFFF"/>
          </w:tcPr>
          <w:p w:rsidR="00445EC4" w:rsidRPr="00445EC4" w:rsidRDefault="00445EC4" w:rsidP="001579D7">
            <w:pPr>
              <w:pStyle w:val="RollCallTable"/>
            </w:pPr>
            <w:r>
              <w:t>ID</w:t>
            </w:r>
          </w:p>
        </w:tc>
        <w:tc>
          <w:tcPr>
            <w:tcW w:w="7371" w:type="dxa"/>
            <w:shd w:val="clear" w:color="auto" w:fill="FFFFFF"/>
          </w:tcPr>
          <w:p w:rsidR="00445EC4" w:rsidRPr="00445EC4" w:rsidRDefault="00445EC4" w:rsidP="001579D7">
            <w:pPr>
              <w:pStyle w:val="RollCallTable"/>
            </w:pPr>
            <w:r>
              <w:t>Mathilde Androuët, Aurélia Beigneux, Sylvia Limmer</w:t>
            </w:r>
          </w:p>
        </w:tc>
      </w:tr>
    </w:tbl>
    <w:p w:rsidR="00445EC4" w:rsidRPr="00445EC4" w:rsidRDefault="00445EC4" w:rsidP="00445EC4"/>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45EC4" w:rsidRPr="00445EC4" w:rsidTr="001579D7">
        <w:trPr>
          <w:cantSplit/>
        </w:trPr>
        <w:tc>
          <w:tcPr>
            <w:tcW w:w="1701" w:type="dxa"/>
            <w:shd w:val="pct10" w:color="000000" w:fill="FFFFFF"/>
            <w:vAlign w:val="center"/>
          </w:tcPr>
          <w:p w:rsidR="00445EC4" w:rsidRPr="00445EC4" w:rsidRDefault="00445EC4" w:rsidP="001579D7">
            <w:pPr>
              <w:pStyle w:val="RollCallVotes"/>
            </w:pPr>
            <w:r>
              <w:t>1</w:t>
            </w:r>
          </w:p>
        </w:tc>
        <w:tc>
          <w:tcPr>
            <w:tcW w:w="7371" w:type="dxa"/>
            <w:shd w:val="pct10" w:color="000000" w:fill="FFFFFF"/>
          </w:tcPr>
          <w:p w:rsidR="00445EC4" w:rsidRPr="00445EC4" w:rsidRDefault="00445EC4" w:rsidP="001579D7">
            <w:pPr>
              <w:pStyle w:val="RollCallSymbols14pt"/>
            </w:pPr>
            <w:r>
              <w:t>0</w:t>
            </w:r>
          </w:p>
        </w:tc>
      </w:tr>
      <w:tr w:rsidR="00445EC4" w:rsidRPr="00445EC4" w:rsidTr="001579D7">
        <w:trPr>
          <w:cantSplit/>
        </w:trPr>
        <w:tc>
          <w:tcPr>
            <w:tcW w:w="1701" w:type="dxa"/>
            <w:shd w:val="clear" w:color="auto" w:fill="FFFFFF"/>
          </w:tcPr>
          <w:p w:rsidR="00445EC4" w:rsidRPr="00445EC4" w:rsidRDefault="00445EC4" w:rsidP="001579D7">
            <w:pPr>
              <w:pStyle w:val="RollCallTable"/>
            </w:pPr>
            <w:r>
              <w:t>ID</w:t>
            </w:r>
          </w:p>
        </w:tc>
        <w:tc>
          <w:tcPr>
            <w:tcW w:w="7371" w:type="dxa"/>
            <w:shd w:val="clear" w:color="auto" w:fill="FFFFFF"/>
          </w:tcPr>
          <w:p w:rsidR="00445EC4" w:rsidRPr="00445EC4" w:rsidRDefault="00445EC4" w:rsidP="001579D7">
            <w:pPr>
              <w:pStyle w:val="RollCallTable"/>
            </w:pPr>
            <w:r>
              <w:t>Maria Veronica Rossi</w:t>
            </w:r>
          </w:p>
        </w:tc>
      </w:tr>
    </w:tbl>
    <w:p w:rsidR="00445EC4" w:rsidRPr="00445EC4" w:rsidRDefault="00445EC4" w:rsidP="00445EC4">
      <w:pPr>
        <w:pStyle w:val="Normal12a"/>
      </w:pPr>
    </w:p>
    <w:p w:rsidR="00445EC4" w:rsidRPr="00445EC4" w:rsidRDefault="00445EC4" w:rsidP="00445EC4">
      <w:r>
        <w:t>Légende des signes utilisés:</w:t>
      </w:r>
    </w:p>
    <w:p w:rsidR="00445EC4" w:rsidRPr="00445EC4" w:rsidRDefault="00445EC4" w:rsidP="00445EC4">
      <w:pPr>
        <w:pStyle w:val="RollCallTabs"/>
      </w:pPr>
      <w:r>
        <w:t>+</w:t>
      </w:r>
      <w:r>
        <w:tab/>
        <w:t>:</w:t>
      </w:r>
      <w:r>
        <w:tab/>
        <w:t>pour</w:t>
      </w:r>
    </w:p>
    <w:p w:rsidR="00445EC4" w:rsidRPr="00445EC4" w:rsidRDefault="00445EC4" w:rsidP="00445EC4">
      <w:pPr>
        <w:pStyle w:val="RollCallTabs"/>
      </w:pPr>
      <w:r>
        <w:t>-</w:t>
      </w:r>
      <w:r>
        <w:tab/>
        <w:t>:</w:t>
      </w:r>
      <w:r>
        <w:tab/>
        <w:t>contre</w:t>
      </w:r>
    </w:p>
    <w:p w:rsidR="00445EC4" w:rsidRPr="00445EC4" w:rsidRDefault="00445EC4" w:rsidP="00445EC4">
      <w:pPr>
        <w:pStyle w:val="RollCallTabs"/>
      </w:pPr>
      <w:r>
        <w:t>0</w:t>
      </w:r>
      <w:r>
        <w:tab/>
        <w:t>:</w:t>
      </w:r>
      <w:r>
        <w:tab/>
        <w:t>abstention</w:t>
      </w:r>
    </w:p>
    <w:p w:rsidR="00445EC4" w:rsidRPr="00445EC4" w:rsidRDefault="00445EC4" w:rsidP="00445EC4"/>
    <w:bookmarkEnd w:id="13"/>
    <w:p w:rsidR="00445EC4" w:rsidRPr="00445EC4" w:rsidRDefault="00445EC4" w:rsidP="00445EC4"/>
    <w:p w:rsidR="00363B94" w:rsidRPr="00445EC4" w:rsidRDefault="00363B94" w:rsidP="00445EC4"/>
    <w:sectPr w:rsidR="00363B94" w:rsidRPr="00445EC4" w:rsidSect="00445EC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EB4" w:rsidRPr="00445EC4" w:rsidRDefault="00C64EB4">
      <w:r w:rsidRPr="00445EC4">
        <w:separator/>
      </w:r>
    </w:p>
  </w:endnote>
  <w:endnote w:type="continuationSeparator" w:id="0">
    <w:p w:rsidR="00C64EB4" w:rsidRPr="00445EC4" w:rsidRDefault="00C64EB4">
      <w:r w:rsidRPr="00445E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ptos">
    <w:altName w:val="Times New Roman"/>
    <w:charset w:val="00"/>
    <w:family w:val="auto"/>
    <w:pitch w:val="default"/>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EC4" w:rsidRPr="00445EC4" w:rsidRDefault="00445EC4" w:rsidP="00445EC4">
    <w:pPr>
      <w:pStyle w:val="EPFooter"/>
    </w:pPr>
    <w:r w:rsidRPr="00445EC4">
      <w:t>PE</w:t>
    </w:r>
    <w:r w:rsidRPr="00445EC4">
      <w:rPr>
        <w:rStyle w:val="HideTWBExt"/>
      </w:rPr>
      <w:t>&lt;NoPE&gt;</w:t>
    </w:r>
    <w:r w:rsidRPr="00445EC4">
      <w:t>759.989</w:t>
    </w:r>
    <w:r w:rsidRPr="00445EC4">
      <w:rPr>
        <w:rStyle w:val="HideTWBExt"/>
      </w:rPr>
      <w:t>&lt;/NoPE&gt;&lt;Version&gt;</w:t>
    </w:r>
    <w:r w:rsidRPr="00445EC4">
      <w:t>v02-00</w:t>
    </w:r>
    <w:r w:rsidRPr="00445EC4">
      <w:rPr>
        <w:rStyle w:val="HideTWBExt"/>
      </w:rPr>
      <w:t>&lt;/Version&gt;</w:t>
    </w:r>
    <w:r w:rsidRPr="00445EC4">
      <w:tab/>
    </w:r>
    <w:r w:rsidRPr="00445EC4">
      <w:fldChar w:fldCharType="begin"/>
    </w:r>
    <w:r w:rsidRPr="00445EC4">
      <w:instrText xml:space="preserve"> PAGE  \* MERGEFORMAT </w:instrText>
    </w:r>
    <w:r w:rsidRPr="00445EC4">
      <w:fldChar w:fldCharType="separate"/>
    </w:r>
    <w:r w:rsidR="000252AD">
      <w:rPr>
        <w:noProof/>
      </w:rPr>
      <w:t>6</w:t>
    </w:r>
    <w:r w:rsidRPr="00445EC4">
      <w:fldChar w:fldCharType="end"/>
    </w:r>
    <w:r w:rsidRPr="00445EC4">
      <w:t>/</w:t>
    </w:r>
    <w:r w:rsidR="000252AD">
      <w:fldChar w:fldCharType="begin"/>
    </w:r>
    <w:r w:rsidR="000252AD">
      <w:instrText xml:space="preserve"> NUMPAGES  \* MERGEFORMAT </w:instrText>
    </w:r>
    <w:r w:rsidR="000252AD">
      <w:fldChar w:fldCharType="separate"/>
    </w:r>
    <w:r w:rsidR="000252AD">
      <w:rPr>
        <w:noProof/>
      </w:rPr>
      <w:t>18</w:t>
    </w:r>
    <w:r w:rsidR="000252AD">
      <w:rPr>
        <w:noProof/>
      </w:rPr>
      <w:fldChar w:fldCharType="end"/>
    </w:r>
    <w:r w:rsidRPr="00445EC4">
      <w:tab/>
    </w:r>
    <w:r w:rsidRPr="00445EC4">
      <w:rPr>
        <w:rStyle w:val="HideTWBExt"/>
      </w:rPr>
      <w:t>&lt;PathFdR&gt;</w:t>
    </w:r>
    <w:r w:rsidRPr="00445EC4">
      <w:t>RR\1301553FR.docx</w:t>
    </w:r>
    <w:r w:rsidRPr="00445EC4">
      <w:rPr>
        <w:rStyle w:val="HideTWBExt"/>
      </w:rPr>
      <w:t>&lt;/PathFdR&gt;</w:t>
    </w:r>
  </w:p>
  <w:p w:rsidR="00C97177" w:rsidRPr="00445EC4" w:rsidRDefault="00445EC4" w:rsidP="00445EC4">
    <w:pPr>
      <w:pStyle w:val="EPFooter2"/>
    </w:pPr>
    <w:r w:rsidRPr="00445EC4">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EC4" w:rsidRPr="00445EC4" w:rsidRDefault="00445EC4" w:rsidP="00445EC4">
    <w:pPr>
      <w:pStyle w:val="EPFooter"/>
    </w:pPr>
    <w:r w:rsidRPr="00445EC4">
      <w:rPr>
        <w:rStyle w:val="HideTWBExt"/>
      </w:rPr>
      <w:t>&lt;PathFdR&gt;</w:t>
    </w:r>
    <w:r w:rsidRPr="00445EC4">
      <w:t>RR\1301553FR.docx</w:t>
    </w:r>
    <w:r w:rsidRPr="00445EC4">
      <w:rPr>
        <w:rStyle w:val="HideTWBExt"/>
      </w:rPr>
      <w:t>&lt;/PathFdR&gt;</w:t>
    </w:r>
    <w:r w:rsidRPr="00445EC4">
      <w:tab/>
    </w:r>
    <w:r w:rsidRPr="00445EC4">
      <w:fldChar w:fldCharType="begin"/>
    </w:r>
    <w:r w:rsidRPr="00445EC4">
      <w:instrText xml:space="preserve"> PAGE  \* MERGEFORMAT </w:instrText>
    </w:r>
    <w:r w:rsidRPr="00445EC4">
      <w:fldChar w:fldCharType="separate"/>
    </w:r>
    <w:r w:rsidR="000252AD">
      <w:rPr>
        <w:noProof/>
      </w:rPr>
      <w:t>5</w:t>
    </w:r>
    <w:r w:rsidRPr="00445EC4">
      <w:fldChar w:fldCharType="end"/>
    </w:r>
    <w:r w:rsidRPr="00445EC4">
      <w:t>/</w:t>
    </w:r>
    <w:r w:rsidR="000252AD">
      <w:fldChar w:fldCharType="begin"/>
    </w:r>
    <w:r w:rsidR="000252AD">
      <w:instrText xml:space="preserve"> NUMPAGES  \* MERGEFORMAT </w:instrText>
    </w:r>
    <w:r w:rsidR="000252AD">
      <w:fldChar w:fldCharType="separate"/>
    </w:r>
    <w:r w:rsidR="000252AD">
      <w:rPr>
        <w:noProof/>
      </w:rPr>
      <w:t>18</w:t>
    </w:r>
    <w:r w:rsidR="000252AD">
      <w:rPr>
        <w:noProof/>
      </w:rPr>
      <w:fldChar w:fldCharType="end"/>
    </w:r>
    <w:r w:rsidRPr="00445EC4">
      <w:tab/>
      <w:t>PE</w:t>
    </w:r>
    <w:r w:rsidRPr="00445EC4">
      <w:rPr>
        <w:rStyle w:val="HideTWBExt"/>
      </w:rPr>
      <w:t>&lt;NoPE&gt;</w:t>
    </w:r>
    <w:r w:rsidRPr="00445EC4">
      <w:t>759.989</w:t>
    </w:r>
    <w:r w:rsidRPr="00445EC4">
      <w:rPr>
        <w:rStyle w:val="HideTWBExt"/>
      </w:rPr>
      <w:t>&lt;/NoPE&gt;&lt;Version&gt;</w:t>
    </w:r>
    <w:r w:rsidRPr="00445EC4">
      <w:t>v02-00</w:t>
    </w:r>
    <w:r w:rsidRPr="00445EC4">
      <w:rPr>
        <w:rStyle w:val="HideTWBExt"/>
      </w:rPr>
      <w:t>&lt;/Version&gt;</w:t>
    </w:r>
  </w:p>
  <w:p w:rsidR="00C97177" w:rsidRPr="00445EC4" w:rsidRDefault="00445EC4" w:rsidP="00445EC4">
    <w:pPr>
      <w:pStyle w:val="EPFooter2"/>
    </w:pPr>
    <w:r w:rsidRPr="00445EC4">
      <w:tab/>
    </w:r>
    <w:r w:rsidRPr="00445EC4">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EC4" w:rsidRPr="00445EC4" w:rsidRDefault="00445EC4" w:rsidP="00445EC4">
    <w:pPr>
      <w:pStyle w:val="EPFooter"/>
    </w:pPr>
    <w:r w:rsidRPr="00445EC4">
      <w:rPr>
        <w:rStyle w:val="HideTWBExt"/>
      </w:rPr>
      <w:t>&lt;PathFdR&gt;</w:t>
    </w:r>
    <w:r w:rsidRPr="00445EC4">
      <w:t>RR\1301553FR.docx</w:t>
    </w:r>
    <w:r w:rsidRPr="00445EC4">
      <w:rPr>
        <w:rStyle w:val="HideTWBExt"/>
      </w:rPr>
      <w:t>&lt;/PathFdR&gt;</w:t>
    </w:r>
    <w:r w:rsidRPr="00445EC4">
      <w:tab/>
    </w:r>
    <w:r w:rsidRPr="00445EC4">
      <w:tab/>
      <w:t>PE</w:t>
    </w:r>
    <w:r w:rsidRPr="00445EC4">
      <w:rPr>
        <w:rStyle w:val="HideTWBExt"/>
      </w:rPr>
      <w:t>&lt;NoPE&gt;</w:t>
    </w:r>
    <w:r w:rsidRPr="00445EC4">
      <w:t>759.989</w:t>
    </w:r>
    <w:r w:rsidRPr="00445EC4">
      <w:rPr>
        <w:rStyle w:val="HideTWBExt"/>
      </w:rPr>
      <w:t>&lt;/NoPE&gt;&lt;Version&gt;</w:t>
    </w:r>
    <w:r w:rsidRPr="00445EC4">
      <w:t>v02-00</w:t>
    </w:r>
    <w:r w:rsidRPr="00445EC4">
      <w:rPr>
        <w:rStyle w:val="HideTWBExt"/>
      </w:rPr>
      <w:t>&lt;/Version&gt;</w:t>
    </w:r>
  </w:p>
  <w:p w:rsidR="00C97177" w:rsidRPr="00445EC4" w:rsidRDefault="00445EC4" w:rsidP="00445EC4">
    <w:pPr>
      <w:pStyle w:val="EPFooter2"/>
    </w:pPr>
    <w:r w:rsidRPr="00445EC4">
      <w:t>FR</w:t>
    </w:r>
    <w:r w:rsidRPr="00445EC4">
      <w:tab/>
    </w:r>
    <w:r w:rsidRPr="00445EC4">
      <w:rPr>
        <w:b w:val="0"/>
        <w:i/>
        <w:color w:val="C0C0C0"/>
        <w:sz w:val="22"/>
      </w:rPr>
      <w:t>Unie dans la diversité</w:t>
    </w:r>
    <w:r w:rsidRPr="00445EC4">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445EC4" w:rsidRDefault="0085501C" w:rsidP="00B6769C">
    <w:pPr>
      <w:pStyle w:val="EPFooter"/>
    </w:pPr>
    <w:r w:rsidRPr="00445EC4">
      <w:rPr>
        <w:rStyle w:val="HideTWBExt"/>
      </w:rPr>
      <w:t>&lt;PathFdR&gt;</w:t>
    </w:r>
    <w:r w:rsidR="00C97177" w:rsidRPr="00445EC4">
      <w:rPr>
        <w:color w:val="auto"/>
      </w:rPr>
      <w:t>PR\1299243FR.docx</w:t>
    </w:r>
    <w:r w:rsidRPr="00445EC4">
      <w:rPr>
        <w:rStyle w:val="HideTWBExt"/>
      </w:rPr>
      <w:t>&lt;/PathFdR&gt;</w:t>
    </w:r>
    <w:r w:rsidRPr="00445EC4">
      <w:tab/>
    </w:r>
    <w:r w:rsidRPr="00445EC4">
      <w:tab/>
      <w:t>PE</w:t>
    </w:r>
    <w:r w:rsidRPr="00445EC4">
      <w:rPr>
        <w:rStyle w:val="HideTWBExt"/>
      </w:rPr>
      <w:t>&lt;NoPE&gt;</w:t>
    </w:r>
    <w:r w:rsidR="00C97177" w:rsidRPr="00445EC4">
      <w:rPr>
        <w:color w:val="auto"/>
      </w:rPr>
      <w:t>759.989</w:t>
    </w:r>
    <w:r w:rsidRPr="00445EC4">
      <w:rPr>
        <w:rStyle w:val="HideTWBExt"/>
      </w:rPr>
      <w:t>&lt;/NoPE&gt;&lt;Version&gt;</w:t>
    </w:r>
    <w:r w:rsidR="00C64EB4" w:rsidRPr="00445EC4">
      <w:t>v</w:t>
    </w:r>
    <w:r w:rsidR="00C97177" w:rsidRPr="00445EC4">
      <w:rPr>
        <w:color w:val="auto"/>
      </w:rPr>
      <w:t>01-00</w:t>
    </w:r>
    <w:r w:rsidRPr="00445EC4">
      <w:rPr>
        <w:rStyle w:val="HideTWBExt"/>
      </w:rPr>
      <w:t>&lt;/Version&gt;</w:t>
    </w:r>
  </w:p>
  <w:p w:rsidR="0085501C" w:rsidRPr="00445EC4" w:rsidRDefault="00595C26" w:rsidP="009612AA">
    <w:pPr>
      <w:pStyle w:val="EPFooter2"/>
      <w:tabs>
        <w:tab w:val="clear" w:pos="4535"/>
        <w:tab w:val="center" w:pos="4536"/>
      </w:tabs>
    </w:pPr>
    <w:fldSimple w:instr=" DOCPROPERTY &quot;&lt;Extension&gt;&quot; ">
      <w:r w:rsidR="000252AD">
        <w:t>FR</w:t>
      </w:r>
    </w:fldSimple>
    <w:r w:rsidR="0085501C" w:rsidRPr="00445EC4">
      <w:tab/>
    </w:r>
    <w:r w:rsidR="00C97177" w:rsidRPr="00445EC4">
      <w:rPr>
        <w:b w:val="0"/>
        <w:i/>
        <w:color w:val="C0C0C0"/>
        <w:sz w:val="22"/>
        <w:szCs w:val="22"/>
      </w:rPr>
      <w:t>Unie dans la diversité</w:t>
    </w:r>
    <w:r w:rsidR="0085501C" w:rsidRPr="00445EC4">
      <w:tab/>
    </w:r>
    <w:fldSimple w:instr=" DOCPROPERTY &quot;&lt;Extension&gt;&quot; ">
      <w:r w:rsidR="000252AD">
        <w:t>FR</w:t>
      </w:r>
    </w:fldSimple>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EC4" w:rsidRPr="00445EC4" w:rsidRDefault="00445EC4" w:rsidP="00895114">
    <w:pPr>
      <w:pStyle w:val="EPFooter"/>
    </w:pPr>
    <w:r w:rsidRPr="00445EC4">
      <w:rPr>
        <w:rStyle w:val="HideTWBExt"/>
      </w:rPr>
      <w:t>&lt;PathFdR&gt;</w:t>
    </w:r>
    <w:r w:rsidRPr="00445EC4">
      <w:t>AD\1299322FR.docx</w:t>
    </w:r>
    <w:r w:rsidRPr="00445EC4">
      <w:rPr>
        <w:rStyle w:val="HideTWBExt"/>
      </w:rPr>
      <w:t>&lt;/PathFdR&gt;</w:t>
    </w:r>
    <w:r w:rsidRPr="00445EC4">
      <w:tab/>
    </w:r>
    <w:r w:rsidRPr="00445EC4">
      <w:tab/>
      <w:t>PE</w:t>
    </w:r>
    <w:r w:rsidRPr="00445EC4">
      <w:rPr>
        <w:rStyle w:val="HideTWBExt"/>
      </w:rPr>
      <w:t>&lt;NoPE&gt;</w:t>
    </w:r>
    <w:r w:rsidRPr="00445EC4">
      <w:t>758.196</w:t>
    </w:r>
    <w:r w:rsidRPr="00445EC4">
      <w:rPr>
        <w:rStyle w:val="HideTWBExt"/>
      </w:rPr>
      <w:t>&lt;/NoPE&gt;&lt;Version&gt;</w:t>
    </w:r>
    <w:r w:rsidRPr="00445EC4">
      <w:t>v02-00</w:t>
    </w:r>
    <w:r w:rsidRPr="00445EC4">
      <w:rPr>
        <w:rStyle w:val="HideTWBExt"/>
      </w:rPr>
      <w:t>&lt;/Version&gt;</w:t>
    </w:r>
  </w:p>
  <w:p w:rsidR="00445EC4" w:rsidRPr="00445EC4" w:rsidRDefault="00445EC4" w:rsidP="00895114">
    <w:pPr>
      <w:pStyle w:val="EPFooter2"/>
    </w:pPr>
    <w:r w:rsidRPr="00445EC4">
      <w:t>FR</w:t>
    </w:r>
    <w:r w:rsidRPr="00445EC4">
      <w:tab/>
    </w:r>
    <w:r w:rsidRPr="00445EC4">
      <w:rPr>
        <w:b w:val="0"/>
        <w:i/>
        <w:color w:val="C0C0C0"/>
        <w:sz w:val="22"/>
      </w:rPr>
      <w:t>Unie dans la diversité</w:t>
    </w:r>
    <w:r w:rsidRPr="00445EC4">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EB4" w:rsidRPr="00445EC4" w:rsidRDefault="00C64EB4">
      <w:r w:rsidRPr="00445EC4">
        <w:separator/>
      </w:r>
    </w:p>
  </w:footnote>
  <w:footnote w:type="continuationSeparator" w:id="0">
    <w:p w:rsidR="00C64EB4" w:rsidRPr="00445EC4" w:rsidRDefault="00C64EB4">
      <w:r w:rsidRPr="00445E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86C" w:rsidRDefault="006E08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86C" w:rsidRDefault="006E08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86C" w:rsidRDefault="006E08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EC4" w:rsidRDefault="00445EC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EC4" w:rsidRDefault="00445EC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5EC4" w:rsidRDefault="00445E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ENVI"/>
    <w:docVar w:name="INSERTOPINKEY" w:val="PECH"/>
    <w:docVar w:name="LastEditedSection" w:val=" 1"/>
    <w:docVar w:name="strDocTypeID" w:val="PR_NLE-AP_Agreement"/>
    <w:docVar w:name="strSubDir" w:val="1301"/>
    <w:docVar w:name="TXTAUTHOR" w:val="Silvia Modig"/>
    <w:docVar w:name="TXTLANGUE" w:val="FR"/>
    <w:docVar w:name="TXTLANGUEMIN" w:val="fr"/>
    <w:docVar w:name="TXTNRNLE" w:val="2023/0353"/>
    <w:docVar w:name="TXTNRPE" w:val="759.989"/>
    <w:docVar w:name="TXTPEorAP" w:val="PE"/>
    <w:docVar w:name="TXTROUTE" w:val="RR\1301553FR.docx"/>
    <w:docVar w:name="TXTVERSION" w:val="02-00"/>
  </w:docVars>
  <w:rsids>
    <w:rsidRoot w:val="00C64EB4"/>
    <w:rsid w:val="00001D52"/>
    <w:rsid w:val="0000443F"/>
    <w:rsid w:val="000053E3"/>
    <w:rsid w:val="000252AD"/>
    <w:rsid w:val="0006167F"/>
    <w:rsid w:val="00061EFE"/>
    <w:rsid w:val="00095D8B"/>
    <w:rsid w:val="000A2F73"/>
    <w:rsid w:val="000C123D"/>
    <w:rsid w:val="000D78AF"/>
    <w:rsid w:val="00164787"/>
    <w:rsid w:val="00180664"/>
    <w:rsid w:val="001874D8"/>
    <w:rsid w:val="001D02E3"/>
    <w:rsid w:val="001F7BBE"/>
    <w:rsid w:val="0021049A"/>
    <w:rsid w:val="002151DE"/>
    <w:rsid w:val="0022685A"/>
    <w:rsid w:val="002E2E20"/>
    <w:rsid w:val="002F5A83"/>
    <w:rsid w:val="003072BE"/>
    <w:rsid w:val="00337C92"/>
    <w:rsid w:val="00363B94"/>
    <w:rsid w:val="00370269"/>
    <w:rsid w:val="003B598C"/>
    <w:rsid w:val="004174FC"/>
    <w:rsid w:val="00445EC4"/>
    <w:rsid w:val="00460BD6"/>
    <w:rsid w:val="004859B3"/>
    <w:rsid w:val="004C083C"/>
    <w:rsid w:val="004E1650"/>
    <w:rsid w:val="0053367A"/>
    <w:rsid w:val="00544D48"/>
    <w:rsid w:val="005877C0"/>
    <w:rsid w:val="00595C26"/>
    <w:rsid w:val="005A6B14"/>
    <w:rsid w:val="005D0B97"/>
    <w:rsid w:val="005F5D6C"/>
    <w:rsid w:val="006132CE"/>
    <w:rsid w:val="00613F2E"/>
    <w:rsid w:val="006A1A75"/>
    <w:rsid w:val="006A2CF5"/>
    <w:rsid w:val="006E086C"/>
    <w:rsid w:val="006F1B6F"/>
    <w:rsid w:val="00791637"/>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64EB4"/>
    <w:rsid w:val="00C97177"/>
    <w:rsid w:val="00CB5651"/>
    <w:rsid w:val="00CC20CB"/>
    <w:rsid w:val="00CF44DF"/>
    <w:rsid w:val="00D04E0B"/>
    <w:rsid w:val="00D62DA0"/>
    <w:rsid w:val="00D6543C"/>
    <w:rsid w:val="00DF594D"/>
    <w:rsid w:val="00E14FEE"/>
    <w:rsid w:val="00E55800"/>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2ACF21-8BA5-457E-80BC-A19B8477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C97177"/>
    <w:pPr>
      <w:tabs>
        <w:tab w:val="right" w:pos="454"/>
        <w:tab w:val="left" w:pos="737"/>
      </w:tabs>
      <w:ind w:left="737" w:hanging="737"/>
    </w:pPr>
    <w:rPr>
      <w:snapToGrid w:val="0"/>
      <w:sz w:val="18"/>
      <w:lang w:eastAsia="en-US"/>
    </w:rPr>
  </w:style>
  <w:style w:type="paragraph" w:customStyle="1" w:styleId="Lgendetitre">
    <w:name w:val="Légende titre"/>
    <w:basedOn w:val="Normal"/>
    <w:rsid w:val="00C97177"/>
    <w:pPr>
      <w:spacing w:before="240" w:after="240"/>
    </w:pPr>
    <w:rPr>
      <w:b/>
      <w:i/>
      <w:snapToGrid w:val="0"/>
      <w:lang w:eastAsia="en-US"/>
    </w:rPr>
  </w:style>
  <w:style w:type="paragraph" w:customStyle="1" w:styleId="Lgendestandard">
    <w:name w:val="Légende standard"/>
    <w:basedOn w:val="Normal"/>
    <w:rsid w:val="00C97177"/>
    <w:rPr>
      <w:sz w:val="18"/>
    </w:rPr>
  </w:style>
  <w:style w:type="paragraph" w:customStyle="1" w:styleId="Normal24a">
    <w:name w:val="Normal24a"/>
    <w:basedOn w:val="Normal"/>
    <w:rsid w:val="00C97177"/>
    <w:pPr>
      <w:spacing w:after="480"/>
    </w:pPr>
  </w:style>
  <w:style w:type="paragraph" w:customStyle="1" w:styleId="NormalBoldCenter">
    <w:name w:val="NormalBoldCenter"/>
    <w:basedOn w:val="Normal"/>
    <w:rsid w:val="00C97177"/>
    <w:pPr>
      <w:jc w:val="center"/>
    </w:pPr>
    <w:rPr>
      <w:b/>
    </w:rPr>
  </w:style>
  <w:style w:type="paragraph" w:styleId="Footer">
    <w:name w:val="footer"/>
    <w:basedOn w:val="Normal"/>
    <w:link w:val="FooterChar"/>
    <w:semiHidden/>
    <w:rsid w:val="006E086C"/>
    <w:pPr>
      <w:tabs>
        <w:tab w:val="center" w:pos="4680"/>
        <w:tab w:val="right" w:pos="9360"/>
      </w:tabs>
    </w:pPr>
  </w:style>
  <w:style w:type="character" w:customStyle="1" w:styleId="FooterChar">
    <w:name w:val="Footer Char"/>
    <w:basedOn w:val="DefaultParagraphFont"/>
    <w:link w:val="Footer"/>
    <w:semiHidden/>
    <w:rsid w:val="006E086C"/>
    <w:rPr>
      <w:sz w:val="24"/>
    </w:rPr>
  </w:style>
  <w:style w:type="paragraph" w:customStyle="1" w:styleId="Normal12a">
    <w:name w:val="Normal12a"/>
    <w:basedOn w:val="Normal"/>
    <w:rsid w:val="00445EC4"/>
    <w:pPr>
      <w:spacing w:after="240"/>
    </w:pPr>
  </w:style>
  <w:style w:type="paragraph" w:customStyle="1" w:styleId="PageHeadingNotTOC">
    <w:name w:val="PageHeadingNotTOC"/>
    <w:basedOn w:val="Normal"/>
    <w:rsid w:val="00445EC4"/>
    <w:pPr>
      <w:keepNext/>
      <w:spacing w:after="480"/>
      <w:jc w:val="center"/>
    </w:pPr>
    <w:rPr>
      <w:rFonts w:ascii="Arial" w:hAnsi="Arial" w:cs="Arial"/>
      <w:b/>
    </w:rPr>
  </w:style>
  <w:style w:type="paragraph" w:customStyle="1" w:styleId="NormalCenter12a">
    <w:name w:val="NormalCenter12a"/>
    <w:basedOn w:val="Normal"/>
    <w:rsid w:val="00445EC4"/>
    <w:pPr>
      <w:spacing w:after="240"/>
      <w:jc w:val="center"/>
    </w:pPr>
  </w:style>
  <w:style w:type="paragraph" w:customStyle="1" w:styleId="RollCallSymbols14pt">
    <w:name w:val="RollCallSymbols14pt"/>
    <w:basedOn w:val="Normal"/>
    <w:rsid w:val="00445EC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45EC4"/>
    <w:pPr>
      <w:tabs>
        <w:tab w:val="center" w:pos="284"/>
        <w:tab w:val="left" w:pos="426"/>
      </w:tabs>
    </w:pPr>
    <w:rPr>
      <w:snapToGrid w:val="0"/>
      <w:lang w:eastAsia="en-US"/>
    </w:rPr>
  </w:style>
  <w:style w:type="paragraph" w:customStyle="1" w:styleId="RollCallVotes">
    <w:name w:val="RollCallVotes"/>
    <w:basedOn w:val="Normal"/>
    <w:rsid w:val="00445EC4"/>
    <w:pPr>
      <w:spacing w:before="120" w:after="120"/>
      <w:jc w:val="center"/>
    </w:pPr>
    <w:rPr>
      <w:b/>
      <w:bCs/>
      <w:snapToGrid w:val="0"/>
      <w:sz w:val="16"/>
      <w:lang w:eastAsia="en-US"/>
    </w:rPr>
  </w:style>
  <w:style w:type="paragraph" w:customStyle="1" w:styleId="RollCallTable">
    <w:name w:val="RollCallTable"/>
    <w:basedOn w:val="Normal"/>
    <w:rsid w:val="00445EC4"/>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BF84C-AA48-4B7E-ACBB-D02988CAF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3711</Words>
  <Characters>20639</Characters>
  <Application>Microsoft Office Word</Application>
  <DocSecurity>0</DocSecurity>
  <Lines>529</Lines>
  <Paragraphs>253</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24097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DESCHAMPS Nathalie</dc:creator>
  <cp:keywords/>
  <cp:lastModifiedBy>PETITCOLAS Anne</cp:lastModifiedBy>
  <cp:revision>2</cp:revision>
  <cp:lastPrinted>2002-12-11T09:25:00Z</cp:lastPrinted>
  <dcterms:created xsi:type="dcterms:W3CDTF">2024-04-22T12:08:00Z</dcterms:created>
  <dcterms:modified xsi:type="dcterms:W3CDTF">2024-04-22T12:08:00Z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9.17.2 Build [20240301]</vt:lpwstr>
  </property>
  <property fmtid="{D5CDD505-2E9C-101B-9397-08002B2CF9AE}" pid="4" name="LastEdited with">
    <vt:lpwstr>9.17.2 Build [20240301]</vt:lpwstr>
  </property>
  <property fmtid="{D5CDD505-2E9C-101B-9397-08002B2CF9AE}" pid="5" name="&lt;FdR&gt;">
    <vt:lpwstr>1301553</vt:lpwstr>
  </property>
  <property fmtid="{D5CDD505-2E9C-101B-9397-08002B2CF9AE}" pid="6" name="&lt;Type&gt;">
    <vt:lpwstr>RR</vt:lpwstr>
  </property>
  <property fmtid="{D5CDD505-2E9C-101B-9397-08002B2CF9AE}" pid="7" name="&lt;ModelCod&gt;">
    <vt:lpwstr>\\eiciLUXpr1\pdocep$\DocEP\DOCS\General\PR\PR_Leg\NLE\PR_NLE-AP_Agreement.dotx(17/04/2020 18:28:04)</vt:lpwstr>
  </property>
  <property fmtid="{D5CDD505-2E9C-101B-9397-08002B2CF9AE}" pid="8" name="&lt;ModelTra&gt;">
    <vt:lpwstr>\\eiciLUXpr1\pdocep$\DocEP\TRANSFIL\FR\PR_NLE-AP_Agreement.FR(29/06/2022 09:22:54)</vt:lpwstr>
  </property>
  <property fmtid="{D5CDD505-2E9C-101B-9397-08002B2CF9AE}" pid="9" name="&lt;Model&gt;">
    <vt:lpwstr>PR_NLE-AP_Agreement</vt:lpwstr>
  </property>
  <property fmtid="{D5CDD505-2E9C-101B-9397-08002B2CF9AE}" pid="10" name="FooterPath">
    <vt:lpwstr>RR\1301553FR.docx</vt:lpwstr>
  </property>
  <property fmtid="{D5CDD505-2E9C-101B-9397-08002B2CF9AE}" pid="11" name="PE number">
    <vt:lpwstr>759.989</vt:lpwstr>
  </property>
  <property fmtid="{D5CDD505-2E9C-101B-9397-08002B2CF9AE}" pid="12" name="Bookout">
    <vt:lpwstr>OK - 2024/04/22 14:07</vt:lpwstr>
  </property>
  <property fmtid="{D5CDD505-2E9C-101B-9397-08002B2CF9AE}" pid="13" name="SDLStudio">
    <vt:lpwstr/>
  </property>
</Properties>
</file>