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843F1" w:rsidRPr="001C2B14" w:rsidTr="00C85D0F">
        <w:trPr>
          <w:trHeight w:hRule="exact" w:val="1418"/>
        </w:trPr>
        <w:tc>
          <w:tcPr>
            <w:tcW w:w="6804" w:type="dxa"/>
            <w:shd w:val="clear" w:color="auto" w:fill="auto"/>
            <w:vAlign w:val="center"/>
          </w:tcPr>
          <w:p w:rsidR="00B843F1" w:rsidRPr="001C2B14" w:rsidRDefault="002B6FD9" w:rsidP="00C85D0F">
            <w:pPr>
              <w:pStyle w:val="EPName"/>
            </w:pPr>
            <w:r w:rsidRPr="001C2B14">
              <w:t>Parlement européen</w:t>
            </w:r>
          </w:p>
          <w:p w:rsidR="00B843F1" w:rsidRPr="001C2B14" w:rsidRDefault="00C9418A" w:rsidP="00C9418A">
            <w:pPr>
              <w:pStyle w:val="EPTerm"/>
            </w:pPr>
            <w:r w:rsidRPr="001C2B14">
              <w:t>2019-2024</w:t>
            </w:r>
          </w:p>
        </w:tc>
        <w:tc>
          <w:tcPr>
            <w:tcW w:w="2268" w:type="dxa"/>
            <w:shd w:val="clear" w:color="auto" w:fill="auto"/>
          </w:tcPr>
          <w:p w:rsidR="00B843F1" w:rsidRPr="001C2B14" w:rsidRDefault="00B843F1" w:rsidP="00C85D0F">
            <w:pPr>
              <w:pStyle w:val="EPLogo"/>
            </w:pPr>
            <w:r w:rsidRPr="001C2B14">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233823" w:rsidRPr="001C2B14" w:rsidRDefault="00233823" w:rsidP="00233823">
      <w:pPr>
        <w:pStyle w:val="LineTop"/>
      </w:pPr>
    </w:p>
    <w:p w:rsidR="00233823" w:rsidRPr="001C2B14" w:rsidRDefault="00F467DC" w:rsidP="00233823">
      <w:pPr>
        <w:pStyle w:val="EPBody"/>
      </w:pPr>
      <w:r w:rsidRPr="001C2B14">
        <w:t>Document de séance</w:t>
      </w:r>
    </w:p>
    <w:p w:rsidR="00233823" w:rsidRPr="001C2B14" w:rsidRDefault="00233823" w:rsidP="00233823">
      <w:pPr>
        <w:pStyle w:val="LineBottom"/>
      </w:pPr>
    </w:p>
    <w:p w:rsidR="00C23ADB" w:rsidRPr="001C2B14" w:rsidRDefault="00F467DC">
      <w:pPr>
        <w:pStyle w:val="CoverReference"/>
      </w:pPr>
      <w:r w:rsidRPr="001C2B14">
        <w:rPr>
          <w:rStyle w:val="HideTWBExt"/>
        </w:rPr>
        <w:t>&lt;NoDocSe&gt;</w:t>
      </w:r>
      <w:r w:rsidRPr="001C2B14">
        <w:t>A9-0179/2024</w:t>
      </w:r>
      <w:r w:rsidRPr="001C2B14">
        <w:rPr>
          <w:rStyle w:val="HideTWBExt"/>
        </w:rPr>
        <w:t>&lt;/NoDocSe&gt;</w:t>
      </w:r>
    </w:p>
    <w:p w:rsidR="00C23ADB" w:rsidRPr="001C2B14" w:rsidRDefault="00C23ADB">
      <w:pPr>
        <w:pStyle w:val="CoverDate"/>
      </w:pPr>
      <w:r w:rsidRPr="001C2B14">
        <w:rPr>
          <w:rStyle w:val="HideTWBExt"/>
        </w:rPr>
        <w:t>&lt;Date&gt;</w:t>
      </w:r>
      <w:r w:rsidRPr="001C2B14">
        <w:rPr>
          <w:rStyle w:val="HideTWBInt"/>
        </w:rPr>
        <w:t>{22/04/2024}</w:t>
      </w:r>
      <w:r w:rsidRPr="001C2B14">
        <w:t>22.4.2024</w:t>
      </w:r>
      <w:r w:rsidRPr="001C2B14">
        <w:rPr>
          <w:rStyle w:val="HideTWBExt"/>
        </w:rPr>
        <w:t>&lt;/Date&gt;</w:t>
      </w:r>
    </w:p>
    <w:p w:rsidR="00C23ADB" w:rsidRPr="001C2B14" w:rsidRDefault="00C23ADB">
      <w:pPr>
        <w:pStyle w:val="CoverDocType24a"/>
      </w:pPr>
      <w:r w:rsidRPr="001C2B14">
        <w:rPr>
          <w:rStyle w:val="HideTWBExt"/>
          <w:b w:val="0"/>
        </w:rPr>
        <w:t>&lt;TitreType&gt;</w:t>
      </w:r>
      <w:r w:rsidRPr="001C2B14">
        <w:t>RAPPORT</w:t>
      </w:r>
      <w:r w:rsidRPr="001C2B14">
        <w:rPr>
          <w:rStyle w:val="HideTWBExt"/>
          <w:b w:val="0"/>
        </w:rPr>
        <w:t>&lt;/TitreType&gt;</w:t>
      </w:r>
    </w:p>
    <w:p w:rsidR="00C23ADB" w:rsidRPr="001C2B14" w:rsidRDefault="00C23ADB">
      <w:pPr>
        <w:pStyle w:val="CoverNormal"/>
        <w:rPr>
          <w:szCs w:val="24"/>
        </w:rPr>
      </w:pPr>
      <w:r w:rsidRPr="001C2B14">
        <w:rPr>
          <w:rStyle w:val="HideTWBExt"/>
          <w:rFonts w:ascii="Times New Roman" w:hAnsi="Times New Roman"/>
          <w:sz w:val="24"/>
        </w:rPr>
        <w:t>&lt;Titre&gt;</w:t>
      </w:r>
      <w:r w:rsidRPr="001C2B14">
        <w:t>concernant la position du Conseil sur le projet de budget rectificatif nº 3 au budget général 2024 – Renforcement du Parquet européen à la suite de l’adhésion de la Pologne et de la participation attendue de la Suède</w:t>
      </w:r>
      <w:r w:rsidRPr="001C2B14">
        <w:rPr>
          <w:rStyle w:val="HideTWBExt"/>
          <w:rFonts w:ascii="Times New Roman" w:hAnsi="Times New Roman"/>
          <w:sz w:val="24"/>
        </w:rPr>
        <w:t>&lt;/Titre&gt;</w:t>
      </w:r>
    </w:p>
    <w:p w:rsidR="00C23ADB" w:rsidRPr="001C2B14" w:rsidRDefault="00C23ADB">
      <w:pPr>
        <w:pStyle w:val="CoverNormal24a"/>
      </w:pPr>
      <w:r w:rsidRPr="001C2B14">
        <w:rPr>
          <w:rStyle w:val="HideTWBExt"/>
          <w:rFonts w:ascii="Times New Roman" w:hAnsi="Times New Roman"/>
          <w:sz w:val="24"/>
        </w:rPr>
        <w:t>&lt;DocRef&gt;</w:t>
      </w:r>
      <w:r w:rsidRPr="001C2B14">
        <w:t>(08805/2024 – C9</w:t>
      </w:r>
      <w:r w:rsidRPr="001C2B14">
        <w:noBreakHyphen/>
        <w:t>0147/2024 – 2024/0090(BUD))</w:t>
      </w:r>
      <w:r w:rsidRPr="001C2B14">
        <w:rPr>
          <w:rStyle w:val="HideTWBExt"/>
        </w:rPr>
        <w:t>&lt;/DocRef&gt;</w:t>
      </w:r>
    </w:p>
    <w:p w:rsidR="00C23ADB" w:rsidRPr="001C2B14" w:rsidRDefault="00C23ADB" w:rsidP="00702830">
      <w:pPr>
        <w:pStyle w:val="CoverNormal24a"/>
      </w:pPr>
      <w:r w:rsidRPr="001C2B14">
        <w:rPr>
          <w:rStyle w:val="HideTWBExt"/>
        </w:rPr>
        <w:t>&lt;Commission&gt;</w:t>
      </w:r>
      <w:r w:rsidRPr="001C2B14">
        <w:rPr>
          <w:rStyle w:val="HideTWBInt"/>
        </w:rPr>
        <w:t>{BUDG}</w:t>
      </w:r>
      <w:r w:rsidRPr="001C2B14">
        <w:t>Commission des budgets</w:t>
      </w:r>
      <w:r w:rsidRPr="001C2B14">
        <w:rPr>
          <w:rStyle w:val="HideTWBExt"/>
        </w:rPr>
        <w:t>&lt;/Commission&gt;</w:t>
      </w:r>
    </w:p>
    <w:p w:rsidR="00C23ADB" w:rsidRPr="001C2B14" w:rsidRDefault="002B6FD9">
      <w:pPr>
        <w:pStyle w:val="CoverNormal24a"/>
      </w:pPr>
      <w:r w:rsidRPr="001C2B14">
        <w:t xml:space="preserve">Rapporteur: </w:t>
      </w:r>
      <w:r w:rsidRPr="001C2B14">
        <w:rPr>
          <w:rStyle w:val="HideTWBExt"/>
        </w:rPr>
        <w:t>&lt;Depute&gt;</w:t>
      </w:r>
      <w:r w:rsidRPr="001C2B14">
        <w:t>Siegfried Mureşan</w:t>
      </w:r>
      <w:r w:rsidRPr="001C2B14">
        <w:rPr>
          <w:rStyle w:val="HideTWBExt"/>
        </w:rPr>
        <w:t>&lt;/Depute&gt;</w:t>
      </w:r>
    </w:p>
    <w:p w:rsidR="00C23ADB" w:rsidRPr="001C2B14" w:rsidRDefault="00C23ADB" w:rsidP="0057259B">
      <w:r w:rsidRPr="001C2B14">
        <w:br w:type="page"/>
      </w:r>
      <w:r w:rsidRPr="001C2B14">
        <w:lastRenderedPageBreak/>
        <w:t>PR_BUD_DABapp</w:t>
      </w:r>
    </w:p>
    <w:p w:rsidR="00C23ADB" w:rsidRPr="001C2B14" w:rsidRDefault="002B6FD9">
      <w:pPr>
        <w:pStyle w:val="TOCHeading"/>
      </w:pPr>
      <w:r w:rsidRPr="001C2B14">
        <w:t>SOMMAIRE</w:t>
      </w:r>
    </w:p>
    <w:p w:rsidR="00C23ADB" w:rsidRPr="001C2B14" w:rsidRDefault="002B6FD9">
      <w:pPr>
        <w:pStyle w:val="TOCPage"/>
      </w:pPr>
      <w:r w:rsidRPr="001C2B14">
        <w:t>Page</w:t>
      </w:r>
    </w:p>
    <w:p w:rsidR="001C35A7" w:rsidRDefault="00C96001">
      <w:pPr>
        <w:pStyle w:val="TOC1"/>
        <w:tabs>
          <w:tab w:val="right" w:leader="dot" w:pos="9060"/>
        </w:tabs>
        <w:rPr>
          <w:rFonts w:asciiTheme="minorHAnsi" w:eastAsiaTheme="minorEastAsia" w:hAnsiTheme="minorHAnsi" w:cstheme="minorBidi"/>
          <w:noProof/>
          <w:sz w:val="22"/>
          <w:szCs w:val="22"/>
          <w:lang w:val="en-GB"/>
        </w:rPr>
      </w:pPr>
      <w:r w:rsidRPr="001C2B14">
        <w:fldChar w:fldCharType="begin"/>
      </w:r>
      <w:r w:rsidRPr="001C2B14">
        <w:instrText xml:space="preserve"> TOC \t "PageHeading</w:instrText>
      </w:r>
      <w:r w:rsidR="001C35A7">
        <w:instrText>;</w:instrText>
      </w:r>
      <w:r w:rsidRPr="001C2B14">
        <w:instrText xml:space="preserve">1" </w:instrText>
      </w:r>
      <w:r w:rsidRPr="001C2B14">
        <w:fldChar w:fldCharType="separate"/>
      </w:r>
      <w:r w:rsidR="001C35A7">
        <w:rPr>
          <w:noProof/>
        </w:rPr>
        <w:t>PROPOSITION DE RÉSOLUTION DU PARLEMENT EUROPÉEN</w:t>
      </w:r>
      <w:r w:rsidR="001C35A7">
        <w:rPr>
          <w:noProof/>
        </w:rPr>
        <w:tab/>
      </w:r>
      <w:r w:rsidR="001C35A7">
        <w:rPr>
          <w:noProof/>
        </w:rPr>
        <w:fldChar w:fldCharType="begin"/>
      </w:r>
      <w:r w:rsidR="001C35A7">
        <w:rPr>
          <w:noProof/>
        </w:rPr>
        <w:instrText xml:space="preserve"> PAGEREF _Toc164838935 \h </w:instrText>
      </w:r>
      <w:r w:rsidR="001C35A7">
        <w:rPr>
          <w:noProof/>
        </w:rPr>
      </w:r>
      <w:r w:rsidR="001C35A7">
        <w:rPr>
          <w:noProof/>
        </w:rPr>
        <w:fldChar w:fldCharType="separate"/>
      </w:r>
      <w:r w:rsidR="001C35A7">
        <w:rPr>
          <w:noProof/>
        </w:rPr>
        <w:t>3</w:t>
      </w:r>
      <w:r w:rsidR="001C35A7">
        <w:rPr>
          <w:noProof/>
        </w:rPr>
        <w:fldChar w:fldCharType="end"/>
      </w:r>
    </w:p>
    <w:p w:rsidR="001C35A7" w:rsidRDefault="001C35A7">
      <w:pPr>
        <w:pStyle w:val="TOC1"/>
        <w:tabs>
          <w:tab w:val="right" w:leader="dot" w:pos="9060"/>
        </w:tabs>
        <w:rPr>
          <w:rFonts w:asciiTheme="minorHAnsi" w:eastAsiaTheme="minorEastAsia" w:hAnsiTheme="minorHAnsi" w:cstheme="minorBidi"/>
          <w:noProof/>
          <w:sz w:val="22"/>
          <w:szCs w:val="22"/>
          <w:lang w:val="en-GB"/>
        </w:rPr>
      </w:pPr>
      <w:r>
        <w:rPr>
          <w:noProof/>
        </w:rPr>
        <w:t>LETTRE DE LA COMMISSION DES LIBERTÉS CIVILES, DE LA JUSTICE ET DES AFFAIRES INTÉRIEURES</w:t>
      </w:r>
      <w:r>
        <w:rPr>
          <w:noProof/>
        </w:rPr>
        <w:tab/>
      </w:r>
      <w:r>
        <w:rPr>
          <w:noProof/>
        </w:rPr>
        <w:fldChar w:fldCharType="begin"/>
      </w:r>
      <w:r>
        <w:rPr>
          <w:noProof/>
        </w:rPr>
        <w:instrText xml:space="preserve"> PAGEREF _Toc164838936 \h </w:instrText>
      </w:r>
      <w:r>
        <w:rPr>
          <w:noProof/>
        </w:rPr>
      </w:r>
      <w:r>
        <w:rPr>
          <w:noProof/>
        </w:rPr>
        <w:fldChar w:fldCharType="separate"/>
      </w:r>
      <w:r>
        <w:rPr>
          <w:noProof/>
        </w:rPr>
        <w:t>6</w:t>
      </w:r>
      <w:r>
        <w:rPr>
          <w:noProof/>
        </w:rPr>
        <w:fldChar w:fldCharType="end"/>
      </w:r>
    </w:p>
    <w:p w:rsidR="001C35A7" w:rsidRDefault="001C35A7">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_Toc164838937 \h </w:instrText>
      </w:r>
      <w:r>
        <w:rPr>
          <w:noProof/>
        </w:rPr>
      </w:r>
      <w:r>
        <w:rPr>
          <w:noProof/>
        </w:rPr>
        <w:fldChar w:fldCharType="separate"/>
      </w:r>
      <w:r>
        <w:rPr>
          <w:noProof/>
        </w:rPr>
        <w:t>10</w:t>
      </w:r>
      <w:r>
        <w:rPr>
          <w:noProof/>
        </w:rPr>
        <w:fldChar w:fldCharType="end"/>
      </w:r>
    </w:p>
    <w:p w:rsidR="001C35A7" w:rsidRDefault="001C35A7">
      <w:pPr>
        <w:pStyle w:val="TOC1"/>
        <w:tabs>
          <w:tab w:val="right" w:leader="dot" w:pos="9060"/>
        </w:tabs>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_Toc164838938 \h </w:instrText>
      </w:r>
      <w:r>
        <w:rPr>
          <w:noProof/>
        </w:rPr>
      </w:r>
      <w:r>
        <w:rPr>
          <w:noProof/>
        </w:rPr>
        <w:fldChar w:fldCharType="separate"/>
      </w:r>
      <w:r>
        <w:rPr>
          <w:noProof/>
        </w:rPr>
        <w:t>11</w:t>
      </w:r>
      <w:r>
        <w:rPr>
          <w:noProof/>
        </w:rPr>
        <w:fldChar w:fldCharType="end"/>
      </w:r>
    </w:p>
    <w:p w:rsidR="001C35A7" w:rsidRDefault="001C35A7">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_Toc164838939 \h </w:instrText>
      </w:r>
      <w:r>
        <w:rPr>
          <w:noProof/>
        </w:rPr>
      </w:r>
      <w:r>
        <w:rPr>
          <w:noProof/>
        </w:rPr>
        <w:fldChar w:fldCharType="separate"/>
      </w:r>
      <w:r>
        <w:rPr>
          <w:noProof/>
        </w:rPr>
        <w:t>12</w:t>
      </w:r>
      <w:r>
        <w:rPr>
          <w:noProof/>
        </w:rPr>
        <w:fldChar w:fldCharType="end"/>
      </w:r>
    </w:p>
    <w:p w:rsidR="00C23ADB" w:rsidRPr="001C2B14" w:rsidRDefault="00C96001" w:rsidP="0057259B">
      <w:r w:rsidRPr="001C2B14">
        <w:fldChar w:fldCharType="end"/>
      </w:r>
    </w:p>
    <w:p w:rsidR="00C23ADB" w:rsidRPr="001C2B14" w:rsidRDefault="00C23ADB" w:rsidP="00C96001">
      <w:pPr>
        <w:pStyle w:val="PageHeading"/>
      </w:pPr>
      <w:r w:rsidRPr="001C2B14">
        <w:br w:type="page"/>
      </w:r>
      <w:bookmarkStart w:id="0" w:name="_Toc164838935"/>
      <w:r w:rsidRPr="001C2B14">
        <w:lastRenderedPageBreak/>
        <w:t>PROPOSITION DE RÉSOLUTION DU PARLEMENT EUROPÉEN</w:t>
      </w:r>
      <w:bookmarkEnd w:id="0"/>
    </w:p>
    <w:p w:rsidR="00C23ADB" w:rsidRPr="001C2B14" w:rsidRDefault="00245C09">
      <w:pPr>
        <w:pStyle w:val="NormalBold"/>
      </w:pPr>
      <w:r w:rsidRPr="001C2B14">
        <w:t>concernant la position du Conseil sur le projet de budget rectificatif nº 3 au budget général 2024 – Renforcement du Parquet européen à la suite de l’adhésion de la Pologne et de la participation attendue de la Suède</w:t>
      </w:r>
    </w:p>
    <w:p w:rsidR="00C23ADB" w:rsidRPr="001C2B14" w:rsidRDefault="002B6FD9" w:rsidP="0057259B">
      <w:pPr>
        <w:pStyle w:val="NormalBold"/>
        <w:rPr>
          <w:szCs w:val="24"/>
        </w:rPr>
      </w:pPr>
      <w:r w:rsidRPr="001C2B14">
        <w:t>(08805/2024 – C9</w:t>
      </w:r>
      <w:r w:rsidRPr="001C2B14">
        <w:noBreakHyphen/>
        <w:t>0147/2024 – 2024/0090(BUD))</w:t>
      </w:r>
    </w:p>
    <w:p w:rsidR="003948A1" w:rsidRPr="001C2B14" w:rsidRDefault="003948A1" w:rsidP="003948A1">
      <w:pPr>
        <w:pStyle w:val="EPComma"/>
      </w:pPr>
      <w:r w:rsidRPr="001C2B14">
        <w:rPr>
          <w:i/>
        </w:rPr>
        <w:t>Le Parlement européen</w:t>
      </w:r>
      <w:r w:rsidRPr="001C2B14">
        <w:t>,</w:t>
      </w:r>
    </w:p>
    <w:p w:rsidR="003948A1" w:rsidRPr="001C2B14" w:rsidRDefault="003948A1" w:rsidP="003948A1">
      <w:pPr>
        <w:pStyle w:val="NormalHanging12a"/>
      </w:pPr>
      <w:r w:rsidRPr="001C2B14">
        <w:t>–</w:t>
      </w:r>
      <w:r w:rsidRPr="001C2B14">
        <w:tab/>
        <w:t>vu l’article 314 du traité sur le fonctionnement de l’Union européenne,</w:t>
      </w:r>
    </w:p>
    <w:p w:rsidR="003948A1" w:rsidRPr="001C2B14" w:rsidRDefault="003948A1" w:rsidP="003948A1">
      <w:pPr>
        <w:pStyle w:val="NormalHanging12a"/>
      </w:pPr>
      <w:r w:rsidRPr="001C2B14">
        <w:t>–</w:t>
      </w:r>
      <w:r w:rsidRPr="001C2B14">
        <w:tab/>
        <w:t>vu l’article 106 bis du traité instituant la Communauté européenne de l’énergie atomique,</w:t>
      </w:r>
    </w:p>
    <w:p w:rsidR="003948A1" w:rsidRPr="001C2B14" w:rsidRDefault="003948A1" w:rsidP="003948A1">
      <w:pPr>
        <w:pStyle w:val="NormalHanging12a"/>
      </w:pPr>
      <w:r w:rsidRPr="001C2B14">
        <w:t>–</w:t>
      </w:r>
      <w:r w:rsidRPr="001C2B14">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1C2B14">
        <w:rPr>
          <w:rStyle w:val="FootnoteReference"/>
        </w:rPr>
        <w:footnoteReference w:id="1"/>
      </w:r>
      <w:r w:rsidRPr="001C2B14">
        <w:t>, et notamment son article 44,</w:t>
      </w:r>
    </w:p>
    <w:p w:rsidR="003948A1" w:rsidRPr="001C2B14" w:rsidRDefault="003948A1" w:rsidP="003948A1">
      <w:pPr>
        <w:pStyle w:val="NormalHanging12a"/>
      </w:pPr>
      <w:r w:rsidRPr="001C2B14">
        <w:t>–</w:t>
      </w:r>
      <w:r w:rsidRPr="001C2B14">
        <w:tab/>
        <w:t>vu le budget général de l’Union européenne pour l’exercice 2024, définitivement adopté le 22 novembre 2023</w:t>
      </w:r>
      <w:r w:rsidRPr="001C2B14">
        <w:rPr>
          <w:rStyle w:val="FootnoteReference"/>
        </w:rPr>
        <w:footnoteReference w:id="2"/>
      </w:r>
      <w:r w:rsidRPr="001C2B14">
        <w:t>,</w:t>
      </w:r>
    </w:p>
    <w:p w:rsidR="003948A1" w:rsidRPr="001C2B14" w:rsidRDefault="003948A1" w:rsidP="003948A1">
      <w:pPr>
        <w:pStyle w:val="NormalHanging12a"/>
      </w:pPr>
      <w:r w:rsidRPr="001C2B14">
        <w:t>–</w:t>
      </w:r>
      <w:r w:rsidRPr="001C2B14">
        <w:tab/>
        <w:t>vu le règlement (UE, Euratom) 2020/2093 du Conseil du 17 décembre 2020 fixant le cadre financier pluriannuel pour les années 2021 à 2027</w:t>
      </w:r>
      <w:r w:rsidRPr="001C2B14">
        <w:rPr>
          <w:rStyle w:val="FootnoteReference"/>
        </w:rPr>
        <w:footnoteReference w:id="3"/>
      </w:r>
      <w:r w:rsidRPr="001C2B14">
        <w:t xml:space="preserve"> (ci-après le «règlement CFP»),</w:t>
      </w:r>
    </w:p>
    <w:p w:rsidR="003948A1" w:rsidRPr="001C2B14" w:rsidRDefault="003948A1" w:rsidP="003948A1">
      <w:pPr>
        <w:pStyle w:val="NormalHanging12a"/>
      </w:pPr>
      <w:r w:rsidRPr="001C2B14">
        <w:t>–</w:t>
      </w:r>
      <w:r w:rsidRPr="001C2B14">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1C2B14">
        <w:rPr>
          <w:rStyle w:val="FootnoteReference"/>
        </w:rPr>
        <w:footnoteReference w:id="4"/>
      </w:r>
      <w:r w:rsidRPr="001C2B14">
        <w:t>,</w:t>
      </w:r>
    </w:p>
    <w:p w:rsidR="003948A1" w:rsidRPr="001C2B14" w:rsidRDefault="003948A1" w:rsidP="003948A1">
      <w:pPr>
        <w:pStyle w:val="NormalHanging12a"/>
      </w:pPr>
      <w:r w:rsidRPr="001C2B14">
        <w:t>–</w:t>
      </w:r>
      <w:r w:rsidRPr="001C2B14">
        <w:tab/>
        <w:t>vu la décision (UE, Euratom) 2020/2053 du Conseil du 14 décembre 2020 relative au système des ressources propres de l’Union européenne et abrogeant la décision 2014/335/UE, Euratom</w:t>
      </w:r>
      <w:r w:rsidRPr="001C2B14">
        <w:rPr>
          <w:rStyle w:val="FootnoteReference"/>
        </w:rPr>
        <w:footnoteReference w:id="5"/>
      </w:r>
      <w:r w:rsidRPr="001C2B14">
        <w:t>,</w:t>
      </w:r>
    </w:p>
    <w:p w:rsidR="003948A1" w:rsidRPr="001C2B14" w:rsidRDefault="003948A1" w:rsidP="003948A1">
      <w:pPr>
        <w:pStyle w:val="NormalHanging12a"/>
      </w:pPr>
      <w:r w:rsidRPr="001C2B14">
        <w:t>–</w:t>
      </w:r>
      <w:r w:rsidRPr="001C2B14">
        <w:tab/>
        <w:t>vu le projet de budget rectificatif nº 3/2024, adopté par la Commission le 9 avril 2024 (COM(2024)0090),</w:t>
      </w:r>
    </w:p>
    <w:p w:rsidR="003948A1" w:rsidRPr="001C2B14" w:rsidRDefault="003948A1" w:rsidP="003948A1">
      <w:pPr>
        <w:pStyle w:val="NormalHanging12a"/>
      </w:pPr>
      <w:r w:rsidRPr="001C2B14">
        <w:t>–</w:t>
      </w:r>
      <w:r w:rsidRPr="001C2B14">
        <w:tab/>
        <w:t xml:space="preserve">vu la position sur le projet de budget rectificatif n° 3/2024, adoptée par le Conseil le 22 avril 2024 et transmise au Parlement européen le même jour (08805/2024 – </w:t>
      </w:r>
      <w:r w:rsidRPr="001C2B14">
        <w:lastRenderedPageBreak/>
        <w:t>C9</w:t>
      </w:r>
      <w:r w:rsidRPr="001C2B14">
        <w:noBreakHyphen/>
        <w:t>0147/2024),</w:t>
      </w:r>
      <w:r w:rsidRPr="001C2B14">
        <w:tab/>
      </w:r>
    </w:p>
    <w:p w:rsidR="003948A1" w:rsidRPr="001C2B14" w:rsidRDefault="003948A1" w:rsidP="003948A1">
      <w:pPr>
        <w:pStyle w:val="NormalHanging12a"/>
      </w:pPr>
      <w:r w:rsidRPr="001C2B14">
        <w:t>–</w:t>
      </w:r>
      <w:r w:rsidRPr="001C2B14">
        <w:tab/>
        <w:t>vu les articles 94 et 96 de son règlement intérieur,</w:t>
      </w:r>
    </w:p>
    <w:p w:rsidR="00EE398A" w:rsidRPr="001C2B14" w:rsidRDefault="00EE398A" w:rsidP="00EE398A">
      <w:pPr>
        <w:pStyle w:val="Visa"/>
        <w:tabs>
          <w:tab w:val="clear" w:pos="357"/>
          <w:tab w:val="left" w:pos="567"/>
        </w:tabs>
        <w:spacing w:after="120"/>
        <w:ind w:left="567" w:hanging="567"/>
        <w:rPr>
          <w:b/>
          <w:snapToGrid w:val="0"/>
          <w:szCs w:val="24"/>
        </w:rPr>
      </w:pPr>
      <w:r w:rsidRPr="001C2B14">
        <w:t>–</w:t>
      </w:r>
      <w:r w:rsidRPr="001C2B14">
        <w:tab/>
      </w:r>
      <w:r w:rsidRPr="001C2B14">
        <w:rPr>
          <w:snapToGrid w:val="0"/>
        </w:rPr>
        <w:t>vu la lettre de la commission des libertés civiles, de la justice et des affaires intérieures,</w:t>
      </w:r>
    </w:p>
    <w:p w:rsidR="003948A1" w:rsidRPr="001C2B14" w:rsidRDefault="003948A1" w:rsidP="004977FA">
      <w:pPr>
        <w:tabs>
          <w:tab w:val="left" w:pos="567"/>
        </w:tabs>
      </w:pPr>
      <w:r w:rsidRPr="001C2B14">
        <w:t>–</w:t>
      </w:r>
      <w:r w:rsidRPr="001C2B14">
        <w:tab/>
        <w:t xml:space="preserve">vu le rapport de la commission des budgets (A9-0179/2024), </w:t>
      </w:r>
    </w:p>
    <w:p w:rsidR="003948A1" w:rsidRPr="001C2B14" w:rsidRDefault="003948A1">
      <w:pPr>
        <w:pStyle w:val="NormalHanging12a"/>
      </w:pPr>
    </w:p>
    <w:p w:rsidR="003948A1" w:rsidRPr="001C2B14" w:rsidRDefault="003948A1" w:rsidP="003948A1">
      <w:pPr>
        <w:pStyle w:val="NormalHanging12a"/>
      </w:pPr>
      <w:r w:rsidRPr="001C2B14">
        <w:t>A.</w:t>
      </w:r>
      <w:r w:rsidRPr="001C2B14">
        <w:tab/>
        <w:t xml:space="preserve">considérant qu’à la suite de la notification par la Pologne le 5 janvier 2024 de son intention de participer à la coopération renforcée concernant le Parquet européen, la Commission a adopté, le 29 février 2024, une décision d’exécution correspondante confirmant la participation de la Pologne; </w:t>
      </w:r>
    </w:p>
    <w:p w:rsidR="003948A1" w:rsidRPr="001C2B14" w:rsidRDefault="003948A1" w:rsidP="003948A1">
      <w:pPr>
        <w:pStyle w:val="NormalHanging12a"/>
      </w:pPr>
      <w:r w:rsidRPr="001C2B14">
        <w:t>B.</w:t>
      </w:r>
      <w:r w:rsidRPr="001C2B14">
        <w:tab/>
        <w:t>considérant que, le 26 janvier 2024, le gouvernement suédois a présenté un projet de loi qui ouvrirait la voie à la participation de la Suède au Parquet européen, intention qui devrait être confirmée dans le courant de l’année 2024;</w:t>
      </w:r>
    </w:p>
    <w:p w:rsidR="003948A1" w:rsidRPr="001C2B14" w:rsidRDefault="003948A1" w:rsidP="003948A1">
      <w:pPr>
        <w:pStyle w:val="NormalHanging12a"/>
      </w:pPr>
      <w:r w:rsidRPr="001C2B14">
        <w:t>C.</w:t>
      </w:r>
      <w:r w:rsidRPr="001C2B14">
        <w:tab/>
        <w:t>considérant que le projet de budget rectificatif n° 3/2024 vise donc à augmenter le budget 2024 du Parquet européen de 3,6 millions d’EUR supplémentaires en crédits d’engagement et de paiement et à ajouter 20 postes supplémentaires à son tableau des effectifs;</w:t>
      </w:r>
    </w:p>
    <w:p w:rsidR="003948A1" w:rsidRPr="001C2B14" w:rsidRDefault="003948A1" w:rsidP="003948A1">
      <w:pPr>
        <w:pStyle w:val="NormalHanging12a"/>
      </w:pPr>
      <w:r w:rsidRPr="001C2B14">
        <w:t>D.</w:t>
      </w:r>
      <w:r w:rsidRPr="001C2B14">
        <w:tab/>
        <w:t>considérant qu’en l’absence de marge sous la rubrique 2b (Résilience et valeurs), la Commission propose de couvrir les coûts supplémentaires en mobilisant l’instrument de flexibilité;</w:t>
      </w:r>
    </w:p>
    <w:p w:rsidR="003948A1" w:rsidRPr="001C2B14" w:rsidRDefault="003948A1" w:rsidP="003948A1">
      <w:pPr>
        <w:pStyle w:val="NormalHanging12a"/>
      </w:pPr>
      <w:r w:rsidRPr="001C2B14">
        <w:t>1.</w:t>
      </w:r>
      <w:r w:rsidRPr="001C2B14">
        <w:tab/>
        <w:t>se félicite vivement de l’adhésion de la Pologne au Parquet européen et de la participation probable de la Suède, ce qui porterait le nombre d’États membres participants à 24; note qu’avec cet élargissement, le Parquet européen sera également en mesure de mener des enquêtes et des poursuites concernant les infractions portant atteinte aux intérêts financiers de l’Union commises dans ces États membres, ce qui permettra de mieux protéger les intérêts de l’Union et son budget et contribuera à préserver l’état de droit;</w:t>
      </w:r>
    </w:p>
    <w:p w:rsidR="003948A1" w:rsidRPr="001C2B14" w:rsidRDefault="003948A1" w:rsidP="003948A1">
      <w:pPr>
        <w:pStyle w:val="NormalHanging12a"/>
      </w:pPr>
      <w:r w:rsidRPr="001C2B14">
        <w:t>2.</w:t>
      </w:r>
      <w:r w:rsidRPr="001C2B14">
        <w:tab/>
        <w:t xml:space="preserve">souligne la nécessité de doter le Parquet européen de ressources financières et humaines supplémentaires, notamment pour financer le recrutement de procureurs européens, les fonctions d’appui nécessaires et les dépenses opérationnelles et salariales correspondantes; se félicite dès lors que la Commission ait tenu compte de la demande du Parlement en proposant de toute urgence un projet de budget rectificatif à cet effet; </w:t>
      </w:r>
    </w:p>
    <w:p w:rsidR="003948A1" w:rsidRPr="001C2B14" w:rsidRDefault="003948A1" w:rsidP="003948A1">
      <w:pPr>
        <w:pStyle w:val="NormalHanging12a"/>
      </w:pPr>
      <w:r w:rsidRPr="001C2B14">
        <w:t>3.</w:t>
      </w:r>
      <w:r w:rsidRPr="001C2B14">
        <w:tab/>
        <w:t>comprend que la Commission ne fournira plus au Parquet européen des services de postes de travail numériques à partir de 2025; note que le Parquet européen a demandé à plusieurs reprises les ressources financières et humaines supplémentaires nécessaires pour parvenir progressivement à une parfaite indépendance informatique et garantir la sécurité de son système informatique;</w:t>
      </w:r>
    </w:p>
    <w:p w:rsidR="003948A1" w:rsidRPr="001C2B14" w:rsidRDefault="003948A1" w:rsidP="003948A1">
      <w:pPr>
        <w:pStyle w:val="NormalHanging12a"/>
      </w:pPr>
      <w:r w:rsidRPr="001C2B14">
        <w:t>4.</w:t>
      </w:r>
      <w:r w:rsidRPr="001C2B14">
        <w:tab/>
        <w:t>regrette que le projet de budget rectificatif nº 3/2024 ne fournisse pas au Parquet européen les ressources nécessaires pour pouvoir mener efficacement ses enquêtes, gérer l’augmentation de sa charge de travail opérationnelle et se préparer à une autonomie complète et sûre de ses systèmes informatiques à partir de 2025; invite la Commission à prévoir dans un futur projet de budget rectificatif les ressources supplémentaires nécessaires, conformément à la décision 016/2024 du collège du Parquet européen du 21 février 2024, et à fournir ses services informatiques jusqu’à ce que le Parquet européen dispose des ressources nécessaires pour assurer son indépendance sur le plan informatique;</w:t>
      </w:r>
    </w:p>
    <w:p w:rsidR="002721D6" w:rsidRPr="001C2B14" w:rsidRDefault="002721D6" w:rsidP="002721D6">
      <w:pPr>
        <w:pStyle w:val="NormalHanging12a"/>
      </w:pPr>
      <w:r w:rsidRPr="001C2B14">
        <w:t>5.</w:t>
      </w:r>
      <w:r w:rsidRPr="001C2B14">
        <w:tab/>
        <w:t>souligne qu’il importe de garantir la pleine indépendance du Parquet européen, qui repose sur l’autonomie budgétaire et, partant, sur des ressources adéquates; constate que la possibilité pour le Parquet européen de recourir à l’appui administratif d’Eurojust au titre de l’article 100 de son règlement fondateur ne s’est pas concrétisée; rappelle que, dans la lettre rectificative nº 1/2022, la Commission s’est engagée à évaluer la situation des effectifs du Parquet européen avant la fin de l’année 2023; invite la Commission à transmettre les conclusions de cette évaluation à l’autorité budgétaire dans les meilleurs délais afin de lui permettre d’en tenir compte dans ses travaux sur le budget 2025;</w:t>
      </w:r>
    </w:p>
    <w:p w:rsidR="004736A9" w:rsidRPr="001C2B14" w:rsidRDefault="004736A9" w:rsidP="003948A1">
      <w:pPr>
        <w:pStyle w:val="NormalHanging12a"/>
      </w:pPr>
      <w:r w:rsidRPr="001C2B14">
        <w:t>6.</w:t>
      </w:r>
      <w:r w:rsidRPr="001C2B14">
        <w:tab/>
        <w:t>approuve la position du Conseil sur le projet de budget rectificatif nº 3/2024;</w:t>
      </w:r>
    </w:p>
    <w:p w:rsidR="003948A1" w:rsidRPr="001C2B14" w:rsidRDefault="004736A9" w:rsidP="003948A1">
      <w:pPr>
        <w:pStyle w:val="NormalHanging12a"/>
      </w:pPr>
      <w:r w:rsidRPr="001C2B14">
        <w:t>7.</w:t>
      </w:r>
      <w:r w:rsidRPr="001C2B14">
        <w:tab/>
        <w:t>charge sa Présidente de constater que le budget rectificatif nº 2/2024 est définitivement adopté et d’en assurer la publicati</w:t>
      </w:r>
      <w:bookmarkStart w:id="1" w:name="_GoBack"/>
      <w:bookmarkEnd w:id="1"/>
      <w:r w:rsidRPr="001C2B14">
        <w:t xml:space="preserve">on au </w:t>
      </w:r>
      <w:r w:rsidRPr="001C2B14">
        <w:rPr>
          <w:i/>
        </w:rPr>
        <w:t>Journal officiel de l’Union européenne</w:t>
      </w:r>
      <w:r w:rsidRPr="001C2B14">
        <w:t>;</w:t>
      </w:r>
    </w:p>
    <w:p w:rsidR="00F467DC" w:rsidRPr="001C2B14" w:rsidRDefault="004736A9" w:rsidP="00183817">
      <w:pPr>
        <w:pStyle w:val="NormalHanging12a"/>
      </w:pPr>
      <w:r w:rsidRPr="001C2B14">
        <w:t>8.</w:t>
      </w:r>
      <w:r w:rsidRPr="001C2B14">
        <w:tab/>
        <w:t>charge sa Présidente de transmettre la présente résolution au Conseil, à la Commission, ainsi qu’aux parlements nationaux.</w:t>
      </w:r>
    </w:p>
    <w:p w:rsidR="00EB0586" w:rsidRPr="00EB0586" w:rsidRDefault="00EB0586">
      <w:pPr>
        <w:widowControl/>
        <w:sectPr w:rsidR="00EB0586" w:rsidRPr="00EB0586" w:rsidSect="00EB058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EB0586" w:rsidRPr="00EB0586" w:rsidRDefault="00EB0586" w:rsidP="00EB0586">
      <w:pPr>
        <w:pStyle w:val="Normal24a"/>
      </w:pPr>
      <w:r w:rsidRPr="001C35A7">
        <w:rPr>
          <w:rStyle w:val="HideTWBExt"/>
        </w:rPr>
        <w:t>&lt;Date&gt;</w:t>
      </w:r>
      <w:r w:rsidRPr="001C35A7">
        <w:rPr>
          <w:rStyle w:val="HideTWBInt"/>
        </w:rPr>
        <w:t>{18/04/2024}</w:t>
      </w:r>
      <w:r w:rsidRPr="001C35A7">
        <w:t>18.4.2024</w:t>
      </w:r>
      <w:r w:rsidRPr="001C35A7">
        <w:rPr>
          <w:rStyle w:val="HideTWBExt"/>
        </w:rPr>
        <w:t>&lt;/Date&gt;</w:t>
      </w:r>
    </w:p>
    <w:p w:rsidR="00EB0586" w:rsidRPr="001C35A7" w:rsidRDefault="00EB0586" w:rsidP="00EB0586">
      <w:pPr>
        <w:pStyle w:val="PageHeading"/>
      </w:pPr>
      <w:bookmarkStart w:id="2" w:name="OpinionToc_1"/>
      <w:bookmarkStart w:id="3" w:name="_Toc164838936"/>
      <w:r w:rsidRPr="001C35A7">
        <w:t>LETTRE DE LA COMMISSION DES LIBERTÉS CIVILES, DE LA JUSTICE ET DES AFFAIRES INTÉRIEURES</w:t>
      </w:r>
      <w:bookmarkEnd w:id="2"/>
      <w:bookmarkEnd w:id="3"/>
    </w:p>
    <w:p w:rsidR="00EB0586" w:rsidRPr="001C35A7" w:rsidRDefault="00EB0586" w:rsidP="00D61488">
      <w:pPr>
        <w:widowControl/>
      </w:pPr>
      <w:r w:rsidRPr="001C35A7">
        <w:t>M. Johan Van Overtveldt</w:t>
      </w:r>
    </w:p>
    <w:p w:rsidR="00EB0586" w:rsidRPr="00891E44" w:rsidRDefault="00EB0586" w:rsidP="00D61488">
      <w:pPr>
        <w:widowControl/>
      </w:pPr>
      <w:r>
        <w:t>Président</w:t>
      </w:r>
    </w:p>
    <w:p w:rsidR="00EB0586" w:rsidRPr="00891E44" w:rsidRDefault="00EB0586" w:rsidP="00D61488">
      <w:pPr>
        <w:widowControl/>
      </w:pPr>
      <w:r>
        <w:t>Commission des budgets</w:t>
      </w:r>
    </w:p>
    <w:p w:rsidR="00EB0586" w:rsidRPr="00891E44" w:rsidRDefault="00EB0586" w:rsidP="00D61488">
      <w:pPr>
        <w:widowControl/>
      </w:pPr>
      <w:r>
        <w:t>BRUXELLES</w:t>
      </w:r>
    </w:p>
    <w:p w:rsidR="00EB0586" w:rsidRPr="00891E44" w:rsidRDefault="00EB0586" w:rsidP="00D61488">
      <w:pPr>
        <w:pStyle w:val="LetterSubject"/>
        <w:widowControl/>
      </w:pPr>
      <w:r>
        <w:t>Objet:</w:t>
      </w:r>
      <w:r>
        <w:tab/>
      </w:r>
      <w:r>
        <w:rPr>
          <w:rStyle w:val="HideTWBExt"/>
        </w:rPr>
        <w:t>&lt;Titre&gt;</w:t>
      </w:r>
      <w:r>
        <w:t>Avis relatif au projet de budget rectificatif nº 3 pour l’exercice 2024 (PBR nº 3/2024)</w:t>
      </w:r>
      <w:r>
        <w:rPr>
          <w:rStyle w:val="HideTWBExt"/>
        </w:rPr>
        <w:t>&lt;/Titre&gt;</w:t>
      </w:r>
      <w:r>
        <w:t xml:space="preserve"> </w:t>
      </w:r>
      <w:r>
        <w:rPr>
          <w:rStyle w:val="HideTWBExt"/>
        </w:rPr>
        <w:t>&lt;DocRef&gt;</w:t>
      </w:r>
      <w:r>
        <w:t>(2024/0090(BUD))</w:t>
      </w:r>
      <w:r>
        <w:rPr>
          <w:rStyle w:val="HideTWBExt"/>
        </w:rPr>
        <w:t>&lt;/DocRef&gt;</w:t>
      </w:r>
    </w:p>
    <w:p w:rsidR="00EB0586" w:rsidRPr="00891E44" w:rsidRDefault="00EB0586" w:rsidP="00D61488">
      <w:pPr>
        <w:pStyle w:val="LetterSalutation"/>
        <w:widowControl/>
      </w:pPr>
      <w:r>
        <w:t>Monsieur le Président,</w:t>
      </w:r>
    </w:p>
    <w:p w:rsidR="00EB0586" w:rsidRPr="00891E44" w:rsidRDefault="00EB0586" w:rsidP="00D61488">
      <w:pPr>
        <w:pStyle w:val="Normal12a"/>
        <w:widowControl/>
      </w:pPr>
      <w:r>
        <w:t>Dans le cadre de la procédure en objet, la commission des libertés civiles, de la justice et des affaires intérieures a été chargée de soumettre un avis à votre commission. Au cours de sa réunion du 15 avril 2024, elle a décidé de transmettre cet avis sous forme de lettre.</w:t>
      </w:r>
    </w:p>
    <w:p w:rsidR="00EB0586" w:rsidRPr="00891E44" w:rsidRDefault="00EB0586" w:rsidP="00D61488">
      <w:pPr>
        <w:pStyle w:val="Normal12a"/>
        <w:widowControl/>
      </w:pPr>
      <w:r>
        <w:t>La commission des libertés civiles, de la justice et des affaires intérieures a examiné la question au cours de sa réunion du 18 avril 2024. Lors de cette même réunion</w:t>
      </w:r>
      <w:r w:rsidRPr="00891E44">
        <w:rPr>
          <w:rStyle w:val="FootnoteReference"/>
        </w:rPr>
        <w:footnoteReference w:id="6"/>
      </w:r>
      <w:r>
        <w:t>, elle a décidé d’inviter la commission des budgets, compétente au fond, à incorporer dans la proposition de résolution qu’elle adoptera les suggestions reproduites ci-après.</w:t>
      </w:r>
    </w:p>
    <w:p w:rsidR="00EB0586" w:rsidRPr="00891E44" w:rsidRDefault="00EB0586" w:rsidP="00D61488">
      <w:pPr>
        <w:pStyle w:val="Normal12a"/>
        <w:widowControl/>
      </w:pPr>
      <w:r>
        <w:t>Veuillez agréer, Monsieur le Président, l’expression de ma haute considération.</w:t>
      </w:r>
    </w:p>
    <w:p w:rsidR="00EB0586" w:rsidRPr="00891E44" w:rsidRDefault="00EB0586" w:rsidP="00D61488">
      <w:pPr>
        <w:pStyle w:val="LetterSignature66b"/>
        <w:widowControl/>
        <w:spacing w:before="0"/>
      </w:pPr>
      <w:r>
        <w:t>Juan Fernando López Aguilar</w:t>
      </w:r>
    </w:p>
    <w:p w:rsidR="00EB0586" w:rsidRPr="00891E44" w:rsidRDefault="00EB0586" w:rsidP="00D61488">
      <w:pPr>
        <w:widowControl/>
      </w:pPr>
    </w:p>
    <w:p w:rsidR="00EB0586" w:rsidRPr="00891E44" w:rsidRDefault="00EB0586" w:rsidP="00D61488">
      <w:pPr>
        <w:pStyle w:val="PageHeadingNotTOC"/>
        <w:widowControl/>
        <w:sectPr w:rsidR="00EB0586" w:rsidRPr="00891E44" w:rsidSect="00EB0586">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B0586" w:rsidRPr="00891E44" w:rsidRDefault="00EB0586" w:rsidP="00D61488">
      <w:pPr>
        <w:pStyle w:val="PageHeadingNotTOC"/>
        <w:widowControl/>
      </w:pPr>
      <w:r>
        <w:t>SUGGESTIONS</w:t>
      </w:r>
    </w:p>
    <w:p w:rsidR="00EB0586" w:rsidRPr="00891E44" w:rsidRDefault="00EB0586" w:rsidP="00D61488">
      <w:pPr>
        <w:widowControl/>
        <w:tabs>
          <w:tab w:val="left" w:pos="567"/>
          <w:tab w:val="left" w:pos="1008"/>
          <w:tab w:val="right" w:leader="dot" w:pos="8400"/>
          <w:tab w:val="decimal" w:pos="9552"/>
        </w:tabs>
        <w:suppressAutoHyphens/>
        <w:spacing w:after="240"/>
        <w:ind w:left="567" w:hanging="567"/>
      </w:pPr>
      <w:bookmarkStart w:id="4" w:name="restart"/>
      <w:r>
        <w:t>1.</w:t>
      </w:r>
      <w:r>
        <w:tab/>
        <w:t xml:space="preserve">se félicite que le projet de budget rectificatif nº 3/2024 de la Commission vienne étoffer la ligne budgétaire du Parquet européen en considération de la nécessité de renforcer sa dotation à la suite de la décision de la Commission confirmant la participation de la Pologne à la coopération renforcée concernant la création du Parquet européen, adoptée le 29 février 2024, ainsi que de la participation attendue de la Suède; regrette toutefois que cela ne suffise pas à donner au Parquet européen les moyens de faire face de bonne manière à l’augmentation de sa charge de travail, imputable essentiellement à l’élargissement dont il fait l’objet, ni aux difficultés qu’il rencontre en matière administrative et informatique; </w:t>
      </w:r>
    </w:p>
    <w:p w:rsidR="00EB0586" w:rsidRPr="00891E44" w:rsidRDefault="00EB0586" w:rsidP="00D61488">
      <w:pPr>
        <w:widowControl/>
        <w:tabs>
          <w:tab w:val="left" w:pos="567"/>
          <w:tab w:val="left" w:pos="1008"/>
          <w:tab w:val="right" w:leader="dot" w:pos="8400"/>
          <w:tab w:val="decimal" w:pos="9552"/>
        </w:tabs>
        <w:suppressAutoHyphens/>
        <w:spacing w:after="240"/>
        <w:ind w:left="567" w:hanging="567"/>
      </w:pPr>
      <w:r>
        <w:t>2.</w:t>
      </w:r>
      <w:r>
        <w:tab/>
        <w:t>souligne que la charge de travail opérationnelle du Parquet européen n’a cessé de s’alourdir depuis que ses activités ont débuté; souligne qu’il importe d’allouer au Parquet européen des moyens financiers proportionnés à l’augmentation de sa charge de travail opérationnelle;</w:t>
      </w:r>
    </w:p>
    <w:p w:rsidR="00EB0586" w:rsidRPr="00891E44" w:rsidRDefault="00EB0586" w:rsidP="00D61488">
      <w:pPr>
        <w:widowControl/>
        <w:tabs>
          <w:tab w:val="left" w:pos="567"/>
          <w:tab w:val="left" w:pos="1008"/>
          <w:tab w:val="right" w:leader="dot" w:pos="8400"/>
          <w:tab w:val="decimal" w:pos="9552"/>
        </w:tabs>
        <w:suppressAutoHyphens/>
        <w:spacing w:after="240"/>
        <w:ind w:left="567" w:hanging="567"/>
      </w:pPr>
      <w:r>
        <w:t>3.</w:t>
      </w:r>
      <w:r>
        <w:tab/>
        <w:t>met l’accent sur le fait que les tâches du Parquet européen sont fonction du nombre des enquêtes en cours et des affaires en phase de procès, nombre très vraisemblablement appelé à augmenter dans les années qui viennent sous l’effet de l’amélioration des niveaux de détection et de signalement; constate que les enquêtes sont souvent imprévisibles et peuvent donner lieu à des frais supplémentaires imprévus;</w:t>
      </w:r>
    </w:p>
    <w:p w:rsidR="00EB0586" w:rsidRPr="00891E44" w:rsidRDefault="00EB0586" w:rsidP="00D61488">
      <w:pPr>
        <w:widowControl/>
        <w:tabs>
          <w:tab w:val="left" w:pos="567"/>
          <w:tab w:val="left" w:pos="1008"/>
          <w:tab w:val="right" w:leader="dot" w:pos="8400"/>
          <w:tab w:val="decimal" w:pos="9552"/>
        </w:tabs>
        <w:suppressAutoHyphens/>
        <w:spacing w:after="240"/>
        <w:ind w:left="567" w:hanging="567"/>
      </w:pPr>
      <w:r>
        <w:t>4.</w:t>
      </w:r>
      <w:r>
        <w:tab/>
        <w:t>relève avec une vive inquiétude que, si le Parquet européen n’est pas doté de moyens suffisants pour mener ses enquêtes, recueillir des éléments de preuve et les présenter devant les tribunaux, la justice s’en trouvera desservie et l’état de droit ne sera pas appliqué de manière appropriée;</w:t>
      </w:r>
    </w:p>
    <w:p w:rsidR="00EB0586" w:rsidRPr="00891E44" w:rsidRDefault="00EB0586" w:rsidP="00D61488">
      <w:pPr>
        <w:widowControl/>
        <w:tabs>
          <w:tab w:val="left" w:pos="567"/>
          <w:tab w:val="left" w:pos="1008"/>
          <w:tab w:val="right" w:leader="dot" w:pos="8400"/>
          <w:tab w:val="decimal" w:pos="9552"/>
        </w:tabs>
        <w:suppressAutoHyphens/>
        <w:spacing w:after="240"/>
        <w:ind w:left="567" w:hanging="567"/>
      </w:pPr>
      <w:r>
        <w:t>5.</w:t>
      </w:r>
      <w:r>
        <w:tab/>
        <w:t>souligne que les moyens alloués au Parquet européen contribuent non seulement à la protection des intérêts financiers de l’Union, mais aussi au renforcement de l’état de droit et de la justice, en lui permettant d’être une référence pour l’indépendance de la justice et de lutter contre la corruption et la criminalité organisée;</w:t>
      </w:r>
    </w:p>
    <w:p w:rsidR="00EB0586" w:rsidRPr="00891E44" w:rsidRDefault="00EB0586" w:rsidP="00D61488">
      <w:pPr>
        <w:widowControl/>
        <w:tabs>
          <w:tab w:val="left" w:pos="567"/>
          <w:tab w:val="left" w:pos="1008"/>
          <w:tab w:val="right" w:leader="dot" w:pos="8400"/>
          <w:tab w:val="decimal" w:pos="9552"/>
        </w:tabs>
        <w:suppressAutoHyphens/>
        <w:spacing w:after="240"/>
        <w:ind w:left="567" w:hanging="567"/>
      </w:pPr>
      <w:r>
        <w:t>6.</w:t>
      </w:r>
      <w:r>
        <w:tab/>
        <w:t>insiste sur le fait que, depuis le début de son activité, le Parquet européen s’est imposé comme l’organe le plus efficace pour protéger le budget de l’Union et exprime dès lors sa déception devant la réticence affichée par la Commission à proposer des ressources suffisantes;</w:t>
      </w:r>
    </w:p>
    <w:p w:rsidR="00EB0586" w:rsidRPr="00891E44" w:rsidRDefault="00EB0586" w:rsidP="00D61488">
      <w:pPr>
        <w:widowControl/>
        <w:tabs>
          <w:tab w:val="left" w:pos="567"/>
          <w:tab w:val="left" w:pos="1008"/>
          <w:tab w:val="right" w:leader="dot" w:pos="8400"/>
          <w:tab w:val="decimal" w:pos="9552"/>
        </w:tabs>
        <w:suppressAutoHyphens/>
        <w:spacing w:after="240"/>
        <w:ind w:left="567" w:hanging="567"/>
      </w:pPr>
      <w:r>
        <w:t>7.</w:t>
      </w:r>
      <w:r>
        <w:tab/>
        <w:t>demande instamment à la Commission d’engager immédiatement un dialogue constructif avec le Parquet européen afin de réévaluer les moyens qui lui sont nécessaires pour faire face à sa charge de travail opérationnelle, comme elle l’avait annoncé en 2021</w:t>
      </w:r>
      <w:r w:rsidRPr="00891E44">
        <w:rPr>
          <w:rStyle w:val="FootnoteReference"/>
        </w:rPr>
        <w:footnoteReference w:id="7"/>
      </w:r>
      <w:r>
        <w:t>, et de déposer un autre budget rectificatif pour l’exercice 2024 ainsi qu’un projet de budget pour 2025 de nature à permettre au Parquet européen de bien fonctionner; invite notamment la Commission à retarder l’application de sa décision d’arrêter de fournir des services d’environnement de travail numérique au Parquet européen tant que celui-ci n’aura pas reçu des moyens humains et financiers supplémentaires propres à lui permettre d’assurer son indépendance en matière informatique de manière sécurisée;</w:t>
      </w:r>
    </w:p>
    <w:p w:rsidR="00EB0586" w:rsidRPr="00891E44" w:rsidRDefault="00EB0586" w:rsidP="00D61488">
      <w:pPr>
        <w:widowControl/>
        <w:tabs>
          <w:tab w:val="left" w:pos="567"/>
          <w:tab w:val="left" w:pos="1008"/>
          <w:tab w:val="right" w:leader="dot" w:pos="8400"/>
          <w:tab w:val="decimal" w:pos="9552"/>
        </w:tabs>
        <w:suppressAutoHyphens/>
        <w:spacing w:after="240"/>
        <w:ind w:left="567" w:hanging="567"/>
      </w:pPr>
      <w:r>
        <w:t>8.</w:t>
      </w:r>
      <w:r>
        <w:tab/>
        <w:t xml:space="preserve">note que le crédit est destiné à couvrir les dépenses liées aux recrutements et au personnel du Parquet européen et celles qui ont trait aux technologies de l’information pour les bâtiments (y compris la sécurité du bâtiment), les infrastructures et l’administration; prend acte également que, compte tenu de l’absence de marges et de possibilités de redéploiement dans la sous-rubrique 2b, la Commission propose de mobiliser l’instrument de flexibilité conformément à l’article 12 du règlement (UE, Euratom) 2020/2093; </w:t>
      </w:r>
    </w:p>
    <w:p w:rsidR="00EB0586" w:rsidRPr="00891E44" w:rsidRDefault="00EB0586" w:rsidP="00D61488">
      <w:pPr>
        <w:widowControl/>
        <w:tabs>
          <w:tab w:val="left" w:pos="567"/>
          <w:tab w:val="left" w:pos="1008"/>
          <w:tab w:val="right" w:leader="dot" w:pos="8400"/>
          <w:tab w:val="decimal" w:pos="9552"/>
        </w:tabs>
        <w:suppressAutoHyphens/>
        <w:spacing w:after="240"/>
        <w:ind w:left="567" w:hanging="567"/>
      </w:pPr>
      <w:r>
        <w:t>9.</w:t>
      </w:r>
      <w:r>
        <w:tab/>
        <w:t xml:space="preserve">souligne que le Parquet européen est un organe de l’Union indépendant, créé sur la base du principe de coopération renforcée en matière pénale, et qu’il est chargé de rechercher, de poursuivre et de renvoyer en jugement les infractions portant atteinte aux intérêts financiers de l’Union; rappelle qu’il est de la plus haute importance d’assurer la pleine indépendance des procureurs européens délégués, car ils exécutent directement les procédures dans leurs États membres respectifs; </w:t>
      </w:r>
    </w:p>
    <w:p w:rsidR="00EB0586" w:rsidRPr="00891E44" w:rsidRDefault="00EB0586" w:rsidP="00D61488">
      <w:pPr>
        <w:widowControl/>
        <w:tabs>
          <w:tab w:val="left" w:pos="567"/>
          <w:tab w:val="left" w:pos="1008"/>
          <w:tab w:val="right" w:leader="dot" w:pos="8400"/>
          <w:tab w:val="decimal" w:pos="9552"/>
        </w:tabs>
        <w:suppressAutoHyphens/>
        <w:spacing w:after="240"/>
        <w:ind w:left="567" w:hanging="567"/>
      </w:pPr>
      <w:r>
        <w:t>10.</w:t>
      </w:r>
      <w:r>
        <w:tab/>
        <w:t>note que l’indépendance du Parquet européen passe également par l’attribution de ressources financières suffisantes lui permettant de remplir son mandat et par l’autonomie budgétaire nécessaire pour les gérer; souligne que le financement adéquat du Parquet européen incombe à la fois à l’Union et à tous les États membres participants;</w:t>
      </w:r>
    </w:p>
    <w:p w:rsidR="00EB0586" w:rsidRPr="00891E44" w:rsidRDefault="00EB0586" w:rsidP="00D61488">
      <w:pPr>
        <w:widowControl/>
        <w:tabs>
          <w:tab w:val="left" w:pos="567"/>
          <w:tab w:val="left" w:pos="1008"/>
          <w:tab w:val="right" w:leader="dot" w:pos="8400"/>
          <w:tab w:val="decimal" w:pos="9552"/>
        </w:tabs>
        <w:suppressAutoHyphens/>
        <w:ind w:left="567" w:hanging="567"/>
      </w:pPr>
      <w:r>
        <w:t>11.</w:t>
      </w:r>
      <w:r>
        <w:tab/>
        <w:t>rappelle les résultats exceptionnels obtenus par le Parquet européen dans la lutte contre les infractions portant atteinte aux intérêts financiers de l’Union; fait observer que l’ampleur de la fraude portant atteinte aux intérêts financiers de l’Union, en particulier sur le volet recettes du budget, ne peut s’expliquer que par la forte implication des grands groupes de criminalité organisée; réaffirme que le bon financement du Parquet européen le mettra en mesure de dégager d’importantes économies sur le budget de l’Union, grâce au recouvrement du produit des crimes déjà commis et en empêchant les nouvelles pertes que causerait la poursuite des activités criminelles; souligne qu’il est indispensable de soutenir le Parquet européen dans ses activités de défense des intérêts financiers de l’Union si l’on veut faire échec à la croissance des grands groupes de criminalité et à leur expansion; appelle de ses vœux l’augmentation importante des ressources allouées au Parquet européen afin de renforcer son indépendance et sa capacité opérationnelle à accomplir son mandat.</w:t>
      </w:r>
    </w:p>
    <w:bookmarkEnd w:id="4"/>
    <w:p w:rsidR="00EB0586" w:rsidRPr="00891E44" w:rsidRDefault="00EB0586" w:rsidP="00D61488">
      <w:pPr>
        <w:widowControl/>
        <w:tabs>
          <w:tab w:val="left" w:pos="-720"/>
        </w:tabs>
      </w:pPr>
    </w:p>
    <w:p w:rsidR="00EB0586" w:rsidRPr="00891E44" w:rsidRDefault="00EB0586" w:rsidP="00D61488">
      <w:pPr>
        <w:widowControl/>
        <w:sectPr w:rsidR="00EB0586" w:rsidRPr="00891E44" w:rsidSect="00EB058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B0586" w:rsidRPr="00891E44" w:rsidRDefault="00EB0586" w:rsidP="00D61488">
      <w:pPr>
        <w:widowControl/>
      </w:pPr>
    </w:p>
    <w:p w:rsidR="00EB0586" w:rsidRPr="00891E44" w:rsidRDefault="00EB0586" w:rsidP="00D61488">
      <w:pPr>
        <w:pStyle w:val="PageHeadingNotTOC"/>
        <w:widowControl/>
        <w:rPr>
          <w:noProof/>
        </w:rPr>
      </w:pPr>
      <w:bookmarkStart w:id="5" w:name="FootprintPageAL"/>
      <w:r>
        <w:t>ANNEXE: ENTITÉS OU PERSONNES</w:t>
      </w:r>
      <w:r>
        <w:br/>
        <w:t>DONT LE RAPPORTEUR POUR AVIS A REÇU DES CONTRIBUTIONS</w:t>
      </w:r>
    </w:p>
    <w:p w:rsidR="00EB0586" w:rsidRPr="00891E44" w:rsidRDefault="00EB0586" w:rsidP="00D61488">
      <w:pPr>
        <w:pStyle w:val="Normal24a"/>
        <w:widowControl/>
      </w:pPr>
      <w:r>
        <w:rPr>
          <w:rStyle w:val="HideTWBExt"/>
        </w:rPr>
        <w:t>&lt;FootprintIntro&gt;</w:t>
      </w:r>
      <w:r>
        <w:rPr>
          <w:sz w:val="22"/>
        </w:rPr>
        <w:t xml:space="preserve"> </w:t>
      </w:r>
      <w:r>
        <w:t>Conformément à l’article 8 de l’annexe I du règlement intérieur, le rapporteur pour avis a reçu des contributions des entités ou personnes suivantes pour l’élaboration de l’avis,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B0586" w:rsidRPr="00891E44" w:rsidTr="00C67986">
        <w:tc>
          <w:tcPr>
            <w:tcW w:w="9060" w:type="dxa"/>
            <w:shd w:val="clear" w:color="auto" w:fill="auto"/>
          </w:tcPr>
          <w:p w:rsidR="00EB0586" w:rsidRPr="00891E44" w:rsidRDefault="00EB0586" w:rsidP="00D61488">
            <w:pPr>
              <w:pStyle w:val="NormalBoldCenter"/>
              <w:widowControl/>
            </w:pPr>
            <w:r>
              <w:t>Entité et/ou personne</w:t>
            </w:r>
          </w:p>
        </w:tc>
      </w:tr>
      <w:tr w:rsidR="00EB0586" w:rsidRPr="00891E44" w:rsidTr="00C67986">
        <w:tc>
          <w:tcPr>
            <w:tcW w:w="9060" w:type="dxa"/>
            <w:shd w:val="clear" w:color="auto" w:fill="auto"/>
          </w:tcPr>
          <w:p w:rsidR="00EB0586" w:rsidRPr="00891E44" w:rsidRDefault="00EB0586" w:rsidP="00D61488">
            <w:pPr>
              <w:widowControl/>
            </w:pPr>
            <w:r>
              <w:t>Parquet européen</w:t>
            </w:r>
          </w:p>
        </w:tc>
      </w:tr>
    </w:tbl>
    <w:p w:rsidR="00EB0586" w:rsidRPr="00891E44" w:rsidRDefault="00EB0586" w:rsidP="00D61488">
      <w:pPr>
        <w:widowControl/>
      </w:pPr>
    </w:p>
    <w:p w:rsidR="00EB0586" w:rsidRPr="00891E44" w:rsidRDefault="00EB0586" w:rsidP="00D61488">
      <w:pPr>
        <w:widowControl/>
        <w:rPr>
          <w:szCs w:val="24"/>
        </w:rPr>
      </w:pPr>
      <w:r>
        <w:t>La liste ci-dessus est établie sous la responsabilité exclusive du rapporteur pour avis.</w:t>
      </w:r>
    </w:p>
    <w:p w:rsidR="00EB0586" w:rsidRPr="00891E44" w:rsidRDefault="00EB0586" w:rsidP="00D61488">
      <w:pPr>
        <w:widowControl/>
      </w:pPr>
    </w:p>
    <w:p w:rsidR="00EB0586" w:rsidRPr="00891E44" w:rsidRDefault="00EB0586" w:rsidP="00D61488">
      <w:pPr>
        <w:widowControl/>
      </w:pPr>
    </w:p>
    <w:bookmarkEnd w:id="5"/>
    <w:p w:rsidR="00EB0586" w:rsidRPr="00891E44" w:rsidRDefault="00EB0586" w:rsidP="00D61488">
      <w:pPr>
        <w:widowControl/>
      </w:pPr>
    </w:p>
    <w:p w:rsidR="00EB0586" w:rsidRDefault="00EB0586" w:rsidP="00EB0586">
      <w:pPr>
        <w:sectPr w:rsidR="00EB0586" w:rsidSect="00EB058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B0586" w:rsidRDefault="00EB0586">
      <w:pPr>
        <w:widowControl/>
      </w:pPr>
    </w:p>
    <w:p w:rsidR="002248F0" w:rsidRPr="001C2B14" w:rsidRDefault="002248F0" w:rsidP="002248F0">
      <w:pPr>
        <w:pStyle w:val="PageHeading"/>
        <w:rPr>
          <w:noProof/>
        </w:rPr>
      </w:pPr>
      <w:bookmarkStart w:id="6" w:name="_Toc164717615"/>
      <w:bookmarkStart w:id="7" w:name="FootprintPageRR"/>
      <w:bookmarkStart w:id="8" w:name="_Toc164838937"/>
      <w:r w:rsidRPr="001C2B14">
        <w:t>ANNEXE: ENTITÉS OU PERSONNES</w:t>
      </w:r>
      <w:r w:rsidRPr="001C2B14">
        <w:br/>
        <w:t>DONT LE RAPPORTEUR A REÇU DES CONTRIBUTIONS</w:t>
      </w:r>
      <w:bookmarkEnd w:id="6"/>
      <w:bookmarkEnd w:id="8"/>
    </w:p>
    <w:p w:rsidR="002248F0" w:rsidRPr="001C2B14" w:rsidRDefault="002248F0" w:rsidP="002248F0">
      <w:pPr>
        <w:pStyle w:val="Normal24a"/>
      </w:pPr>
      <w:r w:rsidRPr="001C2B14">
        <w:rPr>
          <w:rStyle w:val="HideTWBExt"/>
        </w:rPr>
        <w:t>&lt;FootprintIntro&gt;</w:t>
      </w:r>
      <w:r w:rsidRPr="001C2B14">
        <w:t>Conformément à l’article 8 de l’annexe I du règlement intérieur, le rapporteur déclare avoir reçu des contributions des entités ou personnes suivantes pour l’élaboration du rapport, préalablement à son adoption en commission:</w:t>
      </w:r>
      <w:r w:rsidRPr="001C2B14">
        <w:rPr>
          <w:rStyle w:val="HideTWBExt"/>
        </w:rPr>
        <w:t>&lt;/FootprintIntro&gt;</w:t>
      </w:r>
    </w:p>
    <w:tbl>
      <w:tblPr>
        <w:tblStyle w:val="TableGrid"/>
        <w:tblW w:w="0" w:type="auto"/>
        <w:tblLook w:val="04A0" w:firstRow="1" w:lastRow="0" w:firstColumn="1" w:lastColumn="0" w:noHBand="0" w:noVBand="1"/>
      </w:tblPr>
      <w:tblGrid>
        <w:gridCol w:w="9060"/>
      </w:tblGrid>
      <w:tr w:rsidR="002248F0" w:rsidRPr="001C2B14" w:rsidTr="00BE248C">
        <w:tc>
          <w:tcPr>
            <w:tcW w:w="9060" w:type="dxa"/>
          </w:tcPr>
          <w:p w:rsidR="002248F0" w:rsidRPr="001C2B14" w:rsidRDefault="002248F0" w:rsidP="00BE248C">
            <w:pPr>
              <w:pStyle w:val="Normal24a"/>
              <w:spacing w:after="0"/>
              <w:jc w:val="center"/>
              <w:rPr>
                <w:b/>
              </w:rPr>
            </w:pPr>
            <w:r w:rsidRPr="001C2B14">
              <w:rPr>
                <w:b/>
              </w:rPr>
              <w:t>Entité et/ou personne</w:t>
            </w:r>
          </w:p>
        </w:tc>
      </w:tr>
      <w:tr w:rsidR="002248F0" w:rsidRPr="001C2B14" w:rsidTr="00BE248C">
        <w:tc>
          <w:tcPr>
            <w:tcW w:w="9060" w:type="dxa"/>
          </w:tcPr>
          <w:p w:rsidR="002248F0" w:rsidRPr="001C2B14" w:rsidRDefault="002248F0" w:rsidP="00BE248C">
            <w:pPr>
              <w:pStyle w:val="Normal24a"/>
              <w:spacing w:after="0"/>
            </w:pPr>
            <w:r w:rsidRPr="001C2B14">
              <w:t>European Commission – DG BUDG</w:t>
            </w:r>
          </w:p>
        </w:tc>
      </w:tr>
      <w:tr w:rsidR="002248F0" w:rsidRPr="001C2B14" w:rsidTr="00BE248C">
        <w:tc>
          <w:tcPr>
            <w:tcW w:w="9060" w:type="dxa"/>
          </w:tcPr>
          <w:p w:rsidR="002248F0" w:rsidRPr="001C2B14" w:rsidRDefault="002248F0" w:rsidP="00BE248C">
            <w:pPr>
              <w:pStyle w:val="Normal24a"/>
              <w:spacing w:after="0"/>
            </w:pPr>
            <w:r w:rsidRPr="001C2B14">
              <w:t>European Public Prosecutor's Office</w:t>
            </w:r>
          </w:p>
        </w:tc>
      </w:tr>
    </w:tbl>
    <w:p w:rsidR="002248F0" w:rsidRPr="001C2B14" w:rsidRDefault="002248F0" w:rsidP="002248F0"/>
    <w:p w:rsidR="002248F0" w:rsidRPr="001C2B14" w:rsidRDefault="002248F0" w:rsidP="002248F0">
      <w:pPr>
        <w:rPr>
          <w:szCs w:val="24"/>
        </w:rPr>
      </w:pPr>
      <w:r w:rsidRPr="001C2B14">
        <w:t>La liste ci-dessus est établie sous la responsabilité exclusive du rapporteur.</w:t>
      </w:r>
      <w:bookmarkEnd w:id="7"/>
    </w:p>
    <w:p w:rsidR="002248F0" w:rsidRPr="001C2B14" w:rsidRDefault="002248F0" w:rsidP="002248F0"/>
    <w:p w:rsidR="002248F0" w:rsidRPr="001C2B14" w:rsidRDefault="002248F0" w:rsidP="002248F0">
      <w:r w:rsidRPr="001C2B14">
        <w:br w:type="page"/>
      </w:r>
    </w:p>
    <w:p w:rsidR="00A00016" w:rsidRPr="001C2B14" w:rsidRDefault="00A00016" w:rsidP="00A00016">
      <w:pPr>
        <w:pStyle w:val="PageHeading"/>
      </w:pPr>
      <w:bookmarkStart w:id="9" w:name="ProcPageRR"/>
      <w:bookmarkStart w:id="10" w:name="_Toc164838938"/>
      <w:r w:rsidRPr="001C2B14">
        <w:t>INFORMATIONS SUR L’ADOPTION</w:t>
      </w:r>
      <w:r w:rsidRPr="001C2B14">
        <w:br/>
        <w:t>PAR LA COMMISSION COMPÉTENTE AU FOND</w:t>
      </w:r>
      <w:bookmarkEnd w:id="10"/>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00016" w:rsidRPr="001C2B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00016" w:rsidRPr="001C2B14" w:rsidRDefault="00A00016">
            <w:pPr>
              <w:autoSpaceDE w:val="0"/>
              <w:autoSpaceDN w:val="0"/>
              <w:adjustRightInd w:val="0"/>
              <w:rPr>
                <w:b/>
                <w:bCs/>
                <w:color w:val="000000"/>
                <w:sz w:val="20"/>
              </w:rPr>
            </w:pPr>
            <w:r w:rsidRPr="001C2B14">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00016" w:rsidRPr="001C2B14" w:rsidRDefault="00A00016">
            <w:pPr>
              <w:autoSpaceDE w:val="0"/>
              <w:autoSpaceDN w:val="0"/>
              <w:adjustRightInd w:val="0"/>
              <w:rPr>
                <w:color w:val="000000"/>
                <w:sz w:val="20"/>
              </w:rPr>
            </w:pPr>
            <w:r w:rsidRPr="001C2B14">
              <w:rPr>
                <w:color w:val="000000"/>
                <w:sz w:val="20"/>
              </w:rPr>
              <w:t>22.4.2024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00016" w:rsidRPr="001C2B14" w:rsidRDefault="00A0001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00016" w:rsidRPr="001C2B14" w:rsidRDefault="00A0001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00016" w:rsidRPr="001C2B14" w:rsidRDefault="00A00016">
            <w:pPr>
              <w:autoSpaceDE w:val="0"/>
              <w:autoSpaceDN w:val="0"/>
              <w:adjustRightInd w:val="0"/>
              <w:rPr>
                <w:rFonts w:ascii="sans-serif" w:hAnsi="sans-serif" w:cs="sans-serif"/>
                <w:color w:val="000000"/>
                <w:szCs w:val="24"/>
              </w:rPr>
            </w:pPr>
          </w:p>
        </w:tc>
      </w:tr>
      <w:tr w:rsidR="00A00016" w:rsidRPr="001C2B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00016" w:rsidRPr="001C2B14" w:rsidRDefault="00A00016">
            <w:pPr>
              <w:autoSpaceDE w:val="0"/>
              <w:autoSpaceDN w:val="0"/>
              <w:adjustRightInd w:val="0"/>
              <w:rPr>
                <w:b/>
                <w:bCs/>
                <w:color w:val="000000"/>
                <w:sz w:val="20"/>
              </w:rPr>
            </w:pPr>
            <w:r w:rsidRPr="001C2B14">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00016" w:rsidRPr="001C2B14" w:rsidRDefault="00A00016">
            <w:pPr>
              <w:autoSpaceDE w:val="0"/>
              <w:autoSpaceDN w:val="0"/>
              <w:adjustRightInd w:val="0"/>
              <w:rPr>
                <w:color w:val="000000"/>
                <w:sz w:val="20"/>
              </w:rPr>
            </w:pPr>
            <w:r w:rsidRPr="001C2B14">
              <w:rPr>
                <w:color w:val="000000"/>
                <w:sz w:val="20"/>
              </w:rPr>
              <w:t>+:</w:t>
            </w:r>
          </w:p>
          <w:p w:rsidR="00A00016" w:rsidRPr="001C2B14" w:rsidRDefault="00A00016">
            <w:pPr>
              <w:autoSpaceDE w:val="0"/>
              <w:autoSpaceDN w:val="0"/>
              <w:adjustRightInd w:val="0"/>
              <w:rPr>
                <w:color w:val="000000"/>
                <w:sz w:val="20"/>
              </w:rPr>
            </w:pPr>
            <w:r w:rsidRPr="001C2B14">
              <w:rPr>
                <w:color w:val="000000"/>
                <w:sz w:val="20"/>
              </w:rPr>
              <w:t>–:</w:t>
            </w:r>
          </w:p>
          <w:p w:rsidR="00A00016" w:rsidRPr="001C2B14" w:rsidRDefault="00A00016">
            <w:pPr>
              <w:autoSpaceDE w:val="0"/>
              <w:autoSpaceDN w:val="0"/>
              <w:adjustRightInd w:val="0"/>
              <w:rPr>
                <w:color w:val="000000"/>
                <w:sz w:val="20"/>
              </w:rPr>
            </w:pPr>
            <w:r w:rsidRPr="001C2B1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00016" w:rsidRPr="001C2B14" w:rsidRDefault="00A00016">
            <w:pPr>
              <w:autoSpaceDE w:val="0"/>
              <w:autoSpaceDN w:val="0"/>
              <w:adjustRightInd w:val="0"/>
              <w:rPr>
                <w:color w:val="000000"/>
                <w:sz w:val="20"/>
              </w:rPr>
            </w:pPr>
            <w:r w:rsidRPr="001C2B14">
              <w:rPr>
                <w:color w:val="000000"/>
                <w:sz w:val="20"/>
              </w:rPr>
              <w:t>22</w:t>
            </w:r>
          </w:p>
          <w:p w:rsidR="00A00016" w:rsidRPr="001C2B14" w:rsidRDefault="00A00016">
            <w:pPr>
              <w:autoSpaceDE w:val="0"/>
              <w:autoSpaceDN w:val="0"/>
              <w:adjustRightInd w:val="0"/>
              <w:rPr>
                <w:color w:val="000000"/>
                <w:sz w:val="20"/>
              </w:rPr>
            </w:pPr>
            <w:r w:rsidRPr="001C2B14">
              <w:rPr>
                <w:color w:val="000000"/>
                <w:sz w:val="20"/>
              </w:rPr>
              <w:t>1</w:t>
            </w:r>
          </w:p>
          <w:p w:rsidR="00A00016" w:rsidRPr="001C2B14" w:rsidRDefault="00A00016">
            <w:pPr>
              <w:autoSpaceDE w:val="0"/>
              <w:autoSpaceDN w:val="0"/>
              <w:adjustRightInd w:val="0"/>
              <w:rPr>
                <w:color w:val="000000"/>
                <w:sz w:val="20"/>
              </w:rPr>
            </w:pPr>
            <w:r w:rsidRPr="001C2B14">
              <w:rPr>
                <w:color w:val="000000"/>
                <w:sz w:val="20"/>
              </w:rPr>
              <w:t>3</w:t>
            </w:r>
          </w:p>
        </w:tc>
      </w:tr>
      <w:tr w:rsidR="00A00016" w:rsidRPr="001C2B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00016" w:rsidRPr="001C2B14" w:rsidRDefault="00A00016">
            <w:pPr>
              <w:autoSpaceDE w:val="0"/>
              <w:autoSpaceDN w:val="0"/>
              <w:adjustRightInd w:val="0"/>
              <w:rPr>
                <w:b/>
                <w:bCs/>
                <w:color w:val="000000"/>
                <w:sz w:val="20"/>
              </w:rPr>
            </w:pPr>
            <w:r w:rsidRPr="001C2B14">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00016" w:rsidRPr="001C2B14" w:rsidRDefault="00A00016">
            <w:pPr>
              <w:autoSpaceDE w:val="0"/>
              <w:autoSpaceDN w:val="0"/>
              <w:adjustRightInd w:val="0"/>
              <w:rPr>
                <w:color w:val="000000"/>
                <w:sz w:val="20"/>
              </w:rPr>
            </w:pPr>
            <w:r w:rsidRPr="001C2B14">
              <w:rPr>
                <w:color w:val="000000"/>
                <w:sz w:val="20"/>
              </w:rPr>
              <w:t>Olivier Chastel, David Cormand, Eider Gardiazabal Rubial, Alexandra Geese, Vlad Gheorghe, Eero Heinäluoma, Niclas Herbst, Moritz Körner, Joachim Kuhs, Pierre Larrouturou, Janusz Lewandowski, Margarida Marques, Siegfried Mureşan, Victor Negrescu, Andrey Novakov, Bogdan Rzońca, Teófilo Santos, Nils Torvalds, Nils Ušakovs, Angelika Winzig</w:t>
            </w:r>
          </w:p>
        </w:tc>
      </w:tr>
      <w:tr w:rsidR="00A00016" w:rsidRPr="001C2B1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00016" w:rsidRPr="001C2B14" w:rsidRDefault="00A00016">
            <w:pPr>
              <w:autoSpaceDE w:val="0"/>
              <w:autoSpaceDN w:val="0"/>
              <w:adjustRightInd w:val="0"/>
              <w:rPr>
                <w:b/>
                <w:bCs/>
                <w:color w:val="000000"/>
                <w:sz w:val="20"/>
              </w:rPr>
            </w:pPr>
            <w:r w:rsidRPr="001C2B14">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00016" w:rsidRPr="001C2B14" w:rsidRDefault="00A00016">
            <w:pPr>
              <w:autoSpaceDE w:val="0"/>
              <w:autoSpaceDN w:val="0"/>
              <w:adjustRightInd w:val="0"/>
              <w:rPr>
                <w:color w:val="000000"/>
                <w:sz w:val="20"/>
              </w:rPr>
            </w:pPr>
            <w:r w:rsidRPr="001C2B14">
              <w:rPr>
                <w:color w:val="000000"/>
                <w:sz w:val="20"/>
              </w:rPr>
              <w:t>Anna-Michelle Asimakopoulou, Francisco Guerreiro, Jan Olbrycht, Petri Sarvamaa</w:t>
            </w:r>
          </w:p>
        </w:tc>
      </w:tr>
      <w:tr w:rsidR="00A00016" w:rsidRPr="001C35A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00016" w:rsidRPr="001C2B14" w:rsidRDefault="00A00016">
            <w:pPr>
              <w:autoSpaceDE w:val="0"/>
              <w:autoSpaceDN w:val="0"/>
              <w:adjustRightInd w:val="0"/>
              <w:rPr>
                <w:b/>
                <w:bCs/>
                <w:color w:val="000000"/>
                <w:sz w:val="20"/>
              </w:rPr>
            </w:pPr>
            <w:r w:rsidRPr="001C2B14">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00016" w:rsidRPr="000954F3" w:rsidRDefault="00A00016">
            <w:pPr>
              <w:autoSpaceDE w:val="0"/>
              <w:autoSpaceDN w:val="0"/>
              <w:adjustRightInd w:val="0"/>
              <w:rPr>
                <w:color w:val="000000"/>
                <w:sz w:val="20"/>
                <w:lang w:val="it-IT"/>
              </w:rPr>
            </w:pPr>
            <w:r w:rsidRPr="000954F3">
              <w:rPr>
                <w:color w:val="000000"/>
                <w:sz w:val="20"/>
                <w:lang w:val="it-IT"/>
              </w:rPr>
              <w:t>Enikő Győri, Maria Veronica Rossi</w:t>
            </w:r>
          </w:p>
        </w:tc>
      </w:tr>
    </w:tbl>
    <w:p w:rsidR="00A00016" w:rsidRPr="000954F3" w:rsidRDefault="00A00016">
      <w:pPr>
        <w:rPr>
          <w:lang w:val="it-IT"/>
        </w:rPr>
      </w:pPr>
    </w:p>
    <w:bookmarkEnd w:id="9"/>
    <w:p w:rsidR="00A00016" w:rsidRPr="000954F3" w:rsidRDefault="00A00016" w:rsidP="00A00016">
      <w:pPr>
        <w:rPr>
          <w:lang w:val="it-IT"/>
        </w:rPr>
        <w:sectPr w:rsidR="00A00016" w:rsidRPr="000954F3" w:rsidSect="00EB058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00016" w:rsidRPr="001C2B14" w:rsidRDefault="00A00016" w:rsidP="008B71C9">
      <w:pPr>
        <w:pStyle w:val="PageHeading"/>
      </w:pPr>
      <w:bookmarkStart w:id="11" w:name="RollCallPageRR"/>
      <w:bookmarkStart w:id="12" w:name="_Toc164838939"/>
      <w:r w:rsidRPr="001C2B14">
        <w:t>VOTE FINAL PAR APPEL NOMINAL</w:t>
      </w:r>
      <w:r w:rsidRPr="001C2B14">
        <w:br/>
        <w:t>EN COMMISSION COMPÉTENTE AU FOND</w:t>
      </w:r>
      <w:bookmarkEnd w:id="12"/>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0016" w:rsidRPr="001C2B14" w:rsidTr="00BE248C">
        <w:trPr>
          <w:cantSplit/>
        </w:trPr>
        <w:tc>
          <w:tcPr>
            <w:tcW w:w="1701" w:type="dxa"/>
            <w:shd w:val="pct10" w:color="000000" w:fill="FFFFFF"/>
            <w:vAlign w:val="center"/>
          </w:tcPr>
          <w:p w:rsidR="00A00016" w:rsidRPr="001C2B14" w:rsidRDefault="00A00016" w:rsidP="00BE248C">
            <w:pPr>
              <w:pStyle w:val="RollCallVotes"/>
            </w:pPr>
            <w:r w:rsidRPr="001C2B14">
              <w:t>22</w:t>
            </w:r>
          </w:p>
        </w:tc>
        <w:tc>
          <w:tcPr>
            <w:tcW w:w="7371" w:type="dxa"/>
            <w:shd w:val="pct10" w:color="000000" w:fill="FFFFFF"/>
          </w:tcPr>
          <w:p w:rsidR="00A00016" w:rsidRPr="001C2B14" w:rsidRDefault="00A00016" w:rsidP="00BE248C">
            <w:pPr>
              <w:pStyle w:val="RollCallSymbols14pt"/>
            </w:pPr>
            <w:r w:rsidRPr="001C2B14">
              <w:t>+</w:t>
            </w:r>
          </w:p>
        </w:tc>
      </w:tr>
      <w:tr w:rsidR="00A00016" w:rsidRPr="001C2B14" w:rsidTr="00BE248C">
        <w:trPr>
          <w:cantSplit/>
        </w:trPr>
        <w:tc>
          <w:tcPr>
            <w:tcW w:w="1701" w:type="dxa"/>
            <w:shd w:val="clear" w:color="auto" w:fill="FFFFFF"/>
          </w:tcPr>
          <w:p w:rsidR="00A00016" w:rsidRPr="001C2B14" w:rsidRDefault="00A00016" w:rsidP="00BE248C">
            <w:pPr>
              <w:pStyle w:val="RollCallTable"/>
            </w:pPr>
            <w:r w:rsidRPr="001C2B14">
              <w:t>PPE</w:t>
            </w:r>
          </w:p>
        </w:tc>
        <w:tc>
          <w:tcPr>
            <w:tcW w:w="7371" w:type="dxa"/>
            <w:shd w:val="clear" w:color="auto" w:fill="FFFFFF"/>
          </w:tcPr>
          <w:p w:rsidR="00A00016" w:rsidRPr="001C2B14" w:rsidRDefault="00A00016" w:rsidP="00BE248C">
            <w:pPr>
              <w:pStyle w:val="RollCallTable"/>
            </w:pPr>
            <w:r w:rsidRPr="001C2B14">
              <w:t>Anna-Michelle Asimakopoulou, Niclas Herbst, Janusz Lewandowski, Siegfried Mureşan, Andrey Novakov, Jan Olbrycht, Teófilo Santos, Petri Sarvamaa, Angelika Winzig</w:t>
            </w:r>
          </w:p>
        </w:tc>
      </w:tr>
      <w:tr w:rsidR="00A00016" w:rsidRPr="001C2B14" w:rsidTr="00BE248C">
        <w:trPr>
          <w:cantSplit/>
        </w:trPr>
        <w:tc>
          <w:tcPr>
            <w:tcW w:w="1701" w:type="dxa"/>
            <w:shd w:val="clear" w:color="auto" w:fill="FFFFFF"/>
          </w:tcPr>
          <w:p w:rsidR="00A00016" w:rsidRPr="001C2B14" w:rsidRDefault="00A00016" w:rsidP="00BE248C">
            <w:pPr>
              <w:pStyle w:val="RollCallTable"/>
            </w:pPr>
            <w:r w:rsidRPr="001C2B14">
              <w:t>Renew</w:t>
            </w:r>
          </w:p>
        </w:tc>
        <w:tc>
          <w:tcPr>
            <w:tcW w:w="7371" w:type="dxa"/>
            <w:shd w:val="clear" w:color="auto" w:fill="FFFFFF"/>
          </w:tcPr>
          <w:p w:rsidR="00A00016" w:rsidRPr="001C2B14" w:rsidRDefault="00A00016" w:rsidP="00BE248C">
            <w:pPr>
              <w:pStyle w:val="RollCallTable"/>
            </w:pPr>
            <w:r w:rsidRPr="001C2B14">
              <w:t>Olivier Chastel, Vlad Gheorghe, Moritz Körner, Nils Torvalds</w:t>
            </w:r>
          </w:p>
        </w:tc>
      </w:tr>
      <w:tr w:rsidR="00A00016" w:rsidRPr="001C2B14" w:rsidTr="00BE248C">
        <w:trPr>
          <w:cantSplit/>
        </w:trPr>
        <w:tc>
          <w:tcPr>
            <w:tcW w:w="1701" w:type="dxa"/>
            <w:shd w:val="clear" w:color="auto" w:fill="FFFFFF"/>
          </w:tcPr>
          <w:p w:rsidR="00A00016" w:rsidRPr="001C2B14" w:rsidRDefault="00A00016" w:rsidP="00BE248C">
            <w:pPr>
              <w:pStyle w:val="RollCallTable"/>
            </w:pPr>
            <w:r w:rsidRPr="001C2B14">
              <w:t>S&amp;D</w:t>
            </w:r>
          </w:p>
        </w:tc>
        <w:tc>
          <w:tcPr>
            <w:tcW w:w="7371" w:type="dxa"/>
            <w:shd w:val="clear" w:color="auto" w:fill="FFFFFF"/>
          </w:tcPr>
          <w:p w:rsidR="00A00016" w:rsidRPr="001C2B14" w:rsidRDefault="00A00016" w:rsidP="00BE248C">
            <w:pPr>
              <w:pStyle w:val="RollCallTable"/>
            </w:pPr>
            <w:r w:rsidRPr="001C2B14">
              <w:t>Eider Gardiazabal Rubial, Eero Heinäluoma, Pierre Larrouturou, Margarida Marques, Victor Negrescu, Nils Ušakovs</w:t>
            </w:r>
          </w:p>
        </w:tc>
      </w:tr>
      <w:tr w:rsidR="00A00016" w:rsidRPr="001C35A7" w:rsidTr="00BE248C">
        <w:trPr>
          <w:cantSplit/>
        </w:trPr>
        <w:tc>
          <w:tcPr>
            <w:tcW w:w="1701" w:type="dxa"/>
            <w:shd w:val="clear" w:color="auto" w:fill="FFFFFF"/>
          </w:tcPr>
          <w:p w:rsidR="00A00016" w:rsidRPr="001C2B14" w:rsidRDefault="00A00016" w:rsidP="00BE248C">
            <w:pPr>
              <w:pStyle w:val="RollCallTable"/>
            </w:pPr>
            <w:r w:rsidRPr="001C2B14">
              <w:t>Verts/ALE</w:t>
            </w:r>
          </w:p>
        </w:tc>
        <w:tc>
          <w:tcPr>
            <w:tcW w:w="7371" w:type="dxa"/>
            <w:shd w:val="clear" w:color="auto" w:fill="FFFFFF"/>
          </w:tcPr>
          <w:p w:rsidR="00A00016" w:rsidRPr="000954F3" w:rsidRDefault="00A00016" w:rsidP="00BE248C">
            <w:pPr>
              <w:pStyle w:val="RollCallTable"/>
              <w:rPr>
                <w:lang w:val="pt-PT"/>
              </w:rPr>
            </w:pPr>
            <w:r w:rsidRPr="000954F3">
              <w:rPr>
                <w:lang w:val="pt-PT"/>
              </w:rPr>
              <w:t>David Cormand, Alexandra Geese, Francisco Guerreiro</w:t>
            </w:r>
          </w:p>
        </w:tc>
      </w:tr>
    </w:tbl>
    <w:p w:rsidR="00A00016" w:rsidRPr="000954F3" w:rsidRDefault="00A00016" w:rsidP="00A00016">
      <w:pPr>
        <w:rPr>
          <w:lang w:val="pt-P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0016" w:rsidRPr="001C2B14" w:rsidTr="00BE248C">
        <w:trPr>
          <w:cantSplit/>
        </w:trPr>
        <w:tc>
          <w:tcPr>
            <w:tcW w:w="1701" w:type="dxa"/>
            <w:shd w:val="pct10" w:color="000000" w:fill="FFFFFF"/>
            <w:vAlign w:val="center"/>
          </w:tcPr>
          <w:p w:rsidR="00A00016" w:rsidRPr="001C2B14" w:rsidRDefault="00A00016" w:rsidP="00BE248C">
            <w:pPr>
              <w:pStyle w:val="RollCallVotes"/>
            </w:pPr>
            <w:r w:rsidRPr="001C2B14">
              <w:t>1</w:t>
            </w:r>
          </w:p>
        </w:tc>
        <w:tc>
          <w:tcPr>
            <w:tcW w:w="7371" w:type="dxa"/>
            <w:shd w:val="pct10" w:color="000000" w:fill="FFFFFF"/>
          </w:tcPr>
          <w:p w:rsidR="00A00016" w:rsidRPr="001C2B14" w:rsidRDefault="00A00016" w:rsidP="00BE248C">
            <w:pPr>
              <w:pStyle w:val="RollCallSymbols14pt"/>
            </w:pPr>
            <w:r w:rsidRPr="001C2B14">
              <w:t>-</w:t>
            </w:r>
          </w:p>
        </w:tc>
      </w:tr>
      <w:tr w:rsidR="00A00016" w:rsidRPr="001C2B14" w:rsidTr="00BE248C">
        <w:trPr>
          <w:cantSplit/>
        </w:trPr>
        <w:tc>
          <w:tcPr>
            <w:tcW w:w="1701" w:type="dxa"/>
            <w:shd w:val="clear" w:color="auto" w:fill="FFFFFF"/>
          </w:tcPr>
          <w:p w:rsidR="00A00016" w:rsidRPr="001C2B14" w:rsidRDefault="00A00016" w:rsidP="00BE248C">
            <w:pPr>
              <w:pStyle w:val="RollCallTable"/>
            </w:pPr>
            <w:r w:rsidRPr="001C2B14">
              <w:t>ID</w:t>
            </w:r>
          </w:p>
        </w:tc>
        <w:tc>
          <w:tcPr>
            <w:tcW w:w="7371" w:type="dxa"/>
            <w:shd w:val="clear" w:color="auto" w:fill="FFFFFF"/>
          </w:tcPr>
          <w:p w:rsidR="00A00016" w:rsidRPr="001C2B14" w:rsidRDefault="00A00016" w:rsidP="00BE248C">
            <w:pPr>
              <w:pStyle w:val="RollCallTable"/>
            </w:pPr>
            <w:r w:rsidRPr="001C2B14">
              <w:t>Maria Veronica Rossi</w:t>
            </w:r>
          </w:p>
        </w:tc>
      </w:tr>
    </w:tbl>
    <w:p w:rsidR="00A00016" w:rsidRPr="001C2B14" w:rsidRDefault="00A00016" w:rsidP="00A00016"/>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00016" w:rsidRPr="001C2B14" w:rsidTr="00BE248C">
        <w:trPr>
          <w:cantSplit/>
        </w:trPr>
        <w:tc>
          <w:tcPr>
            <w:tcW w:w="1701" w:type="dxa"/>
            <w:shd w:val="pct10" w:color="000000" w:fill="FFFFFF"/>
            <w:vAlign w:val="center"/>
          </w:tcPr>
          <w:p w:rsidR="00A00016" w:rsidRPr="001C2B14" w:rsidRDefault="00A00016" w:rsidP="00BE248C">
            <w:pPr>
              <w:pStyle w:val="RollCallVotes"/>
            </w:pPr>
            <w:r w:rsidRPr="001C2B14">
              <w:t>3</w:t>
            </w:r>
          </w:p>
        </w:tc>
        <w:tc>
          <w:tcPr>
            <w:tcW w:w="7371" w:type="dxa"/>
            <w:shd w:val="pct10" w:color="000000" w:fill="FFFFFF"/>
          </w:tcPr>
          <w:p w:rsidR="00A00016" w:rsidRPr="001C2B14" w:rsidRDefault="00A00016" w:rsidP="00BE248C">
            <w:pPr>
              <w:pStyle w:val="RollCallSymbols14pt"/>
            </w:pPr>
            <w:r w:rsidRPr="001C2B14">
              <w:t>0</w:t>
            </w:r>
          </w:p>
        </w:tc>
      </w:tr>
      <w:tr w:rsidR="00A00016" w:rsidRPr="001C2B14" w:rsidTr="00BE248C">
        <w:trPr>
          <w:cantSplit/>
        </w:trPr>
        <w:tc>
          <w:tcPr>
            <w:tcW w:w="1701" w:type="dxa"/>
            <w:shd w:val="clear" w:color="auto" w:fill="FFFFFF"/>
          </w:tcPr>
          <w:p w:rsidR="00A00016" w:rsidRPr="001C2B14" w:rsidRDefault="00A00016" w:rsidP="00BE248C">
            <w:pPr>
              <w:pStyle w:val="RollCallTable"/>
            </w:pPr>
            <w:r w:rsidRPr="001C2B14">
              <w:t>ECR</w:t>
            </w:r>
          </w:p>
        </w:tc>
        <w:tc>
          <w:tcPr>
            <w:tcW w:w="7371" w:type="dxa"/>
            <w:shd w:val="clear" w:color="auto" w:fill="FFFFFF"/>
          </w:tcPr>
          <w:p w:rsidR="00A00016" w:rsidRPr="001C2B14" w:rsidRDefault="00A00016" w:rsidP="00BE248C">
            <w:pPr>
              <w:pStyle w:val="RollCallTable"/>
            </w:pPr>
            <w:r w:rsidRPr="001C2B14">
              <w:t>Bogdan Rzońca</w:t>
            </w:r>
          </w:p>
        </w:tc>
      </w:tr>
      <w:tr w:rsidR="00A00016" w:rsidRPr="001C2B14" w:rsidTr="00BE248C">
        <w:trPr>
          <w:cantSplit/>
        </w:trPr>
        <w:tc>
          <w:tcPr>
            <w:tcW w:w="1701" w:type="dxa"/>
            <w:shd w:val="clear" w:color="auto" w:fill="FFFFFF"/>
          </w:tcPr>
          <w:p w:rsidR="00A00016" w:rsidRPr="001C2B14" w:rsidRDefault="00A00016" w:rsidP="00BE248C">
            <w:pPr>
              <w:pStyle w:val="RollCallTable"/>
            </w:pPr>
            <w:r w:rsidRPr="001C2B14">
              <w:t>ID</w:t>
            </w:r>
          </w:p>
        </w:tc>
        <w:tc>
          <w:tcPr>
            <w:tcW w:w="7371" w:type="dxa"/>
            <w:shd w:val="clear" w:color="auto" w:fill="FFFFFF"/>
          </w:tcPr>
          <w:p w:rsidR="00A00016" w:rsidRPr="001C2B14" w:rsidRDefault="00A00016" w:rsidP="00BE248C">
            <w:pPr>
              <w:pStyle w:val="RollCallTable"/>
            </w:pPr>
            <w:r w:rsidRPr="001C2B14">
              <w:t>Joachim Kuhs</w:t>
            </w:r>
          </w:p>
        </w:tc>
      </w:tr>
      <w:tr w:rsidR="00A00016" w:rsidRPr="001C2B14" w:rsidTr="00BE248C">
        <w:trPr>
          <w:cantSplit/>
        </w:trPr>
        <w:tc>
          <w:tcPr>
            <w:tcW w:w="1701" w:type="dxa"/>
            <w:shd w:val="clear" w:color="auto" w:fill="FFFFFF"/>
          </w:tcPr>
          <w:p w:rsidR="00A00016" w:rsidRPr="001C2B14" w:rsidRDefault="00A00016" w:rsidP="00BE248C">
            <w:pPr>
              <w:pStyle w:val="RollCallTable"/>
            </w:pPr>
            <w:r w:rsidRPr="001C2B14">
              <w:t>NI</w:t>
            </w:r>
          </w:p>
        </w:tc>
        <w:tc>
          <w:tcPr>
            <w:tcW w:w="7371" w:type="dxa"/>
            <w:shd w:val="clear" w:color="auto" w:fill="FFFFFF"/>
          </w:tcPr>
          <w:p w:rsidR="00A00016" w:rsidRPr="001C2B14" w:rsidRDefault="00A00016" w:rsidP="00BE248C">
            <w:pPr>
              <w:pStyle w:val="RollCallTable"/>
            </w:pPr>
            <w:r w:rsidRPr="001C2B14">
              <w:t>Enikő Győri</w:t>
            </w:r>
          </w:p>
        </w:tc>
      </w:tr>
    </w:tbl>
    <w:p w:rsidR="00A00016" w:rsidRPr="001C2B14" w:rsidRDefault="00A00016" w:rsidP="00147FBF">
      <w:pPr>
        <w:pStyle w:val="Normal12a"/>
      </w:pPr>
    </w:p>
    <w:p w:rsidR="00A00016" w:rsidRPr="001C2B14" w:rsidRDefault="00A00016" w:rsidP="00B735E3">
      <w:r w:rsidRPr="001C2B14">
        <w:t>Légende des signes utilisés:</w:t>
      </w:r>
    </w:p>
    <w:p w:rsidR="00A00016" w:rsidRPr="001C2B14" w:rsidRDefault="00A00016" w:rsidP="001C6342">
      <w:pPr>
        <w:pStyle w:val="RollCallTabs"/>
      </w:pPr>
      <w:r w:rsidRPr="001C2B14">
        <w:t>+</w:t>
      </w:r>
      <w:r w:rsidRPr="001C2B14">
        <w:tab/>
        <w:t>:</w:t>
      </w:r>
      <w:r w:rsidRPr="001C2B14">
        <w:tab/>
        <w:t>pour</w:t>
      </w:r>
    </w:p>
    <w:p w:rsidR="00A00016" w:rsidRPr="001C2B14" w:rsidRDefault="00A00016" w:rsidP="001C6342">
      <w:pPr>
        <w:pStyle w:val="RollCallTabs"/>
      </w:pPr>
      <w:r w:rsidRPr="001C2B14">
        <w:t>-</w:t>
      </w:r>
      <w:r w:rsidRPr="001C2B14">
        <w:tab/>
        <w:t>:</w:t>
      </w:r>
      <w:r w:rsidRPr="001C2B14">
        <w:tab/>
        <w:t>contre</w:t>
      </w:r>
    </w:p>
    <w:p w:rsidR="00A00016" w:rsidRPr="001C2B14" w:rsidRDefault="00A00016" w:rsidP="001C6342">
      <w:pPr>
        <w:pStyle w:val="RollCallTabs"/>
      </w:pPr>
      <w:r w:rsidRPr="001C2B14">
        <w:t>0</w:t>
      </w:r>
      <w:r w:rsidRPr="001C2B14">
        <w:tab/>
        <w:t>:</w:t>
      </w:r>
      <w:r w:rsidRPr="001C2B14">
        <w:tab/>
        <w:t>abstention</w:t>
      </w:r>
    </w:p>
    <w:p w:rsidR="00A00016" w:rsidRPr="001C2B14" w:rsidRDefault="00A00016" w:rsidP="00AD5932"/>
    <w:bookmarkEnd w:id="11"/>
    <w:p w:rsidR="001B7E4C" w:rsidRPr="001C2B14" w:rsidRDefault="001B7E4C" w:rsidP="00A00016"/>
    <w:sectPr w:rsidR="001B7E4C" w:rsidRPr="001C2B14" w:rsidSect="00EB058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FD9" w:rsidRPr="001C2B14" w:rsidRDefault="002B6FD9">
      <w:r w:rsidRPr="001C2B14">
        <w:separator/>
      </w:r>
    </w:p>
  </w:endnote>
  <w:endnote w:type="continuationSeparator" w:id="0">
    <w:p w:rsidR="002B6FD9" w:rsidRPr="001C2B14" w:rsidRDefault="002B6FD9">
      <w:r w:rsidRPr="001C2B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Roboto">
    <w:altName w:val="Times New Roman"/>
    <w:charset w:val="00"/>
    <w:family w:val="auto"/>
    <w:pitch w:val="variable"/>
    <w:sig w:usb0="00000001" w:usb1="5000217F" w:usb2="00000021" w:usb3="00000000" w:csb0="000001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586" w:rsidRDefault="00EB0586" w:rsidP="00EB0586">
    <w:pPr>
      <w:pStyle w:val="EPFooter"/>
    </w:pPr>
    <w:r>
      <w:t>PE</w:t>
    </w:r>
    <w:r w:rsidRPr="00EB0586">
      <w:rPr>
        <w:rStyle w:val="HideTWBExt"/>
      </w:rPr>
      <w:t>&lt;NoPE&gt;</w:t>
    </w:r>
    <w:r>
      <w:t>761.019</w:t>
    </w:r>
    <w:r w:rsidRPr="00EB0586">
      <w:rPr>
        <w:rStyle w:val="HideTWBExt"/>
      </w:rPr>
      <w:t>&lt;/NoPE&gt;&lt;Version&gt;</w:t>
    </w:r>
    <w:r>
      <w:t>v01-00</w:t>
    </w:r>
    <w:r w:rsidRPr="00EB0586">
      <w:rPr>
        <w:rStyle w:val="HideTWBExt"/>
      </w:rPr>
      <w:t>&lt;/Version&gt;</w:t>
    </w:r>
    <w:r>
      <w:tab/>
    </w:r>
    <w:r>
      <w:fldChar w:fldCharType="begin"/>
    </w:r>
    <w:r>
      <w:instrText xml:space="preserve"> PAGE  \* MERGEFORMAT </w:instrText>
    </w:r>
    <w:r>
      <w:fldChar w:fldCharType="separate"/>
    </w:r>
    <w:r w:rsidR="001C35A7">
      <w:rPr>
        <w:noProof/>
      </w:rPr>
      <w:t>6</w:t>
    </w:r>
    <w:r>
      <w:fldChar w:fldCharType="end"/>
    </w:r>
    <w:r>
      <w:t>/</w:t>
    </w:r>
    <w:r w:rsidR="001C35A7">
      <w:fldChar w:fldCharType="begin"/>
    </w:r>
    <w:r w:rsidR="001C35A7">
      <w:instrText xml:space="preserve"> NUMPAGES  \* MERGEFORMAT </w:instrText>
    </w:r>
    <w:r w:rsidR="001C35A7">
      <w:fldChar w:fldCharType="separate"/>
    </w:r>
    <w:r w:rsidR="001C35A7">
      <w:rPr>
        <w:noProof/>
      </w:rPr>
      <w:t>12</w:t>
    </w:r>
    <w:r w:rsidR="001C35A7">
      <w:rPr>
        <w:noProof/>
      </w:rPr>
      <w:fldChar w:fldCharType="end"/>
    </w:r>
    <w:r>
      <w:tab/>
    </w:r>
    <w:r w:rsidRPr="00EB0586">
      <w:rPr>
        <w:rStyle w:val="HideTWBExt"/>
      </w:rPr>
      <w:t>&lt;PathFdR&gt;</w:t>
    </w:r>
    <w:r>
      <w:t>RR\1301636FR.docx</w:t>
    </w:r>
    <w:r w:rsidRPr="00EB0586">
      <w:rPr>
        <w:rStyle w:val="HideTWBExt"/>
      </w:rPr>
      <w:t>&lt;/PathFdR&gt;</w:t>
    </w:r>
  </w:p>
  <w:p w:rsidR="00EB0586" w:rsidRDefault="00EB0586" w:rsidP="00EB0586">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586" w:rsidRDefault="00EB0586" w:rsidP="00EB0586">
    <w:pPr>
      <w:pStyle w:val="EPFooter"/>
    </w:pPr>
    <w:r w:rsidRPr="00EB0586">
      <w:rPr>
        <w:rStyle w:val="HideTWBExt"/>
      </w:rPr>
      <w:t>&lt;PathFdR&gt;</w:t>
    </w:r>
    <w:r>
      <w:t>RR\1301636FR.docx</w:t>
    </w:r>
    <w:r w:rsidRPr="00EB0586">
      <w:rPr>
        <w:rStyle w:val="HideTWBExt"/>
      </w:rPr>
      <w:t>&lt;/PathFdR&gt;</w:t>
    </w:r>
    <w:r>
      <w:tab/>
    </w:r>
    <w:r>
      <w:fldChar w:fldCharType="begin"/>
    </w:r>
    <w:r>
      <w:instrText xml:space="preserve"> PAGE  \* MERGEFORMAT </w:instrText>
    </w:r>
    <w:r>
      <w:fldChar w:fldCharType="separate"/>
    </w:r>
    <w:r w:rsidR="001C35A7">
      <w:rPr>
        <w:noProof/>
      </w:rPr>
      <w:t>5</w:t>
    </w:r>
    <w:r>
      <w:fldChar w:fldCharType="end"/>
    </w:r>
    <w:r>
      <w:t>/</w:t>
    </w:r>
    <w:r w:rsidR="001C35A7">
      <w:fldChar w:fldCharType="begin"/>
    </w:r>
    <w:r w:rsidR="001C35A7">
      <w:instrText xml:space="preserve"> NUMPAGES  \* MERGEFORMAT </w:instrText>
    </w:r>
    <w:r w:rsidR="001C35A7">
      <w:fldChar w:fldCharType="separate"/>
    </w:r>
    <w:r w:rsidR="001C35A7">
      <w:rPr>
        <w:noProof/>
      </w:rPr>
      <w:t>12</w:t>
    </w:r>
    <w:r w:rsidR="001C35A7">
      <w:rPr>
        <w:noProof/>
      </w:rPr>
      <w:fldChar w:fldCharType="end"/>
    </w:r>
    <w:r>
      <w:tab/>
      <w:t>PE</w:t>
    </w:r>
    <w:r w:rsidRPr="00EB0586">
      <w:rPr>
        <w:rStyle w:val="HideTWBExt"/>
      </w:rPr>
      <w:t>&lt;NoPE&gt;</w:t>
    </w:r>
    <w:r>
      <w:t>761.019</w:t>
    </w:r>
    <w:r w:rsidRPr="00EB0586">
      <w:rPr>
        <w:rStyle w:val="HideTWBExt"/>
      </w:rPr>
      <w:t>&lt;/NoPE&gt;&lt;Version&gt;</w:t>
    </w:r>
    <w:r>
      <w:t>v01-00</w:t>
    </w:r>
    <w:r w:rsidRPr="00EB0586">
      <w:rPr>
        <w:rStyle w:val="HideTWBExt"/>
      </w:rPr>
      <w:t>&lt;/Version&gt;</w:t>
    </w:r>
  </w:p>
  <w:p w:rsidR="00EB0586" w:rsidRDefault="00EB0586" w:rsidP="00EB0586">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586" w:rsidRDefault="00EB0586" w:rsidP="00EB0586">
    <w:pPr>
      <w:pStyle w:val="EPFooter"/>
    </w:pPr>
    <w:r w:rsidRPr="00EB0586">
      <w:rPr>
        <w:rStyle w:val="HideTWBExt"/>
      </w:rPr>
      <w:t>&lt;PathFdR&gt;</w:t>
    </w:r>
    <w:r>
      <w:t>RR\1301636FR.docx</w:t>
    </w:r>
    <w:r w:rsidRPr="00EB0586">
      <w:rPr>
        <w:rStyle w:val="HideTWBExt"/>
      </w:rPr>
      <w:t>&lt;/PathFdR&gt;</w:t>
    </w:r>
    <w:r>
      <w:tab/>
    </w:r>
    <w:r>
      <w:tab/>
      <w:t>PE</w:t>
    </w:r>
    <w:r w:rsidRPr="00EB0586">
      <w:rPr>
        <w:rStyle w:val="HideTWBExt"/>
      </w:rPr>
      <w:t>&lt;NoPE&gt;</w:t>
    </w:r>
    <w:r>
      <w:t>761.019</w:t>
    </w:r>
    <w:r w:rsidRPr="00EB0586">
      <w:rPr>
        <w:rStyle w:val="HideTWBExt"/>
      </w:rPr>
      <w:t>&lt;/NoPE&gt;&lt;Version&gt;</w:t>
    </w:r>
    <w:r>
      <w:t>v01-00</w:t>
    </w:r>
    <w:r w:rsidRPr="00EB0586">
      <w:rPr>
        <w:rStyle w:val="HideTWBExt"/>
      </w:rPr>
      <w:t>&lt;/Version&gt;</w:t>
    </w:r>
  </w:p>
  <w:p w:rsidR="001B7E4C" w:rsidRPr="001C2B14" w:rsidRDefault="00EB0586" w:rsidP="00EB0586">
    <w:pPr>
      <w:pStyle w:val="EPFooter2"/>
    </w:pPr>
    <w:r>
      <w:t>FR</w:t>
    </w:r>
    <w:r>
      <w:tab/>
    </w:r>
    <w:r w:rsidRPr="00EB0586">
      <w:rPr>
        <w:b w:val="0"/>
        <w:i/>
        <w:color w:val="C0C0C0"/>
        <w:sz w:val="22"/>
      </w:rPr>
      <w:t>Unie dans la diversité</w:t>
    </w:r>
    <w:r>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586" w:rsidRPr="00891E44" w:rsidRDefault="00EB0586" w:rsidP="00D3176B">
    <w:pPr>
      <w:pStyle w:val="EPFooter"/>
    </w:pPr>
    <w:r w:rsidRPr="00891E44">
      <w:rPr>
        <w:rStyle w:val="HideTWBExt"/>
      </w:rPr>
      <w:t>&lt;PathFdR&gt;</w:t>
    </w:r>
    <w:r w:rsidRPr="00891E44">
      <w:t>AL\1301158FR.docx</w:t>
    </w:r>
    <w:r w:rsidRPr="00891E44">
      <w:rPr>
        <w:rStyle w:val="HideTWBExt"/>
      </w:rPr>
      <w:t>&lt;/PathFdR&gt;</w:t>
    </w:r>
    <w:r w:rsidRPr="00891E44">
      <w:tab/>
    </w:r>
    <w:r w:rsidRPr="00891E44">
      <w:tab/>
      <w:t>PE</w:t>
    </w:r>
    <w:r w:rsidRPr="00891E44">
      <w:rPr>
        <w:rStyle w:val="HideTWBExt"/>
      </w:rPr>
      <w:t>&lt;NoPE&gt;</w:t>
    </w:r>
    <w:r w:rsidRPr="00891E44">
      <w:t>761.050</w:t>
    </w:r>
    <w:r w:rsidRPr="00891E44">
      <w:rPr>
        <w:rStyle w:val="HideTWBExt"/>
      </w:rPr>
      <w:t>&lt;/NoPE&gt;&lt;Version&gt;</w:t>
    </w:r>
    <w:r w:rsidRPr="00891E44">
      <w:t>v01-00</w:t>
    </w:r>
    <w:r w:rsidRPr="00891E44">
      <w:rPr>
        <w:rStyle w:val="HideTWBExt"/>
      </w:rPr>
      <w:t>&lt;/Version&gt;</w:t>
    </w:r>
  </w:p>
  <w:p w:rsidR="00EB0586" w:rsidRPr="00891E44" w:rsidRDefault="00EB0586" w:rsidP="00D3176B">
    <w:pPr>
      <w:pStyle w:val="EPFooter2"/>
    </w:pPr>
    <w:r w:rsidRPr="00891E44">
      <w:t>FR</w:t>
    </w:r>
    <w:r w:rsidRPr="00891E44">
      <w:tab/>
    </w:r>
    <w:r w:rsidRPr="00891E44">
      <w:rPr>
        <w:b w:val="0"/>
        <w:i/>
        <w:color w:val="C0C0C0"/>
        <w:sz w:val="22"/>
      </w:rPr>
      <w:t>Unie dans la diversité</w:t>
    </w:r>
    <w:r w:rsidRPr="00891E44">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FD9" w:rsidRPr="001C2B14" w:rsidRDefault="002B6FD9">
      <w:r w:rsidRPr="001C2B14">
        <w:separator/>
      </w:r>
    </w:p>
  </w:footnote>
  <w:footnote w:type="continuationSeparator" w:id="0">
    <w:p w:rsidR="002B6FD9" w:rsidRPr="001C2B14" w:rsidRDefault="002B6FD9">
      <w:r w:rsidRPr="001C2B14">
        <w:continuationSeparator/>
      </w:r>
    </w:p>
  </w:footnote>
  <w:footnote w:id="1">
    <w:p w:rsidR="003948A1" w:rsidRPr="001C35A7" w:rsidRDefault="003948A1" w:rsidP="003948A1">
      <w:pPr>
        <w:pStyle w:val="FootnoteText"/>
        <w:rPr>
          <w:lang w:val="fi-FI"/>
        </w:rPr>
      </w:pPr>
      <w:r w:rsidRPr="001C2B14">
        <w:rPr>
          <w:rStyle w:val="FootnoteReference"/>
        </w:rPr>
        <w:footnoteRef/>
      </w:r>
      <w:r w:rsidRPr="001C35A7">
        <w:rPr>
          <w:lang w:val="fi-FI"/>
        </w:rPr>
        <w:t xml:space="preserve"> JO L 193 du 30.7.2018, p. 1.</w:t>
      </w:r>
    </w:p>
  </w:footnote>
  <w:footnote w:id="2">
    <w:p w:rsidR="003948A1" w:rsidRPr="001C35A7" w:rsidRDefault="003948A1" w:rsidP="003948A1">
      <w:pPr>
        <w:pStyle w:val="FootnoteText"/>
        <w:rPr>
          <w:i/>
          <w:lang w:val="fi-FI"/>
        </w:rPr>
      </w:pPr>
      <w:r w:rsidRPr="001C2B14">
        <w:rPr>
          <w:rStyle w:val="FootnoteReference"/>
        </w:rPr>
        <w:footnoteRef/>
      </w:r>
      <w:r w:rsidRPr="001C35A7">
        <w:rPr>
          <w:lang w:val="fi-FI"/>
        </w:rPr>
        <w:t xml:space="preserve"> </w:t>
      </w:r>
      <w:r w:rsidRPr="001C35A7">
        <w:rPr>
          <w:rFonts w:ascii="Roboto" w:hAnsi="Roboto"/>
          <w:color w:val="333333"/>
          <w:shd w:val="clear" w:color="auto" w:fill="FFFFFF"/>
          <w:lang w:val="fi-FI"/>
        </w:rPr>
        <w:t xml:space="preserve">JO </w:t>
      </w:r>
      <w:r w:rsidRPr="001C35A7">
        <w:rPr>
          <w:rStyle w:val="Emphasis"/>
          <w:rFonts w:ascii="Roboto" w:hAnsi="Roboto"/>
          <w:i w:val="0"/>
          <w:color w:val="333333"/>
          <w:shd w:val="clear" w:color="auto" w:fill="FFFFFF"/>
          <w:lang w:val="fi-FI"/>
        </w:rPr>
        <w:t>L, 2024/207, 22.2.2024, ELI: https://eur-lex.europa.eu/legal-content/FR/TXT/?uri=CELEX:32024B0207</w:t>
      </w:r>
      <w:r w:rsidRPr="001C35A7">
        <w:rPr>
          <w:rFonts w:ascii="Roboto" w:hAnsi="Roboto"/>
          <w:color w:val="333333"/>
          <w:shd w:val="clear" w:color="auto" w:fill="FFFFFF"/>
          <w:lang w:val="fi-FI"/>
        </w:rPr>
        <w:t>.</w:t>
      </w:r>
    </w:p>
  </w:footnote>
  <w:footnote w:id="3">
    <w:p w:rsidR="003948A1" w:rsidRPr="001C35A7" w:rsidRDefault="003948A1" w:rsidP="003948A1">
      <w:pPr>
        <w:pStyle w:val="FootnoteText"/>
        <w:rPr>
          <w:lang w:val="da-DK"/>
        </w:rPr>
      </w:pPr>
      <w:r w:rsidRPr="001C2B14">
        <w:rPr>
          <w:rStyle w:val="FootnoteReference"/>
        </w:rPr>
        <w:footnoteRef/>
      </w:r>
      <w:r w:rsidRPr="001C35A7">
        <w:rPr>
          <w:lang w:val="da-DK"/>
        </w:rPr>
        <w:t xml:space="preserve"> JO L 433 I du 22.12.2020, p. 11.</w:t>
      </w:r>
    </w:p>
  </w:footnote>
  <w:footnote w:id="4">
    <w:p w:rsidR="003948A1" w:rsidRPr="001C35A7" w:rsidRDefault="003948A1" w:rsidP="003948A1">
      <w:pPr>
        <w:pStyle w:val="FootnoteText"/>
        <w:rPr>
          <w:lang w:val="da-DK"/>
        </w:rPr>
      </w:pPr>
      <w:r w:rsidRPr="001C2B14">
        <w:rPr>
          <w:rStyle w:val="FootnoteReference"/>
        </w:rPr>
        <w:footnoteRef/>
      </w:r>
      <w:r w:rsidRPr="001C35A7">
        <w:rPr>
          <w:lang w:val="da-DK"/>
        </w:rPr>
        <w:t xml:space="preserve"> JO L 433 I du 22.12.2020, p. 28.</w:t>
      </w:r>
    </w:p>
  </w:footnote>
  <w:footnote w:id="5">
    <w:p w:rsidR="003948A1" w:rsidRPr="001C35A7" w:rsidRDefault="003948A1" w:rsidP="003948A1">
      <w:pPr>
        <w:pStyle w:val="FootnoteText"/>
        <w:rPr>
          <w:lang w:val="da-DK"/>
        </w:rPr>
      </w:pPr>
      <w:r w:rsidRPr="001C2B14">
        <w:rPr>
          <w:rStyle w:val="FootnoteReference"/>
        </w:rPr>
        <w:footnoteRef/>
      </w:r>
      <w:r w:rsidRPr="001C35A7">
        <w:rPr>
          <w:lang w:val="da-DK"/>
        </w:rPr>
        <w:t xml:space="preserve"> JO L 424 du 15.12.2020, p. 1.</w:t>
      </w:r>
    </w:p>
  </w:footnote>
  <w:footnote w:id="6">
    <w:p w:rsidR="00EB0586" w:rsidRPr="001C35A7" w:rsidRDefault="00EB0586">
      <w:pPr>
        <w:pStyle w:val="FootnoteText"/>
        <w:rPr>
          <w:lang w:val="da-DK"/>
        </w:rPr>
      </w:pPr>
      <w:r>
        <w:rPr>
          <w:rStyle w:val="FootnoteReference"/>
        </w:rPr>
        <w:footnoteRef/>
      </w:r>
      <w:r w:rsidRPr="001C35A7">
        <w:rPr>
          <w:lang w:val="da-DK"/>
        </w:rPr>
        <w:t xml:space="preserve"> Étaient présents au moment du vote final: Juan Fernando López Aguilar (président et rapporteur pour avis), Maite Pagazaurtundúa (vice-présidente), Pietro Bartolo (vice-président), Malik Azmani, Theresa Bielowski, Vladimír Bilčík, Karolin Braunsberger-Reinhold, Patrick Breyer, Annika Bruna, Clare Daly, Gwendoline Delbos-Corfield, Lucia Ďuriš Nicholsonová, , Nicolaus Fest, Sylvie Guillaume, Evin Incir, Sophia in ’t Veld, Marina Kaljurand, Assita Kanko, Fabienne Keller, Łukasz Kohut, Moritz Körner, Jeroen Lenaers, Erik Marquardt, Javier Moreno Sánchez, Philippe Olivier, Birgit Sippel, Sara Skyttedal, Tineke Strik, Tomas Tobé, Jana Toom, Milan Uhrík, Miguel Urbán Crespo,Tom Vandenkendelaere, Javier Zarzalejos (ainsi que Vasco Becker-Weinberg, Jakop G. Dalunde, Ana Miguel Dos Santos, Włodzimierz Karpiński, Marian-Jean Marinescu, Alin Mituța, Thomas Rudner, Laurence Sailliet (en application de l’article 209, paragraphe 7, du règlement intérieur)).</w:t>
      </w:r>
    </w:p>
  </w:footnote>
  <w:footnote w:id="7">
    <w:p w:rsidR="00EB0586" w:rsidRPr="00891E44" w:rsidRDefault="00EB0586" w:rsidP="00C67986">
      <w:pPr>
        <w:pStyle w:val="FootnoteText"/>
      </w:pPr>
      <w:r>
        <w:rPr>
          <w:rStyle w:val="FootnoteReference"/>
        </w:rPr>
        <w:footnoteRef/>
      </w:r>
      <w:r>
        <w:tab/>
        <w:t>Lettre rectificative nº 1/2022 de la Commission (COM(2021) 642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586" w:rsidRDefault="00EB0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586" w:rsidRDefault="00EB05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586" w:rsidRDefault="00EB05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586" w:rsidRDefault="00EB058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586" w:rsidRDefault="00EB058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586" w:rsidRDefault="00EB05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573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NTRIBUTIONMNU" w:val=" 1"/>
    <w:docVar w:name="CopyToNetwork" w:val="-1"/>
    <w:docVar w:name="DOCDT" w:val="22/04/2024"/>
    <w:docVar w:name="INSERTOPINKEY" w:val="LIBE"/>
    <w:docVar w:name="LastEditedSection" w:val=" 1"/>
    <w:docVar w:name="SECTION1MNU" w:val=" 3"/>
    <w:docVar w:name="SECTIONSMNU" w:val=" 1"/>
    <w:docVar w:name="strDocTypeID" w:val="PR_BUD_DABapp"/>
    <w:docVar w:name="strSubDir" w:val="1301"/>
    <w:docVar w:name="TXTBUDYEAR" w:val="2024"/>
    <w:docVar w:name="TXTLANGUE" w:val="FR"/>
    <w:docVar w:name="TXTLANGUEMIN" w:val="fr"/>
    <w:docVar w:name="TXTNRBUD" w:val="2024/0090"/>
    <w:docVar w:name="TXTNRC" w:val="xxxxxx"/>
    <w:docVar w:name="TXTNRCOM" w:val=" COM(2024)0921 "/>
    <w:docVar w:name="TXTNRCOUNC" w:val="00000/2024"/>
    <w:docVar w:name="TXTNRDAB" w:val="3"/>
    <w:docVar w:name="TXTNRPE" w:val="761.019"/>
    <w:docVar w:name="TXTPEorAP" w:val="PE"/>
    <w:docVar w:name="TXTROUTE" w:val="RR\1301636FR.docx"/>
    <w:docVar w:name="TXTVERSION" w:val="02-00"/>
  </w:docVars>
  <w:rsids>
    <w:rsidRoot w:val="002B6FD9"/>
    <w:rsid w:val="000018EE"/>
    <w:rsid w:val="00007893"/>
    <w:rsid w:val="000266F3"/>
    <w:rsid w:val="00030208"/>
    <w:rsid w:val="000324D4"/>
    <w:rsid w:val="000404FE"/>
    <w:rsid w:val="00045F86"/>
    <w:rsid w:val="00057DE7"/>
    <w:rsid w:val="000954F3"/>
    <w:rsid w:val="000A12AE"/>
    <w:rsid w:val="000E30A6"/>
    <w:rsid w:val="000E3D68"/>
    <w:rsid w:val="00114D53"/>
    <w:rsid w:val="00135FEA"/>
    <w:rsid w:val="0017450C"/>
    <w:rsid w:val="00183817"/>
    <w:rsid w:val="001A350E"/>
    <w:rsid w:val="001B7E4C"/>
    <w:rsid w:val="001C2B14"/>
    <w:rsid w:val="001C35A7"/>
    <w:rsid w:val="001D6C47"/>
    <w:rsid w:val="002248F0"/>
    <w:rsid w:val="00233823"/>
    <w:rsid w:val="00234E5F"/>
    <w:rsid w:val="002423F1"/>
    <w:rsid w:val="00245C09"/>
    <w:rsid w:val="0025563C"/>
    <w:rsid w:val="002714EB"/>
    <w:rsid w:val="002721D6"/>
    <w:rsid w:val="00285943"/>
    <w:rsid w:val="002930F3"/>
    <w:rsid w:val="00294E99"/>
    <w:rsid w:val="002A3E24"/>
    <w:rsid w:val="002B6FD9"/>
    <w:rsid w:val="002D6EBB"/>
    <w:rsid w:val="00321B1E"/>
    <w:rsid w:val="00332F58"/>
    <w:rsid w:val="003378C9"/>
    <w:rsid w:val="003477BB"/>
    <w:rsid w:val="00364812"/>
    <w:rsid w:val="00387D59"/>
    <w:rsid w:val="003948A1"/>
    <w:rsid w:val="003D5A57"/>
    <w:rsid w:val="00414159"/>
    <w:rsid w:val="00424403"/>
    <w:rsid w:val="00441BA4"/>
    <w:rsid w:val="0045077A"/>
    <w:rsid w:val="0045495B"/>
    <w:rsid w:val="00470AB6"/>
    <w:rsid w:val="004736A9"/>
    <w:rsid w:val="004977FA"/>
    <w:rsid w:val="004A5251"/>
    <w:rsid w:val="004B6A35"/>
    <w:rsid w:val="004D0149"/>
    <w:rsid w:val="004D0375"/>
    <w:rsid w:val="00506405"/>
    <w:rsid w:val="00533A78"/>
    <w:rsid w:val="005424E3"/>
    <w:rsid w:val="0057259B"/>
    <w:rsid w:val="00585EFA"/>
    <w:rsid w:val="005A273A"/>
    <w:rsid w:val="0060242C"/>
    <w:rsid w:val="00621E75"/>
    <w:rsid w:val="00637CDC"/>
    <w:rsid w:val="00661ECC"/>
    <w:rsid w:val="00671805"/>
    <w:rsid w:val="00681D37"/>
    <w:rsid w:val="00691635"/>
    <w:rsid w:val="006942A7"/>
    <w:rsid w:val="006C4FAD"/>
    <w:rsid w:val="006E1229"/>
    <w:rsid w:val="00702830"/>
    <w:rsid w:val="00702C8D"/>
    <w:rsid w:val="007037E0"/>
    <w:rsid w:val="00742829"/>
    <w:rsid w:val="0074723E"/>
    <w:rsid w:val="00763F94"/>
    <w:rsid w:val="00772EC8"/>
    <w:rsid w:val="00793F58"/>
    <w:rsid w:val="007B2901"/>
    <w:rsid w:val="007B389D"/>
    <w:rsid w:val="007D4BCB"/>
    <w:rsid w:val="007D5E97"/>
    <w:rsid w:val="007F1F03"/>
    <w:rsid w:val="007F7FA6"/>
    <w:rsid w:val="008239BD"/>
    <w:rsid w:val="008313FA"/>
    <w:rsid w:val="00841F3F"/>
    <w:rsid w:val="00863BD9"/>
    <w:rsid w:val="008679BA"/>
    <w:rsid w:val="0089241A"/>
    <w:rsid w:val="008B331C"/>
    <w:rsid w:val="008C750D"/>
    <w:rsid w:val="008D201C"/>
    <w:rsid w:val="008D3A88"/>
    <w:rsid w:val="008E6F06"/>
    <w:rsid w:val="009151BB"/>
    <w:rsid w:val="00927F2B"/>
    <w:rsid w:val="009556F7"/>
    <w:rsid w:val="009A6474"/>
    <w:rsid w:val="009C163A"/>
    <w:rsid w:val="009C4C04"/>
    <w:rsid w:val="009C6617"/>
    <w:rsid w:val="009D230B"/>
    <w:rsid w:val="009E14E1"/>
    <w:rsid w:val="00A00016"/>
    <w:rsid w:val="00A012E2"/>
    <w:rsid w:val="00A45DBE"/>
    <w:rsid w:val="00AA00D1"/>
    <w:rsid w:val="00AA21DA"/>
    <w:rsid w:val="00AC0F71"/>
    <w:rsid w:val="00AC252D"/>
    <w:rsid w:val="00AD20BC"/>
    <w:rsid w:val="00AD2E0B"/>
    <w:rsid w:val="00AF048A"/>
    <w:rsid w:val="00B118B3"/>
    <w:rsid w:val="00B37652"/>
    <w:rsid w:val="00B41220"/>
    <w:rsid w:val="00B46239"/>
    <w:rsid w:val="00B607AE"/>
    <w:rsid w:val="00B66ACA"/>
    <w:rsid w:val="00B843F1"/>
    <w:rsid w:val="00BA48ED"/>
    <w:rsid w:val="00C20F44"/>
    <w:rsid w:val="00C23ADB"/>
    <w:rsid w:val="00C3353E"/>
    <w:rsid w:val="00C6226C"/>
    <w:rsid w:val="00C64197"/>
    <w:rsid w:val="00C73CFE"/>
    <w:rsid w:val="00C91266"/>
    <w:rsid w:val="00C9418A"/>
    <w:rsid w:val="00C96001"/>
    <w:rsid w:val="00CA7ABF"/>
    <w:rsid w:val="00CB35E4"/>
    <w:rsid w:val="00CC7437"/>
    <w:rsid w:val="00CC7D59"/>
    <w:rsid w:val="00CD6087"/>
    <w:rsid w:val="00CE3732"/>
    <w:rsid w:val="00D023D9"/>
    <w:rsid w:val="00D47DA0"/>
    <w:rsid w:val="00D75BE9"/>
    <w:rsid w:val="00D87551"/>
    <w:rsid w:val="00DB7028"/>
    <w:rsid w:val="00DC2819"/>
    <w:rsid w:val="00E300B3"/>
    <w:rsid w:val="00E37820"/>
    <w:rsid w:val="00E428B6"/>
    <w:rsid w:val="00EB0586"/>
    <w:rsid w:val="00EC29D3"/>
    <w:rsid w:val="00EC7B84"/>
    <w:rsid w:val="00EE398A"/>
    <w:rsid w:val="00F26EF8"/>
    <w:rsid w:val="00F40048"/>
    <w:rsid w:val="00F45AD6"/>
    <w:rsid w:val="00F467DC"/>
    <w:rsid w:val="00F563AA"/>
    <w:rsid w:val="00F9588B"/>
    <w:rsid w:val="00FB5D9F"/>
    <w:rsid w:val="00FE6C9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chartTrackingRefBased/>
  <w15:docId w15:val="{7D6CC654-42FB-4F5F-A4AD-41141DA73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FE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7259B"/>
    <w:pPr>
      <w:spacing w:before="480" w:after="240"/>
    </w:pPr>
  </w:style>
  <w:style w:type="paragraph" w:styleId="TOC1">
    <w:name w:val="toc 1"/>
    <w:basedOn w:val="Normal"/>
    <w:next w:val="Normal"/>
    <w:autoRedefine/>
    <w:uiPriority w:val="39"/>
    <w:rsid w:val="00A012E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AD2E0B"/>
    <w:pPr>
      <w:spacing w:before="80" w:after="80"/>
    </w:pPr>
    <w:rPr>
      <w:rFonts w:ascii="Arial Narrow" w:hAnsi="Arial Narrow" w:cs="Arial"/>
      <w:b/>
      <w:sz w:val="32"/>
      <w:szCs w:val="22"/>
    </w:rPr>
  </w:style>
  <w:style w:type="paragraph" w:customStyle="1" w:styleId="CoverNormal24a">
    <w:name w:val="CoverNormal24a"/>
    <w:basedOn w:val="Normal"/>
    <w:rsid w:val="000018E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414159"/>
    <w:pPr>
      <w:spacing w:before="1080"/>
      <w:jc w:val="right"/>
    </w:pPr>
    <w:rPr>
      <w:rFonts w:ascii="Arial" w:hAnsi="Arial" w:cs="Arial"/>
      <w:b/>
    </w:rPr>
  </w:style>
  <w:style w:type="paragraph" w:customStyle="1" w:styleId="CoverDocType24a">
    <w:name w:val="CoverDocType24a"/>
    <w:basedOn w:val="Normal"/>
    <w:rsid w:val="000018E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81D37"/>
    <w:pPr>
      <w:tabs>
        <w:tab w:val="center" w:pos="4513"/>
        <w:tab w:val="right" w:pos="9026"/>
      </w:tabs>
    </w:pPr>
  </w:style>
  <w:style w:type="table" w:styleId="TableGrid">
    <w:name w:val="Table Grid"/>
    <w:basedOn w:val="TableNormal"/>
    <w:rsid w:val="00772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72EC8"/>
    <w:pPr>
      <w:jc w:val="center"/>
    </w:pPr>
    <w:rPr>
      <w:rFonts w:ascii="Arial" w:hAnsi="Arial" w:cs="Arial"/>
      <w:i/>
      <w:sz w:val="22"/>
      <w:szCs w:val="22"/>
    </w:rPr>
  </w:style>
  <w:style w:type="paragraph" w:customStyle="1" w:styleId="LineTop">
    <w:name w:val="LineTop"/>
    <w:basedOn w:val="Normal"/>
    <w:next w:val="Normal"/>
    <w:rsid w:val="00772EC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72EC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AD2E0B"/>
    <w:pPr>
      <w:spacing w:after="80"/>
    </w:pPr>
    <w:rPr>
      <w:rFonts w:ascii="Arial" w:hAnsi="Arial" w:cs="Arial"/>
      <w:sz w:val="20"/>
      <w:szCs w:val="22"/>
    </w:rPr>
  </w:style>
  <w:style w:type="paragraph" w:customStyle="1" w:styleId="EPLogo">
    <w:name w:val="EPLogo"/>
    <w:basedOn w:val="Normal"/>
    <w:qFormat/>
    <w:rsid w:val="00AD2E0B"/>
    <w:pPr>
      <w:jc w:val="right"/>
    </w:pPr>
  </w:style>
  <w:style w:type="paragraph" w:customStyle="1" w:styleId="EPFooter">
    <w:name w:val="EPFooter"/>
    <w:basedOn w:val="Normal"/>
    <w:rsid w:val="000018EE"/>
    <w:pPr>
      <w:tabs>
        <w:tab w:val="center" w:pos="4535"/>
        <w:tab w:val="right" w:pos="9071"/>
      </w:tabs>
      <w:spacing w:before="240" w:after="240"/>
    </w:pPr>
    <w:rPr>
      <w:color w:val="010000"/>
      <w:sz w:val="22"/>
    </w:rPr>
  </w:style>
  <w:style w:type="character" w:styleId="PageNumber">
    <w:name w:val="page number"/>
    <w:basedOn w:val="DefaultParagraphFont"/>
    <w:semiHidden/>
    <w:rsid w:val="00691635"/>
  </w:style>
  <w:style w:type="character" w:customStyle="1" w:styleId="HeaderChar">
    <w:name w:val="Header Char"/>
    <w:basedOn w:val="DefaultParagraphFont"/>
    <w:link w:val="Header"/>
    <w:semiHidden/>
    <w:rsid w:val="00681D37"/>
    <w:rPr>
      <w:sz w:val="24"/>
    </w:rPr>
  </w:style>
  <w:style w:type="paragraph" w:styleId="FootnoteText">
    <w:name w:val="footnote text"/>
    <w:basedOn w:val="Normal"/>
    <w:link w:val="FootnoteTextChar"/>
    <w:rsid w:val="00C9418A"/>
    <w:rPr>
      <w:sz w:val="20"/>
    </w:rPr>
  </w:style>
  <w:style w:type="character" w:customStyle="1" w:styleId="FootnoteTextChar">
    <w:name w:val="Footnote Text Char"/>
    <w:basedOn w:val="DefaultParagraphFont"/>
    <w:link w:val="FootnoteText"/>
    <w:rsid w:val="00C9418A"/>
  </w:style>
  <w:style w:type="character" w:styleId="FootnoteReference">
    <w:name w:val="footnote reference"/>
    <w:basedOn w:val="DefaultParagraphFont"/>
    <w:rsid w:val="00C9418A"/>
    <w:rPr>
      <w:vertAlign w:val="superscript"/>
    </w:rPr>
  </w:style>
  <w:style w:type="character" w:styleId="Emphasis">
    <w:name w:val="Emphasis"/>
    <w:basedOn w:val="DefaultParagraphFont"/>
    <w:uiPriority w:val="20"/>
    <w:qFormat/>
    <w:rsid w:val="007D4BCB"/>
    <w:rPr>
      <w:i/>
      <w:iCs/>
    </w:rPr>
  </w:style>
  <w:style w:type="paragraph" w:customStyle="1" w:styleId="Normal24a">
    <w:name w:val="Normal24a"/>
    <w:basedOn w:val="Normal"/>
    <w:rsid w:val="004D0375"/>
    <w:pPr>
      <w:spacing w:after="480"/>
    </w:pPr>
  </w:style>
  <w:style w:type="paragraph" w:customStyle="1" w:styleId="NormalBoldCenter">
    <w:name w:val="NormalBoldCenter"/>
    <w:basedOn w:val="Normal"/>
    <w:rsid w:val="004D0375"/>
    <w:pPr>
      <w:jc w:val="center"/>
    </w:pPr>
    <w:rPr>
      <w:b/>
    </w:rPr>
  </w:style>
  <w:style w:type="paragraph" w:styleId="BalloonText">
    <w:name w:val="Balloon Text"/>
    <w:basedOn w:val="Normal"/>
    <w:link w:val="BalloonTextChar"/>
    <w:semiHidden/>
    <w:unhideWhenUsed/>
    <w:rsid w:val="007B389D"/>
    <w:rPr>
      <w:rFonts w:ascii="Segoe UI" w:hAnsi="Segoe UI" w:cs="Segoe UI"/>
      <w:sz w:val="18"/>
      <w:szCs w:val="18"/>
    </w:rPr>
  </w:style>
  <w:style w:type="character" w:customStyle="1" w:styleId="BalloonTextChar">
    <w:name w:val="Balloon Text Char"/>
    <w:basedOn w:val="DefaultParagraphFont"/>
    <w:link w:val="BalloonText"/>
    <w:semiHidden/>
    <w:rsid w:val="007B389D"/>
    <w:rPr>
      <w:rFonts w:ascii="Segoe UI" w:hAnsi="Segoe UI" w:cs="Segoe UI"/>
      <w:sz w:val="18"/>
      <w:szCs w:val="18"/>
    </w:rPr>
  </w:style>
  <w:style w:type="paragraph" w:customStyle="1" w:styleId="Normal12a">
    <w:name w:val="Normal12a"/>
    <w:basedOn w:val="Normal"/>
    <w:rsid w:val="001B7E4C"/>
    <w:pPr>
      <w:spacing w:after="240"/>
    </w:pPr>
  </w:style>
  <w:style w:type="paragraph" w:customStyle="1" w:styleId="LetterSalutation">
    <w:name w:val="LetterSalutation"/>
    <w:basedOn w:val="Normal"/>
    <w:rsid w:val="001B7E4C"/>
    <w:pPr>
      <w:spacing w:before="600" w:after="360"/>
    </w:pPr>
  </w:style>
  <w:style w:type="paragraph" w:customStyle="1" w:styleId="LetterSubject">
    <w:name w:val="LetterSubject"/>
    <w:basedOn w:val="Normal"/>
    <w:rsid w:val="001B7E4C"/>
    <w:pPr>
      <w:spacing w:before="480"/>
      <w:ind w:left="1134" w:hanging="1134"/>
    </w:pPr>
  </w:style>
  <w:style w:type="paragraph" w:customStyle="1" w:styleId="LetterSignature66b">
    <w:name w:val="LetterSignature66b"/>
    <w:basedOn w:val="Normal"/>
    <w:next w:val="Normal"/>
    <w:rsid w:val="001B7E4C"/>
    <w:pPr>
      <w:spacing w:before="1320"/>
    </w:pPr>
  </w:style>
  <w:style w:type="paragraph" w:customStyle="1" w:styleId="PageHeadingNotTOC">
    <w:name w:val="PageHeadingNotTOC"/>
    <w:basedOn w:val="Normal"/>
    <w:rsid w:val="001B7E4C"/>
    <w:pPr>
      <w:keepNext/>
      <w:spacing w:after="480"/>
      <w:jc w:val="center"/>
    </w:pPr>
    <w:rPr>
      <w:rFonts w:ascii="Arial" w:hAnsi="Arial" w:cs="Arial"/>
      <w:b/>
    </w:rPr>
  </w:style>
  <w:style w:type="paragraph" w:customStyle="1" w:styleId="Normal12">
    <w:name w:val="Normal12"/>
    <w:basedOn w:val="Normal"/>
    <w:link w:val="Normal12Char"/>
    <w:rsid w:val="001B7E4C"/>
    <w:pPr>
      <w:spacing w:after="240"/>
    </w:pPr>
    <w:rPr>
      <w:rFonts w:ascii="Arial" w:hAnsi="Arial" w:cs="Arial"/>
    </w:rPr>
  </w:style>
  <w:style w:type="character" w:customStyle="1" w:styleId="PageHeadingChar">
    <w:name w:val="PageHeading Char"/>
    <w:basedOn w:val="DefaultParagraphFont"/>
    <w:link w:val="PageHeading"/>
    <w:rsid w:val="001B7E4C"/>
    <w:rPr>
      <w:rFonts w:ascii="Arial" w:hAnsi="Arial" w:cs="Arial"/>
      <w:b/>
      <w:sz w:val="24"/>
    </w:rPr>
  </w:style>
  <w:style w:type="character" w:customStyle="1" w:styleId="Normal12Char">
    <w:name w:val="Normal12 Char"/>
    <w:basedOn w:val="PageHeadingChar"/>
    <w:link w:val="Normal12"/>
    <w:rsid w:val="001B7E4C"/>
    <w:rPr>
      <w:rFonts w:ascii="Arial" w:hAnsi="Arial" w:cs="Arial"/>
      <w:b w:val="0"/>
      <w:sz w:val="24"/>
    </w:rPr>
  </w:style>
  <w:style w:type="character" w:styleId="CommentReference">
    <w:name w:val="annotation reference"/>
    <w:basedOn w:val="DefaultParagraphFont"/>
    <w:rsid w:val="00AC0F71"/>
    <w:rPr>
      <w:sz w:val="16"/>
      <w:szCs w:val="16"/>
    </w:rPr>
  </w:style>
  <w:style w:type="paragraph" w:styleId="CommentText">
    <w:name w:val="annotation text"/>
    <w:basedOn w:val="Normal"/>
    <w:link w:val="CommentTextChar"/>
    <w:rsid w:val="00AC0F71"/>
    <w:rPr>
      <w:sz w:val="20"/>
    </w:rPr>
  </w:style>
  <w:style w:type="character" w:customStyle="1" w:styleId="CommentTextChar">
    <w:name w:val="Comment Text Char"/>
    <w:basedOn w:val="DefaultParagraphFont"/>
    <w:link w:val="CommentText"/>
    <w:rsid w:val="00AC0F71"/>
  </w:style>
  <w:style w:type="paragraph" w:styleId="CommentSubject">
    <w:name w:val="annotation subject"/>
    <w:basedOn w:val="CommentText"/>
    <w:next w:val="CommentText"/>
    <w:link w:val="CommentSubjectChar"/>
    <w:semiHidden/>
    <w:unhideWhenUsed/>
    <w:rsid w:val="00AC0F71"/>
    <w:rPr>
      <w:b/>
      <w:bCs/>
    </w:rPr>
  </w:style>
  <w:style w:type="character" w:customStyle="1" w:styleId="CommentSubjectChar">
    <w:name w:val="Comment Subject Char"/>
    <w:basedOn w:val="CommentTextChar"/>
    <w:link w:val="CommentSubject"/>
    <w:semiHidden/>
    <w:rsid w:val="00AC0F71"/>
    <w:rPr>
      <w:b/>
      <w:bCs/>
    </w:rPr>
  </w:style>
  <w:style w:type="paragraph" w:customStyle="1" w:styleId="Visa">
    <w:name w:val="Visa"/>
    <w:basedOn w:val="Normal12"/>
    <w:rsid w:val="00D75BE9"/>
    <w:pPr>
      <w:tabs>
        <w:tab w:val="left" w:pos="357"/>
      </w:tabs>
      <w:ind w:left="357" w:hanging="357"/>
    </w:pPr>
    <w:rPr>
      <w:rFonts w:ascii="Times New Roman" w:hAnsi="Times New Roman" w:cs="Times New Roman"/>
    </w:rPr>
  </w:style>
  <w:style w:type="paragraph" w:customStyle="1" w:styleId="RollCallVotes">
    <w:name w:val="RollCallVotes"/>
    <w:basedOn w:val="Normal"/>
    <w:rsid w:val="004A5251"/>
    <w:pPr>
      <w:spacing w:before="120" w:after="120"/>
      <w:jc w:val="center"/>
    </w:pPr>
    <w:rPr>
      <w:b/>
      <w:bCs/>
      <w:snapToGrid w:val="0"/>
      <w:sz w:val="16"/>
      <w:lang w:eastAsia="en-US"/>
    </w:rPr>
  </w:style>
  <w:style w:type="paragraph" w:customStyle="1" w:styleId="RollCallTabs">
    <w:name w:val="RollCallTabs"/>
    <w:basedOn w:val="Normal"/>
    <w:qFormat/>
    <w:rsid w:val="004A5251"/>
    <w:pPr>
      <w:tabs>
        <w:tab w:val="center" w:pos="284"/>
        <w:tab w:val="left" w:pos="426"/>
      </w:tabs>
    </w:pPr>
    <w:rPr>
      <w:snapToGrid w:val="0"/>
      <w:lang w:eastAsia="en-US"/>
    </w:rPr>
  </w:style>
  <w:style w:type="paragraph" w:customStyle="1" w:styleId="RollCallSymbols14pt">
    <w:name w:val="RollCallSymbols14pt"/>
    <w:basedOn w:val="Normal"/>
    <w:rsid w:val="004A5251"/>
    <w:pPr>
      <w:spacing w:before="120" w:after="120"/>
      <w:jc w:val="center"/>
    </w:pPr>
    <w:rPr>
      <w:rFonts w:ascii="Arial" w:hAnsi="Arial"/>
      <w:b/>
      <w:bCs/>
      <w:snapToGrid w:val="0"/>
      <w:sz w:val="28"/>
      <w:lang w:eastAsia="en-US"/>
    </w:rPr>
  </w:style>
  <w:style w:type="paragraph" w:customStyle="1" w:styleId="RollCallTable">
    <w:name w:val="RollCallTable"/>
    <w:basedOn w:val="Normal"/>
    <w:rsid w:val="004A5251"/>
    <w:pPr>
      <w:spacing w:before="120" w:after="120"/>
    </w:pPr>
    <w:rPr>
      <w:snapToGrid w:val="0"/>
      <w:sz w:val="16"/>
      <w:lang w:eastAsia="en-US"/>
    </w:rPr>
  </w:style>
  <w:style w:type="character" w:styleId="Hyperlink">
    <w:name w:val="Hyperlink"/>
    <w:basedOn w:val="DefaultParagraphFont"/>
    <w:uiPriority w:val="99"/>
    <w:unhideWhenUsed/>
    <w:rsid w:val="002248F0"/>
    <w:rPr>
      <w:color w:val="0000FF"/>
      <w:u w:val="single"/>
    </w:rPr>
  </w:style>
  <w:style w:type="paragraph" w:styleId="Footer">
    <w:name w:val="footer"/>
    <w:basedOn w:val="Normal"/>
    <w:link w:val="FooterChar"/>
    <w:semiHidden/>
    <w:rsid w:val="001C35A7"/>
    <w:pPr>
      <w:tabs>
        <w:tab w:val="center" w:pos="4513"/>
        <w:tab w:val="right" w:pos="9026"/>
      </w:tabs>
    </w:pPr>
  </w:style>
  <w:style w:type="character" w:customStyle="1" w:styleId="FooterChar">
    <w:name w:val="Footer Char"/>
    <w:basedOn w:val="DefaultParagraphFont"/>
    <w:link w:val="Footer"/>
    <w:semiHidden/>
    <w:rsid w:val="001C35A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468356">
      <w:bodyDiv w:val="1"/>
      <w:marLeft w:val="0"/>
      <w:marRight w:val="0"/>
      <w:marTop w:val="0"/>
      <w:marBottom w:val="0"/>
      <w:divBdr>
        <w:top w:val="none" w:sz="0" w:space="0" w:color="auto"/>
        <w:left w:val="none" w:sz="0" w:space="0" w:color="auto"/>
        <w:bottom w:val="none" w:sz="0" w:space="0" w:color="auto"/>
        <w:right w:val="none" w:sz="0" w:space="0" w:color="auto"/>
      </w:divBdr>
    </w:div>
    <w:div w:id="906039666">
      <w:bodyDiv w:val="1"/>
      <w:marLeft w:val="0"/>
      <w:marRight w:val="0"/>
      <w:marTop w:val="0"/>
      <w:marBottom w:val="0"/>
      <w:divBdr>
        <w:top w:val="none" w:sz="0" w:space="0" w:color="auto"/>
        <w:left w:val="none" w:sz="0" w:space="0" w:color="auto"/>
        <w:bottom w:val="none" w:sz="0" w:space="0" w:color="auto"/>
        <w:right w:val="none" w:sz="0" w:space="0" w:color="auto"/>
      </w:divBdr>
    </w:div>
    <w:div w:id="907230799">
      <w:bodyDiv w:val="1"/>
      <w:marLeft w:val="0"/>
      <w:marRight w:val="0"/>
      <w:marTop w:val="0"/>
      <w:marBottom w:val="0"/>
      <w:divBdr>
        <w:top w:val="none" w:sz="0" w:space="0" w:color="auto"/>
        <w:left w:val="none" w:sz="0" w:space="0" w:color="auto"/>
        <w:bottom w:val="none" w:sz="0" w:space="0" w:color="auto"/>
        <w:right w:val="none" w:sz="0" w:space="0" w:color="auto"/>
      </w:divBdr>
    </w:div>
    <w:div w:id="930896985">
      <w:bodyDiv w:val="1"/>
      <w:marLeft w:val="0"/>
      <w:marRight w:val="0"/>
      <w:marTop w:val="0"/>
      <w:marBottom w:val="0"/>
      <w:divBdr>
        <w:top w:val="none" w:sz="0" w:space="0" w:color="auto"/>
        <w:left w:val="none" w:sz="0" w:space="0" w:color="auto"/>
        <w:bottom w:val="none" w:sz="0" w:space="0" w:color="auto"/>
        <w:right w:val="none" w:sz="0" w:space="0" w:color="auto"/>
      </w:divBdr>
    </w:div>
    <w:div w:id="1101993928">
      <w:bodyDiv w:val="1"/>
      <w:marLeft w:val="0"/>
      <w:marRight w:val="0"/>
      <w:marTop w:val="0"/>
      <w:marBottom w:val="0"/>
      <w:divBdr>
        <w:top w:val="none" w:sz="0" w:space="0" w:color="auto"/>
        <w:left w:val="none" w:sz="0" w:space="0" w:color="auto"/>
        <w:bottom w:val="none" w:sz="0" w:space="0" w:color="auto"/>
        <w:right w:val="none" w:sz="0" w:space="0" w:color="auto"/>
      </w:divBdr>
    </w:div>
    <w:div w:id="1121535846">
      <w:bodyDiv w:val="1"/>
      <w:marLeft w:val="0"/>
      <w:marRight w:val="0"/>
      <w:marTop w:val="0"/>
      <w:marBottom w:val="0"/>
      <w:divBdr>
        <w:top w:val="none" w:sz="0" w:space="0" w:color="auto"/>
        <w:left w:val="none" w:sz="0" w:space="0" w:color="auto"/>
        <w:bottom w:val="none" w:sz="0" w:space="0" w:color="auto"/>
        <w:right w:val="none" w:sz="0" w:space="0" w:color="auto"/>
      </w:divBdr>
    </w:div>
    <w:div w:id="1402748518">
      <w:bodyDiv w:val="1"/>
      <w:marLeft w:val="0"/>
      <w:marRight w:val="0"/>
      <w:marTop w:val="0"/>
      <w:marBottom w:val="0"/>
      <w:divBdr>
        <w:top w:val="none" w:sz="0" w:space="0" w:color="auto"/>
        <w:left w:val="none" w:sz="0" w:space="0" w:color="auto"/>
        <w:bottom w:val="none" w:sz="0" w:space="0" w:color="auto"/>
        <w:right w:val="none" w:sz="0" w:space="0" w:color="auto"/>
      </w:divBdr>
    </w:div>
    <w:div w:id="189087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2506</Words>
  <Characters>14013</Characters>
  <Application>Microsoft Office Word</Application>
  <DocSecurity>0</DocSecurity>
  <Lines>318</Lines>
  <Paragraphs>150</Paragraphs>
  <ScaleCrop>false</ScaleCrop>
  <HeadingPairs>
    <vt:vector size="2" baseType="variant">
      <vt:variant>
        <vt:lpstr>Title</vt:lpstr>
      </vt:variant>
      <vt:variant>
        <vt:i4>1</vt:i4>
      </vt:variant>
    </vt:vector>
  </HeadingPairs>
  <TitlesOfParts>
    <vt:vector size="1" baseType="lpstr">
      <vt:lpstr>PR_BUD_DABapp</vt:lpstr>
    </vt:vector>
  </TitlesOfParts>
  <Company/>
  <LinksUpToDate>false</LinksUpToDate>
  <CharactersWithSpaces>16369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PR_BUD_DABapp</dc:title>
  <dc:subject/>
  <dc:creator>ARHELGER Malte</dc:creator>
  <cp:keywords/>
  <dc:description/>
  <cp:lastModifiedBy>LAGRANGE Nathalie</cp:lastModifiedBy>
  <cp:revision>2</cp:revision>
  <cp:lastPrinted>2004-05-27T07:49:00Z</cp:lastPrinted>
  <dcterms:created xsi:type="dcterms:W3CDTF">2024-04-24T06:15:00Z</dcterms:created>
  <dcterms:modified xsi:type="dcterms:W3CDTF">2024-04-24T06:15:00Z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9.17.2 Build [20240301]</vt:lpwstr>
  </property>
  <property fmtid="{D5CDD505-2E9C-101B-9397-08002B2CF9AE}" pid="4" name="LastEdited with">
    <vt:lpwstr>9.17.2 Build [20240301]</vt:lpwstr>
  </property>
  <property fmtid="{D5CDD505-2E9C-101B-9397-08002B2CF9AE}" pid="5" name="&lt;FdR&gt;">
    <vt:lpwstr>1301636</vt:lpwstr>
  </property>
  <property fmtid="{D5CDD505-2E9C-101B-9397-08002B2CF9AE}" pid="6" name="&lt;Type&gt;">
    <vt:lpwstr>RR</vt:lpwstr>
  </property>
  <property fmtid="{D5CDD505-2E9C-101B-9397-08002B2CF9AE}" pid="7" name="&lt;ModelCod&gt;">
    <vt:lpwstr>\\eiciBRUpr1\pdocep$\DocEP\DOCS\General\PR\PR_BUD\BUDGET\BUD\PR_BUD_DABapp.dotx(29/06/2020 06:46:08)</vt:lpwstr>
  </property>
  <property fmtid="{D5CDD505-2E9C-101B-9397-08002B2CF9AE}" pid="8" name="&lt;ModelTra&gt;">
    <vt:lpwstr>\\eiciBRUpr1\pdocep$\DocEP\TRANSFIL\EN\PR_BUD_DABapp.EN(28/02/2022 12:20:00)</vt:lpwstr>
  </property>
  <property fmtid="{D5CDD505-2E9C-101B-9397-08002B2CF9AE}" pid="9" name="&lt;Model&gt;">
    <vt:lpwstr>PR_BUD_DABapp</vt:lpwstr>
  </property>
  <property fmtid="{D5CDD505-2E9C-101B-9397-08002B2CF9AE}" pid="10" name="FooterPath">
    <vt:lpwstr>RR\1301636FR.docx</vt:lpwstr>
  </property>
  <property fmtid="{D5CDD505-2E9C-101B-9397-08002B2CF9AE}" pid="11" name="PE number">
    <vt:lpwstr>761.019</vt:lpwstr>
  </property>
  <property fmtid="{D5CDD505-2E9C-101B-9397-08002B2CF9AE}" pid="12" name="SendToEpades">
    <vt:lpwstr/>
  </property>
  <property fmtid="{D5CDD505-2E9C-101B-9397-08002B2CF9AE}" pid="13" name="Bookout">
    <vt:lpwstr>OK - 2024/04/24 08:15</vt:lpwstr>
  </property>
  <property fmtid="{D5CDD505-2E9C-101B-9397-08002B2CF9AE}" pid="14" name="SDLStudio">
    <vt:lpwstr/>
  </property>
</Properties>
</file>