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2A1DA" w14:textId="77777777" w:rsidR="00B07513" w:rsidRPr="00871308" w:rsidRDefault="004B2E2C">
      <w:pPr>
        <w:pStyle w:val="AmDateTab"/>
      </w:pPr>
      <w:r w:rsidRPr="00871308">
        <w:rPr>
          <w:rStyle w:val="HideTWBExt"/>
        </w:rPr>
        <w:t>&lt;RepeatBlock-Amend&gt;&lt;Amend&gt;&lt;Date&gt;</w:t>
      </w:r>
      <w:r w:rsidRPr="00871308">
        <w:rPr>
          <w:rStyle w:val="HideTWBInt"/>
        </w:rPr>
        <w:t>{19/11/2025}</w:t>
      </w:r>
      <w:r w:rsidRPr="00871308">
        <w:t>19.11.2025</w:t>
      </w:r>
      <w:r w:rsidRPr="00871308">
        <w:rPr>
          <w:rStyle w:val="HideTWBExt"/>
        </w:rPr>
        <w:t>&lt;/Date&gt;</w:t>
      </w:r>
      <w:r w:rsidRPr="00871308">
        <w:tab/>
      </w:r>
      <w:r w:rsidRPr="00871308">
        <w:rPr>
          <w:rStyle w:val="HideTWBExt"/>
        </w:rPr>
        <w:t>&lt;ANo&gt;</w:t>
      </w:r>
      <w:r w:rsidRPr="00871308">
        <w:t>A10-0231</w:t>
      </w:r>
      <w:r w:rsidRPr="00871308">
        <w:rPr>
          <w:rStyle w:val="HideTWBExt"/>
        </w:rPr>
        <w:t>&lt;/ANo&gt;</w:t>
      </w:r>
      <w:r w:rsidRPr="00871308">
        <w:t>/</w:t>
      </w:r>
      <w:r w:rsidRPr="00871308">
        <w:rPr>
          <w:rStyle w:val="HideTWBExt"/>
        </w:rPr>
        <w:t>&lt;NumAm&gt;</w:t>
      </w:r>
      <w:r w:rsidRPr="00871308">
        <w:t>2</w:t>
      </w:r>
      <w:r w:rsidRPr="00871308">
        <w:rPr>
          <w:rStyle w:val="HideTWBExt"/>
        </w:rPr>
        <w:t>&lt;/NumAm&gt;</w:t>
      </w:r>
    </w:p>
    <w:p w14:paraId="5AB808ED" w14:textId="77777777" w:rsidR="00B07513" w:rsidRPr="00871308" w:rsidRDefault="004B2E2C">
      <w:pPr>
        <w:pStyle w:val="AmNumberTabs"/>
      </w:pPr>
      <w:r w:rsidRPr="00871308">
        <w:t>Amendment</w:t>
      </w:r>
      <w:r w:rsidRPr="00871308">
        <w:tab/>
      </w:r>
      <w:r w:rsidRPr="00871308">
        <w:tab/>
      </w:r>
      <w:r w:rsidRPr="00871308">
        <w:rPr>
          <w:rStyle w:val="HideTWBExt"/>
        </w:rPr>
        <w:t>&lt;NumAm&gt;</w:t>
      </w:r>
      <w:r w:rsidRPr="00871308">
        <w:t>2</w:t>
      </w:r>
      <w:r w:rsidRPr="00871308">
        <w:rPr>
          <w:rStyle w:val="HideTWBExt"/>
        </w:rPr>
        <w:t>&lt;/NumAm&gt;</w:t>
      </w:r>
    </w:p>
    <w:p w14:paraId="613B590B" w14:textId="77777777" w:rsidR="00B07513" w:rsidRPr="00871308" w:rsidRDefault="004B2E2C">
      <w:pPr>
        <w:pStyle w:val="NormalBold"/>
      </w:pPr>
      <w:r w:rsidRPr="00871308">
        <w:rPr>
          <w:rStyle w:val="HideTWBExt"/>
          <w:b w:val="0"/>
        </w:rPr>
        <w:t>&lt;RepeatBlock-By&gt;&lt;By&gt;&lt;Members&gt;</w:t>
      </w:r>
      <w:r w:rsidRPr="00871308">
        <w:t>Tineke Strik, Daniel Freund, Vicent Marzà Ibáñez</w:t>
      </w:r>
      <w:r w:rsidRPr="00871308">
        <w:rPr>
          <w:rStyle w:val="HideTWBExt"/>
          <w:b w:val="0"/>
        </w:rPr>
        <w:t>&lt;/Members&gt;</w:t>
      </w:r>
    </w:p>
    <w:p w14:paraId="3CD3D8E2" w14:textId="77777777" w:rsidR="00B07513" w:rsidRPr="00871308" w:rsidRDefault="004B2E2C">
      <w:r w:rsidRPr="00871308">
        <w:rPr>
          <w:rStyle w:val="HideTWBExt"/>
        </w:rPr>
        <w:t>&lt;AuNomDe&gt;</w:t>
      </w:r>
      <w:r w:rsidRPr="00871308">
        <w:rPr>
          <w:rStyle w:val="HideTWBInt"/>
        </w:rPr>
        <w:t>{Verts/ALE}</w:t>
      </w:r>
      <w:r w:rsidRPr="00871308">
        <w:t>on behalf of the Verts/ALE Group</w:t>
      </w:r>
      <w:r w:rsidRPr="00871308">
        <w:rPr>
          <w:rStyle w:val="HideTWBExt"/>
        </w:rPr>
        <w:t>&lt;/AuNomDe&gt;</w:t>
      </w:r>
    </w:p>
    <w:p w14:paraId="2634206F" w14:textId="77777777" w:rsidR="00B07513" w:rsidRPr="00871308" w:rsidRDefault="004B2E2C">
      <w:pPr>
        <w:pStyle w:val="NormalBold"/>
      </w:pPr>
      <w:r w:rsidRPr="00871308">
        <w:rPr>
          <w:rStyle w:val="HideTWBExt"/>
          <w:b w:val="0"/>
        </w:rPr>
        <w:t>&lt;Members&gt;</w:t>
      </w:r>
      <w:r w:rsidRPr="00871308">
        <w:t>Krzysztof Śmiszek, Javier Moreno Sánchez, Matjaž Nemec, Chloé Ridel, Aodhán Ó Ríordáin, Juan Fernando López Aguilar</w:t>
      </w:r>
      <w:r w:rsidRPr="00871308">
        <w:rPr>
          <w:rStyle w:val="HideTWBExt"/>
          <w:b w:val="0"/>
        </w:rPr>
        <w:t>&lt;/Members&gt;</w:t>
      </w:r>
    </w:p>
    <w:p w14:paraId="38CCFCFE" w14:textId="77777777" w:rsidR="00B07513" w:rsidRPr="00871308" w:rsidRDefault="004B2E2C">
      <w:r w:rsidRPr="00871308">
        <w:rPr>
          <w:rStyle w:val="HideTWBExt"/>
        </w:rPr>
        <w:t>&lt;AuNomDe&gt;</w:t>
      </w:r>
      <w:r w:rsidRPr="00871308">
        <w:rPr>
          <w:rStyle w:val="HideTWBInt"/>
        </w:rPr>
        <w:t>{S&amp;D}</w:t>
      </w:r>
      <w:r w:rsidRPr="00871308">
        <w:t>on behalf of the S&amp;D Group</w:t>
      </w:r>
      <w:r w:rsidRPr="00871308">
        <w:rPr>
          <w:rStyle w:val="HideTWBExt"/>
        </w:rPr>
        <w:t>&lt;/AuNomDe&gt;</w:t>
      </w:r>
    </w:p>
    <w:p w14:paraId="2B127EBB" w14:textId="77777777" w:rsidR="00B07513" w:rsidRPr="00871308" w:rsidRDefault="004B2E2C">
      <w:pPr>
        <w:pStyle w:val="NormalBold"/>
      </w:pPr>
      <w:r w:rsidRPr="00871308">
        <w:rPr>
          <w:rStyle w:val="HideTWBExt"/>
          <w:b w:val="0"/>
        </w:rPr>
        <w:t>&lt;Members&gt;</w:t>
      </w:r>
      <w:r w:rsidRPr="00871308">
        <w:t>Konstantinos Arvanitis, Manon Aubry, Ilaria Salis, Damien Carême, Anthony Smith, Rima Hassan, Leila Chaibi, Pernando Barrena Arza</w:t>
      </w:r>
      <w:r w:rsidRPr="00871308">
        <w:rPr>
          <w:rStyle w:val="HideTWBExt"/>
          <w:b w:val="0"/>
        </w:rPr>
        <w:t>&lt;/Members&gt;</w:t>
      </w:r>
    </w:p>
    <w:p w14:paraId="7F949955" w14:textId="77777777" w:rsidR="00B07513" w:rsidRPr="00871308" w:rsidRDefault="004B2E2C">
      <w:pPr>
        <w:pStyle w:val="NormalBold"/>
      </w:pPr>
      <w:r w:rsidRPr="00871308">
        <w:rPr>
          <w:rStyle w:val="HideTWBExt"/>
          <w:b w:val="0"/>
        </w:rPr>
        <w:t>&lt;/By&gt;&lt;/RepeatBlock-By&gt;</w:t>
      </w:r>
    </w:p>
    <w:p w14:paraId="02CB4413" w14:textId="77777777" w:rsidR="00B07513" w:rsidRPr="00871308" w:rsidRDefault="004B2E2C">
      <w:pPr>
        <w:pStyle w:val="AmDocTypeTab"/>
      </w:pPr>
      <w:r w:rsidRPr="00871308">
        <w:rPr>
          <w:rStyle w:val="HideTWBExt"/>
        </w:rPr>
        <w:t>&lt;TitreType&gt;</w:t>
      </w:r>
      <w:r w:rsidRPr="00871308">
        <w:t>Report</w:t>
      </w:r>
      <w:r w:rsidRPr="00871308">
        <w:rPr>
          <w:rStyle w:val="HideTWBExt"/>
        </w:rPr>
        <w:t>&lt;/TitreType&gt;</w:t>
      </w:r>
      <w:r w:rsidRPr="00871308">
        <w:tab/>
        <w:t>A10-0231/2025</w:t>
      </w:r>
    </w:p>
    <w:p w14:paraId="4AFF397C" w14:textId="77777777" w:rsidR="00B07513" w:rsidRPr="00871308" w:rsidRDefault="004B2E2C">
      <w:pPr>
        <w:pStyle w:val="NormalBold"/>
      </w:pPr>
      <w:r w:rsidRPr="00871308">
        <w:rPr>
          <w:rStyle w:val="HideTWBExt"/>
        </w:rPr>
        <w:t>&lt;Rapporteur&gt;</w:t>
      </w:r>
      <w:r w:rsidRPr="00871308">
        <w:t>Tineke Strik</w:t>
      </w:r>
      <w:r w:rsidRPr="00871308">
        <w:rPr>
          <w:rStyle w:val="HideTWBExt"/>
        </w:rPr>
        <w:t>&lt;/Rapporteur&gt;</w:t>
      </w:r>
    </w:p>
    <w:p w14:paraId="3C4D26D0" w14:textId="77777777" w:rsidR="00B07513" w:rsidRPr="00871308" w:rsidRDefault="004B2E2C">
      <w:r w:rsidRPr="00871308">
        <w:rPr>
          <w:rStyle w:val="HideTWBExt"/>
        </w:rPr>
        <w:t>&lt;Titre&gt;</w:t>
      </w:r>
      <w:r w:rsidRPr="00871308">
        <w:t>Existence of a clear risk of a serious breach by Hungary of the values on which the Union is founded</w:t>
      </w:r>
      <w:r w:rsidRPr="00871308">
        <w:rPr>
          <w:rStyle w:val="HideTWBExt"/>
        </w:rPr>
        <w:t>&lt;/Titre&gt;</w:t>
      </w:r>
    </w:p>
    <w:p w14:paraId="76D6BF18" w14:textId="6FF8822F" w:rsidR="00B07513" w:rsidRPr="00871308" w:rsidRDefault="004B2E2C">
      <w:pPr>
        <w:pStyle w:val="Normal12a"/>
      </w:pPr>
      <w:r w:rsidRPr="00871308">
        <w:rPr>
          <w:rStyle w:val="HideTWBExt"/>
        </w:rPr>
        <w:t>&lt;DocRef&gt;</w:t>
      </w:r>
      <w:r w:rsidRPr="00871308">
        <w:t>(2018/0902R(NLE))</w:t>
      </w:r>
      <w:r w:rsidRPr="00871308">
        <w:rPr>
          <w:rStyle w:val="HideTWBExt"/>
        </w:rPr>
        <w:t>&lt;/DocRef&gt;</w:t>
      </w:r>
    </w:p>
    <w:p w14:paraId="276DEB24" w14:textId="77777777" w:rsidR="00B07513" w:rsidRPr="00871308" w:rsidRDefault="004B2E2C">
      <w:pPr>
        <w:pStyle w:val="NormalBold"/>
      </w:pPr>
      <w:r w:rsidRPr="00871308">
        <w:rPr>
          <w:rStyle w:val="HideTWBExt"/>
        </w:rPr>
        <w:t>&lt;DocAmend&gt;</w:t>
      </w:r>
      <w:r w:rsidRPr="00871308">
        <w:t>Motion for a resolution</w:t>
      </w:r>
      <w:r w:rsidRPr="00871308">
        <w:rPr>
          <w:rStyle w:val="HideTWBExt"/>
        </w:rPr>
        <w:t>&lt;/DocAmend&gt;</w:t>
      </w:r>
    </w:p>
    <w:p w14:paraId="3EE27B73" w14:textId="77777777" w:rsidR="00B07513" w:rsidRPr="00871308" w:rsidRDefault="004B2E2C">
      <w:pPr>
        <w:pStyle w:val="NormalBold"/>
      </w:pPr>
      <w:r w:rsidRPr="00871308">
        <w:rPr>
          <w:rStyle w:val="HideTWBExt"/>
        </w:rPr>
        <w:t>&lt;Article&gt;</w:t>
      </w:r>
      <w:r w:rsidRPr="00871308">
        <w:t>Paragraph 9</w:t>
      </w:r>
      <w:r w:rsidRPr="0087130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13" w:rsidRPr="00871308" w14:paraId="4727C3AE" w14:textId="77777777">
        <w:trPr>
          <w:trHeight w:hRule="exact" w:val="240"/>
          <w:jc w:val="center"/>
        </w:trPr>
        <w:tc>
          <w:tcPr>
            <w:tcW w:w="9752" w:type="dxa"/>
            <w:gridSpan w:val="2"/>
            <w:tcBorders>
              <w:top w:val="nil"/>
              <w:left w:val="nil"/>
              <w:bottom w:val="nil"/>
              <w:right w:val="nil"/>
            </w:tcBorders>
          </w:tcPr>
          <w:p w14:paraId="11A6CD89" w14:textId="77777777" w:rsidR="00B07513" w:rsidRPr="00871308" w:rsidRDefault="00B07513"/>
        </w:tc>
      </w:tr>
      <w:tr w:rsidR="00B07513" w:rsidRPr="00871308" w14:paraId="6A1A8299" w14:textId="77777777">
        <w:trPr>
          <w:trHeight w:val="240"/>
          <w:jc w:val="center"/>
        </w:trPr>
        <w:tc>
          <w:tcPr>
            <w:tcW w:w="4876" w:type="dxa"/>
            <w:tcBorders>
              <w:top w:val="nil"/>
              <w:left w:val="nil"/>
              <w:bottom w:val="nil"/>
              <w:right w:val="nil"/>
            </w:tcBorders>
          </w:tcPr>
          <w:p w14:paraId="5B8ACBEB" w14:textId="77777777" w:rsidR="00B07513" w:rsidRPr="00871308" w:rsidRDefault="004B2E2C">
            <w:pPr>
              <w:pStyle w:val="AmColumnHeading"/>
            </w:pPr>
            <w:r w:rsidRPr="00871308">
              <w:t>Motion for a resolution</w:t>
            </w:r>
          </w:p>
        </w:tc>
        <w:tc>
          <w:tcPr>
            <w:tcW w:w="4876" w:type="dxa"/>
            <w:tcBorders>
              <w:top w:val="nil"/>
              <w:left w:val="nil"/>
              <w:bottom w:val="nil"/>
              <w:right w:val="nil"/>
            </w:tcBorders>
          </w:tcPr>
          <w:p w14:paraId="76BDCAD0" w14:textId="77777777" w:rsidR="00B07513" w:rsidRPr="00871308" w:rsidRDefault="004B2E2C">
            <w:pPr>
              <w:pStyle w:val="AmColumnHeading"/>
            </w:pPr>
            <w:r w:rsidRPr="00871308">
              <w:t>Amendment</w:t>
            </w:r>
          </w:p>
        </w:tc>
      </w:tr>
      <w:tr w:rsidR="00B07513" w:rsidRPr="00871308" w14:paraId="21214600" w14:textId="77777777">
        <w:trPr>
          <w:jc w:val="center"/>
        </w:trPr>
        <w:tc>
          <w:tcPr>
            <w:tcW w:w="4876" w:type="dxa"/>
            <w:tcBorders>
              <w:top w:val="nil"/>
              <w:left w:val="nil"/>
              <w:bottom w:val="nil"/>
              <w:right w:val="nil"/>
            </w:tcBorders>
          </w:tcPr>
          <w:p w14:paraId="16111D4C" w14:textId="77777777" w:rsidR="00B07513" w:rsidRPr="00871308" w:rsidRDefault="004B2E2C">
            <w:pPr>
              <w:pStyle w:val="Normal6a"/>
            </w:pPr>
            <w:r w:rsidRPr="00871308">
              <w:t>9.</w:t>
            </w:r>
            <w:r w:rsidRPr="00871308">
              <w:tab/>
              <w:t>Recalls the importance of the Rule of Law Conditionality Regulation and welcomes Commission Decision C(2023)8999 of 13 December 2023</w:t>
            </w:r>
            <w:r w:rsidRPr="00871308">
              <w:rPr>
                <w:vertAlign w:val="superscript"/>
              </w:rPr>
              <w:t>34</w:t>
            </w:r>
            <w:r w:rsidRPr="00871308">
              <w:t xml:space="preserve"> confirming that the risk to the Union budget has remained unchanged since December 2022, thus prolonging the measures adopted under the regulation in relation to the risk of corruption; calls on the Commission to take immediate action under the regulation as regards other breaches of the rule of law, such as those related to the judiciary, and bearing in mind the deteriorating anti-corruption situation, such as the persistent obstacles facing the Integrity Authority, hindering its effective and independent operation, including limitations on its mandate, resources and ability to follow up on cases, and to suggest, in the light of the further deterioration of the situation, </w:t>
            </w:r>
            <w:r w:rsidRPr="00871308">
              <w:rPr>
                <w:b/>
                <w:i/>
              </w:rPr>
              <w:t>additional proportionate</w:t>
            </w:r>
            <w:r w:rsidRPr="00871308">
              <w:t xml:space="preserve"> measures </w:t>
            </w:r>
            <w:r w:rsidRPr="00871308">
              <w:rPr>
                <w:b/>
                <w:i/>
              </w:rPr>
              <w:t>affecting parts or, where duly justified, the entirety</w:t>
            </w:r>
            <w:r w:rsidRPr="00871308">
              <w:t xml:space="preserve"> of budgetary commitments and payments to Hungary</w:t>
            </w:r>
            <w:r w:rsidRPr="00871308">
              <w:rPr>
                <w:b/>
                <w:i/>
              </w:rPr>
              <w:t>, calibrated to the nature, gravity and persistence of the breaches identified</w:t>
            </w:r>
            <w:r w:rsidRPr="00871308">
              <w:t xml:space="preserve">, while ensuring safeguards to protect final </w:t>
            </w:r>
            <w:r w:rsidRPr="00871308">
              <w:lastRenderedPageBreak/>
              <w:t>beneficiaries;</w:t>
            </w:r>
          </w:p>
        </w:tc>
        <w:tc>
          <w:tcPr>
            <w:tcW w:w="4876" w:type="dxa"/>
            <w:tcBorders>
              <w:top w:val="nil"/>
              <w:left w:val="nil"/>
              <w:bottom w:val="nil"/>
              <w:right w:val="nil"/>
            </w:tcBorders>
          </w:tcPr>
          <w:p w14:paraId="299DADCC" w14:textId="4DF73E72" w:rsidR="00B07513" w:rsidRPr="00871308" w:rsidRDefault="004B2E2C">
            <w:pPr>
              <w:pStyle w:val="Normal6a"/>
            </w:pPr>
            <w:r w:rsidRPr="00871308">
              <w:lastRenderedPageBreak/>
              <w:t>9.</w:t>
            </w:r>
            <w:r w:rsidRPr="00871308">
              <w:tab/>
              <w:t>Recalls the importance of the Rule of Law Conditionality Regulation and welcomes Commission Decision C(2023)8999 of 13 December 2023</w:t>
            </w:r>
            <w:r w:rsidRPr="00871308">
              <w:rPr>
                <w:vertAlign w:val="superscript"/>
              </w:rPr>
              <w:t>34</w:t>
            </w:r>
            <w:r w:rsidRPr="00871308">
              <w:t xml:space="preserve"> confirming that the risk to the Union budget has remained unchanged since December 2022, thus prolonging the measures adopted under the regulation in relation to the risk of corruption; calls on the Commission to take immediate action under the regulation as regards other breaches of the rule of law, such as those related to the judiciary, and bearing in mind the deteriorating anti-corruption situation, such as the persistent obstacles facing the Integrity Authority, hindering its effective and independent operation, including limitations on its mandate, resources and ability to follow up on cases, and to suggest, in the light of the further deterioration of the situation, measures </w:t>
            </w:r>
            <w:r w:rsidRPr="00871308">
              <w:rPr>
                <w:b/>
                <w:i/>
              </w:rPr>
              <w:t>covering 100</w:t>
            </w:r>
            <w:r w:rsidR="00BB38C3" w:rsidRPr="00871308">
              <w:rPr>
                <w:b/>
                <w:i/>
              </w:rPr>
              <w:t> </w:t>
            </w:r>
            <w:r w:rsidRPr="00871308">
              <w:rPr>
                <w:b/>
                <w:i/>
              </w:rPr>
              <w:t>%</w:t>
            </w:r>
            <w:r w:rsidRPr="00871308">
              <w:t xml:space="preserve"> of budgetary commitments and payments to Hungary, while ensuring safeguards to protect final beneficiaries;</w:t>
            </w:r>
          </w:p>
        </w:tc>
      </w:tr>
      <w:tr w:rsidR="00B07513" w:rsidRPr="00871308" w14:paraId="6026CF2F" w14:textId="77777777">
        <w:trPr>
          <w:jc w:val="center"/>
        </w:trPr>
        <w:tc>
          <w:tcPr>
            <w:tcW w:w="4876" w:type="dxa"/>
            <w:tcBorders>
              <w:top w:val="nil"/>
              <w:left w:val="nil"/>
              <w:bottom w:val="nil"/>
              <w:right w:val="nil"/>
            </w:tcBorders>
          </w:tcPr>
          <w:p w14:paraId="14872E24" w14:textId="77777777" w:rsidR="00B07513" w:rsidRPr="00871308" w:rsidRDefault="004B2E2C">
            <w:pPr>
              <w:pStyle w:val="Normal6a"/>
            </w:pPr>
            <w:r w:rsidRPr="00871308">
              <w:rPr>
                <w:b/>
                <w:i/>
              </w:rPr>
              <w:t>_________________</w:t>
            </w:r>
          </w:p>
        </w:tc>
        <w:tc>
          <w:tcPr>
            <w:tcW w:w="4876" w:type="dxa"/>
            <w:tcBorders>
              <w:top w:val="nil"/>
              <w:left w:val="nil"/>
              <w:bottom w:val="nil"/>
              <w:right w:val="nil"/>
            </w:tcBorders>
          </w:tcPr>
          <w:p w14:paraId="2101E123" w14:textId="77777777" w:rsidR="00B07513" w:rsidRPr="00871308" w:rsidRDefault="004B2E2C">
            <w:pPr>
              <w:pStyle w:val="Normal6a"/>
            </w:pPr>
            <w:r w:rsidRPr="00871308">
              <w:rPr>
                <w:b/>
                <w:i/>
              </w:rPr>
              <w:t>_________________</w:t>
            </w:r>
          </w:p>
        </w:tc>
      </w:tr>
      <w:tr w:rsidR="00B07513" w:rsidRPr="00871308" w14:paraId="2179B624" w14:textId="77777777">
        <w:trPr>
          <w:jc w:val="center"/>
        </w:trPr>
        <w:tc>
          <w:tcPr>
            <w:tcW w:w="4876" w:type="dxa"/>
            <w:tcBorders>
              <w:top w:val="nil"/>
              <w:left w:val="nil"/>
              <w:bottom w:val="nil"/>
              <w:right w:val="nil"/>
            </w:tcBorders>
          </w:tcPr>
          <w:p w14:paraId="4BE72540" w14:textId="4C13CF4B" w:rsidR="00B07513" w:rsidRPr="00871308" w:rsidRDefault="004B2E2C">
            <w:pPr>
              <w:pStyle w:val="Normal6a"/>
            </w:pPr>
            <w:r w:rsidRPr="00871308">
              <w:rPr>
                <w:vertAlign w:val="superscript"/>
              </w:rPr>
              <w:t>34</w:t>
            </w:r>
            <w:r w:rsidRPr="00871308">
              <w:t xml:space="preserve"> Commission Decision of 13 December 2023 on the reassessment, on the Commission</w:t>
            </w:r>
            <w:r w:rsidR="00871308">
              <w:t>’</w:t>
            </w:r>
            <w:r w:rsidRPr="00871308">
              <w:t>s initiative, of the fulfilment of the conditions under Article 4 of Regulation (EU, Euratom) 2020/2092 following Council Implementing Decision (EU) 2022/2506 of 15 December 2022 regarding Hungary, (C(2023)8999).</w:t>
            </w:r>
          </w:p>
        </w:tc>
        <w:tc>
          <w:tcPr>
            <w:tcW w:w="4876" w:type="dxa"/>
            <w:tcBorders>
              <w:top w:val="nil"/>
              <w:left w:val="nil"/>
              <w:bottom w:val="nil"/>
              <w:right w:val="nil"/>
            </w:tcBorders>
          </w:tcPr>
          <w:p w14:paraId="7D8CE6A8" w14:textId="53F3F025" w:rsidR="00B07513" w:rsidRPr="00871308" w:rsidRDefault="004B2E2C">
            <w:pPr>
              <w:pStyle w:val="Normal6a"/>
            </w:pPr>
            <w:r w:rsidRPr="00871308">
              <w:rPr>
                <w:vertAlign w:val="superscript"/>
              </w:rPr>
              <w:t>34</w:t>
            </w:r>
            <w:r w:rsidRPr="00871308">
              <w:t xml:space="preserve"> Commission Decision of 13 December 2023 on the reassessment, on the Commission</w:t>
            </w:r>
            <w:r w:rsidR="00871308">
              <w:t>’</w:t>
            </w:r>
            <w:r w:rsidRPr="00871308">
              <w:t>s initiative, of the fulfilment of the conditions under Article 4 of Regulation (EU, Euratom) 2020/2092 following Council Implementing Decision (EU) 2022/2506 of 15 December 2022 regarding Hungary, (C(2023)8999).</w:t>
            </w:r>
          </w:p>
        </w:tc>
      </w:tr>
    </w:tbl>
    <w:p w14:paraId="554D4756" w14:textId="77777777" w:rsidR="00B07513" w:rsidRPr="00871308" w:rsidRDefault="004B2E2C">
      <w:pPr>
        <w:pStyle w:val="AmOrLang"/>
      </w:pPr>
      <w:r w:rsidRPr="00871308">
        <w:t xml:space="preserve">Or. </w:t>
      </w:r>
      <w:r w:rsidRPr="00871308">
        <w:rPr>
          <w:rStyle w:val="HideTWBExt"/>
        </w:rPr>
        <w:t>&lt;Original&gt;</w:t>
      </w:r>
      <w:r w:rsidRPr="00871308">
        <w:rPr>
          <w:rStyle w:val="HideTWBInt"/>
        </w:rPr>
        <w:t>{EN}</w:t>
      </w:r>
      <w:proofErr w:type="spellStart"/>
      <w:r w:rsidRPr="00871308">
        <w:t>en</w:t>
      </w:r>
      <w:proofErr w:type="spellEnd"/>
      <w:r w:rsidRPr="00871308">
        <w:rPr>
          <w:rStyle w:val="HideTWBExt"/>
        </w:rPr>
        <w:t>&lt;/Original&gt;</w:t>
      </w:r>
    </w:p>
    <w:p w14:paraId="10B69A4B" w14:textId="77777777" w:rsidR="00B07513" w:rsidRPr="00871308" w:rsidRDefault="004B2E2C">
      <w:r w:rsidRPr="00871308">
        <w:rPr>
          <w:rStyle w:val="HideTWBExt"/>
        </w:rPr>
        <w:t>&lt;/Amend&gt;</w:t>
      </w:r>
    </w:p>
    <w:p w14:paraId="4849DFE0" w14:textId="77777777" w:rsidR="00B07513" w:rsidRPr="00871308" w:rsidRDefault="004B2E2C">
      <w:r w:rsidRPr="00871308">
        <w:rPr>
          <w:rStyle w:val="HideTWBExt"/>
        </w:rPr>
        <w:t>&lt;/RepeatBlock-Amend&gt;</w:t>
      </w:r>
    </w:p>
    <w:sectPr w:rsidR="00B07513" w:rsidRPr="00871308">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8F672" w14:textId="77777777" w:rsidR="004B2E2C" w:rsidRPr="00871308" w:rsidRDefault="004B2E2C">
      <w:r w:rsidRPr="00871308">
        <w:separator/>
      </w:r>
    </w:p>
  </w:endnote>
  <w:endnote w:type="continuationSeparator" w:id="0">
    <w:p w14:paraId="57555674" w14:textId="77777777" w:rsidR="004B2E2C" w:rsidRPr="00871308" w:rsidRDefault="004B2E2C">
      <w:r w:rsidRPr="008713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BF198" w14:textId="77777777" w:rsidR="004B2E2C" w:rsidRPr="00871308" w:rsidRDefault="004B2E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4CFB5" w14:textId="77777777" w:rsidR="007F49A3" w:rsidRPr="00871308" w:rsidRDefault="007F49A3" w:rsidP="007F49A3">
    <w:pPr>
      <w:pStyle w:val="EPFooter"/>
      <w:rPr>
        <w:lang w:val="de-DE"/>
      </w:rPr>
    </w:pPr>
    <w:r w:rsidRPr="00871308">
      <w:rPr>
        <w:rStyle w:val="HideTWBExt"/>
        <w:lang w:val="de-DE"/>
      </w:rPr>
      <w:t>&lt;PathFdR&gt;</w:t>
    </w:r>
    <w:r w:rsidRPr="00871308">
      <w:rPr>
        <w:lang w:val="de-DE"/>
      </w:rPr>
      <w:t>AM\1332424EN.docx</w:t>
    </w:r>
    <w:r w:rsidRPr="00871308">
      <w:rPr>
        <w:rStyle w:val="HideTWBExt"/>
        <w:lang w:val="de-DE"/>
      </w:rPr>
      <w:t>&lt;/PathFdR&gt;</w:t>
    </w:r>
    <w:r w:rsidRPr="00871308">
      <w:rPr>
        <w:lang w:val="de-DE"/>
      </w:rPr>
      <w:tab/>
    </w:r>
    <w:r w:rsidRPr="00871308">
      <w:rPr>
        <w:lang w:val="de-DE"/>
      </w:rPr>
      <w:tab/>
      <w:t>PE</w:t>
    </w:r>
    <w:r w:rsidRPr="00871308">
      <w:rPr>
        <w:rStyle w:val="HideTWBExt"/>
        <w:lang w:val="de-DE"/>
      </w:rPr>
      <w:t>&lt;NoPE&gt;</w:t>
    </w:r>
    <w:r w:rsidRPr="00871308">
      <w:rPr>
        <w:lang w:val="de-DE"/>
      </w:rPr>
      <w:t>778.835</w:t>
    </w:r>
    <w:r w:rsidRPr="00871308">
      <w:rPr>
        <w:rStyle w:val="HideTWBExt"/>
        <w:lang w:val="de-DE"/>
      </w:rPr>
      <w:t>&lt;/NoPE&gt;&lt;Version&gt;</w:t>
    </w:r>
    <w:r w:rsidRPr="00871308">
      <w:rPr>
        <w:lang w:val="de-DE"/>
      </w:rPr>
      <w:t>v01-00</w:t>
    </w:r>
    <w:r w:rsidRPr="00871308">
      <w:rPr>
        <w:rStyle w:val="HideTWBExt"/>
        <w:lang w:val="de-DE"/>
      </w:rPr>
      <w:t>&lt;/Version&gt;</w:t>
    </w:r>
  </w:p>
  <w:p w14:paraId="4FD59AEC" w14:textId="5C55D0FC" w:rsidR="00B07513" w:rsidRPr="00871308" w:rsidRDefault="007F49A3" w:rsidP="007F49A3">
    <w:pPr>
      <w:pStyle w:val="EPFooter2"/>
    </w:pPr>
    <w:r w:rsidRPr="00871308">
      <w:t>EN</w:t>
    </w:r>
    <w:r w:rsidRPr="00871308">
      <w:tab/>
    </w:r>
    <w:r w:rsidRPr="00871308">
      <w:rPr>
        <w:b w:val="0"/>
        <w:i/>
        <w:color w:val="C0C0C0"/>
        <w:sz w:val="22"/>
      </w:rPr>
      <w:t>United in diversity</w:t>
    </w:r>
    <w:r w:rsidRPr="00871308">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B1824" w14:textId="77777777" w:rsidR="004B2E2C" w:rsidRPr="00871308" w:rsidRDefault="004B2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D6D49" w14:textId="77777777" w:rsidR="004B2E2C" w:rsidRPr="00871308" w:rsidRDefault="004B2E2C">
      <w:r w:rsidRPr="00871308">
        <w:separator/>
      </w:r>
    </w:p>
  </w:footnote>
  <w:footnote w:type="continuationSeparator" w:id="0">
    <w:p w14:paraId="6E9EDEB5" w14:textId="77777777" w:rsidR="004B2E2C" w:rsidRPr="00871308" w:rsidRDefault="004B2E2C">
      <w:r w:rsidRPr="008713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13335" w14:textId="77777777" w:rsidR="004B2E2C" w:rsidRPr="00871308" w:rsidRDefault="004B2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5E173" w14:textId="77777777" w:rsidR="004B2E2C" w:rsidRPr="00871308" w:rsidRDefault="004B2E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72FAD" w14:textId="77777777" w:rsidR="004B2E2C" w:rsidRPr="00871308" w:rsidRDefault="004B2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32"/>
    <w:docVar w:name="TXTLANGUE" w:val="EN"/>
    <w:docVar w:name="TXTLANGUEMIN" w:val="en"/>
    <w:docVar w:name="TXTNRPE" w:val="778.835"/>
    <w:docVar w:name="TXTPEorAP" w:val="PE"/>
    <w:docVar w:name="TXTROUTE" w:val="AM\1332424EN.docx"/>
    <w:docVar w:name="TXTVERSION" w:val="01-00"/>
  </w:docVars>
  <w:rsids>
    <w:rsidRoot w:val="00A77B3E"/>
    <w:rsid w:val="00093164"/>
    <w:rsid w:val="00253EF6"/>
    <w:rsid w:val="004B2D13"/>
    <w:rsid w:val="004B2E2C"/>
    <w:rsid w:val="007F49A3"/>
    <w:rsid w:val="00871308"/>
    <w:rsid w:val="00A77B3E"/>
    <w:rsid w:val="00B07513"/>
    <w:rsid w:val="00B746A7"/>
    <w:rsid w:val="00BB38C3"/>
    <w:rsid w:val="00CA2A55"/>
    <w:rsid w:val="00DE5F9A"/>
    <w:rsid w:val="00FB1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E7CA2"/>
  <w15:docId w15:val="{9C171F8B-1FA6-43C4-827F-0165544F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F49A3"/>
    <w:pPr>
      <w:tabs>
        <w:tab w:val="center" w:pos="4513"/>
        <w:tab w:val="right" w:pos="9026"/>
      </w:tabs>
    </w:pPr>
  </w:style>
  <w:style w:type="character" w:customStyle="1" w:styleId="HeaderChar">
    <w:name w:val="Header Char"/>
    <w:basedOn w:val="DefaultParagraphFont"/>
    <w:link w:val="Header"/>
    <w:rsid w:val="007F49A3"/>
    <w:rPr>
      <w:sz w:val="24"/>
      <w:szCs w:val="24"/>
    </w:rPr>
  </w:style>
  <w:style w:type="paragraph" w:styleId="Footer">
    <w:name w:val="footer"/>
    <w:basedOn w:val="Normal"/>
    <w:link w:val="FooterChar1"/>
    <w:rsid w:val="007F49A3"/>
    <w:pPr>
      <w:tabs>
        <w:tab w:val="center" w:pos="4513"/>
        <w:tab w:val="right" w:pos="9026"/>
      </w:tabs>
    </w:pPr>
  </w:style>
  <w:style w:type="character" w:customStyle="1" w:styleId="FooterChar1">
    <w:name w:val="Footer Char1"/>
    <w:basedOn w:val="DefaultParagraphFont"/>
    <w:link w:val="Footer"/>
    <w:rsid w:val="007F49A3"/>
    <w:rPr>
      <w:sz w:val="24"/>
      <w:szCs w:val="24"/>
    </w:rPr>
  </w:style>
  <w:style w:type="paragraph" w:styleId="Revision">
    <w:name w:val="Revision"/>
    <w:hidden/>
    <w:uiPriority w:val="99"/>
    <w:semiHidden/>
    <w:rsid w:val="00BB38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3175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MC CORMICK Shannon</cp:lastModifiedBy>
  <cp:revision>2</cp:revision>
  <dcterms:created xsi:type="dcterms:W3CDTF">2025-11-19T14:09:00Z</dcterms:created>
  <dcterms:modified xsi:type="dcterms:W3CDTF">2025-11-19T14:09:00Z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1332424</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290214</vt:lpwstr>
  </property>
  <property fmtid="{D5CDD505-2E9C-101B-9397-08002B2CF9AE}" pid="7" name="dmxml.render.traceId">
    <vt:lpwstr>691dbfe56f1a6d2eaaacbd12bb0a9947</vt:lpwstr>
  </property>
  <property fmtid="{D5CDD505-2E9C-101B-9397-08002B2CF9AE}" pid="8" name="FooterPath">
    <vt:lpwstr>AM\1332424EN.docx</vt:lpwstr>
  </property>
  <property fmtid="{D5CDD505-2E9C-101B-9397-08002B2CF9AE}" pid="9" name="PE Number">
    <vt:lpwstr>778.835</vt:lpwstr>
  </property>
  <property fmtid="{D5CDD505-2E9C-101B-9397-08002B2CF9AE}" pid="10" name="UID">
    <vt:lpwstr>eu.europa.europarl-DIN1-2025-0000223653_01.00-en-01.00_text-xml</vt:lpwstr>
  </property>
  <property fmtid="{D5CDD505-2E9C-101B-9397-08002B2CF9AE}" pid="11" name="LastEdited with">
    <vt:lpwstr>10.2.0 Build [20251001]</vt:lpwstr>
  </property>
  <property fmtid="{D5CDD505-2E9C-101B-9397-08002B2CF9AE}" pid="12" name="Bookout">
    <vt:lpwstr>OK - 2025/11/19 15:09</vt:lpwstr>
  </property>
</Properties>
</file>