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A8C63" w14:textId="77777777" w:rsidR="00AD1AAB" w:rsidRDefault="00AD1AAB" w:rsidP="00AD1AAB">
      <w:pPr>
        <w:tabs>
          <w:tab w:val="right" w:pos="9184"/>
        </w:tabs>
      </w:pPr>
    </w:p>
    <w:p w14:paraId="4CE4B40D" w14:textId="77777777" w:rsidR="00AD1AAB" w:rsidRDefault="00AD1AAB" w:rsidP="00AD1AAB">
      <w:pPr>
        <w:tabs>
          <w:tab w:val="right" w:pos="9184"/>
        </w:tabs>
      </w:pPr>
    </w:p>
    <w:p w14:paraId="25CCDB29" w14:textId="77777777" w:rsidR="00AD1AAB" w:rsidRDefault="00AD1AAB" w:rsidP="00AD1AAB">
      <w:pPr>
        <w:tabs>
          <w:tab w:val="right" w:pos="9184"/>
        </w:tabs>
      </w:pPr>
    </w:p>
    <w:p w14:paraId="0F33E60C" w14:textId="77777777" w:rsidR="00AD1AAB" w:rsidRDefault="00AD1AAB" w:rsidP="00AD1AAB">
      <w:pPr>
        <w:tabs>
          <w:tab w:val="right" w:pos="9184"/>
        </w:tabs>
      </w:pPr>
    </w:p>
    <w:p w14:paraId="119C6EDF" w14:textId="61A3B608" w:rsidR="00AD1AAB" w:rsidRDefault="00AD1AAB" w:rsidP="00AD1AAB">
      <w:pPr>
        <w:tabs>
          <w:tab w:val="right" w:pos="9184"/>
        </w:tabs>
      </w:pPr>
      <w:r w:rsidRPr="00AD1AAB">
        <w:rPr>
          <w:rStyle w:val="HideTWBExt"/>
        </w:rPr>
        <w:t>&lt;Date&gt;</w:t>
      </w:r>
      <w:r>
        <w:t>13.5.2026</w:t>
      </w:r>
      <w:r w:rsidRPr="00AD1AAB">
        <w:rPr>
          <w:rStyle w:val="HideTWBExt"/>
        </w:rPr>
        <w:t>&lt;/Date&gt;</w:t>
      </w:r>
      <w:r>
        <w:tab/>
        <w:t xml:space="preserve">A10-0012/ </w:t>
      </w:r>
      <w:r w:rsidRPr="00AD1AAB">
        <w:rPr>
          <w:rStyle w:val="HideTWBExt"/>
        </w:rPr>
        <w:t>&lt;NumOfAM&gt;</w:t>
      </w:r>
      <w:r>
        <w:t>001-059</w:t>
      </w:r>
      <w:r w:rsidRPr="00AD1AAB">
        <w:rPr>
          <w:rStyle w:val="HideTWBExt"/>
        </w:rPr>
        <w:t>&lt;/</w:t>
      </w:r>
      <w:proofErr w:type="spellStart"/>
      <w:r w:rsidRPr="00AD1AAB">
        <w:rPr>
          <w:rStyle w:val="HideTWBExt"/>
        </w:rPr>
        <w:t>NumOfAM</w:t>
      </w:r>
      <w:proofErr w:type="spellEnd"/>
      <w:r w:rsidRPr="00AD1AAB">
        <w:rPr>
          <w:rStyle w:val="HideTWBExt"/>
        </w:rPr>
        <w:t>&gt;</w:t>
      </w:r>
    </w:p>
    <w:p w14:paraId="37374741" w14:textId="77777777" w:rsidR="00AD1AAB" w:rsidRDefault="00AD1AAB" w:rsidP="00AD1AAB">
      <w:pPr>
        <w:tabs>
          <w:tab w:val="right" w:pos="9184"/>
        </w:tabs>
      </w:pPr>
    </w:p>
    <w:p w14:paraId="6E8C1973" w14:textId="77777777" w:rsidR="00AD1AAB" w:rsidRDefault="00AD1AAB" w:rsidP="00AD1AAB">
      <w:pPr>
        <w:tabs>
          <w:tab w:val="right" w:pos="9184"/>
        </w:tabs>
      </w:pPr>
    </w:p>
    <w:p w14:paraId="00FD8411" w14:textId="77777777" w:rsidR="00AD1AAB" w:rsidRDefault="00AD1AAB" w:rsidP="00AD1AAB">
      <w:pPr>
        <w:tabs>
          <w:tab w:val="right" w:pos="9184"/>
        </w:tabs>
      </w:pPr>
      <w:r>
        <w:rPr>
          <w:b/>
        </w:rPr>
        <w:t xml:space="preserve">ALTERAÇÕES 001-059 </w:t>
      </w:r>
    </w:p>
    <w:p w14:paraId="095124B7" w14:textId="4BD86E03" w:rsidR="00AD1AAB" w:rsidRDefault="00AD1AAB" w:rsidP="00AD1AAB">
      <w:pPr>
        <w:tabs>
          <w:tab w:val="right" w:pos="9184"/>
        </w:tabs>
      </w:pPr>
      <w:r>
        <w:t xml:space="preserve">apresentadas pela </w:t>
      </w:r>
      <w:r w:rsidRPr="00AD1AAB">
        <w:rPr>
          <w:rStyle w:val="HideTWBExt"/>
        </w:rPr>
        <w:t>&lt;Committee&gt;</w:t>
      </w:r>
      <w:r>
        <w:t>Comissão do Comércio Internacional</w:t>
      </w:r>
      <w:r w:rsidRPr="00AD1AAB">
        <w:rPr>
          <w:rStyle w:val="HideTWBExt"/>
        </w:rPr>
        <w:t>&lt;/</w:t>
      </w:r>
      <w:proofErr w:type="spellStart"/>
      <w:r w:rsidRPr="00AD1AAB">
        <w:rPr>
          <w:rStyle w:val="HideTWBExt"/>
        </w:rPr>
        <w:t>Committee</w:t>
      </w:r>
      <w:proofErr w:type="spellEnd"/>
      <w:r w:rsidRPr="00AD1AAB">
        <w:rPr>
          <w:rStyle w:val="HideTWBExt"/>
        </w:rPr>
        <w:t>&gt;</w:t>
      </w:r>
    </w:p>
    <w:p w14:paraId="0427A2E8" w14:textId="77777777" w:rsidR="00AD1AAB" w:rsidRDefault="00AD1AAB" w:rsidP="00AD1AAB">
      <w:pPr>
        <w:tabs>
          <w:tab w:val="right" w:pos="9184"/>
        </w:tabs>
      </w:pPr>
    </w:p>
    <w:p w14:paraId="536B7C6E" w14:textId="77777777" w:rsidR="00AD1AAB" w:rsidRDefault="00AD1AAB" w:rsidP="00AD1AAB">
      <w:pPr>
        <w:tabs>
          <w:tab w:val="right" w:pos="9184"/>
        </w:tabs>
        <w:rPr>
          <w:b/>
        </w:rPr>
      </w:pPr>
      <w:r>
        <w:rPr>
          <w:b/>
        </w:rPr>
        <w:t>Relatório</w:t>
      </w:r>
    </w:p>
    <w:p w14:paraId="21182694" w14:textId="572A3C18" w:rsidR="00AD1AAB" w:rsidRDefault="00AD1AAB" w:rsidP="00AD1AAB">
      <w:pPr>
        <w:tabs>
          <w:tab w:val="right" w:pos="9184"/>
        </w:tabs>
        <w:rPr>
          <w:b/>
        </w:rPr>
      </w:pPr>
      <w:r w:rsidRPr="00AD1AAB">
        <w:rPr>
          <w:rStyle w:val="HideTWBExt"/>
        </w:rPr>
        <w:t>&lt;Chairman&gt;</w:t>
      </w:r>
      <w:proofErr w:type="spellStart"/>
      <w:r>
        <w:rPr>
          <w:b/>
        </w:rPr>
        <w:t>Karin</w:t>
      </w:r>
      <w:proofErr w:type="spellEnd"/>
      <w:r>
        <w:rPr>
          <w:b/>
        </w:rPr>
        <w:t xml:space="preserve"> </w:t>
      </w:r>
      <w:proofErr w:type="spellStart"/>
      <w:r>
        <w:rPr>
          <w:b/>
        </w:rPr>
        <w:t>Karlsbro</w:t>
      </w:r>
      <w:proofErr w:type="spellEnd"/>
      <w:r w:rsidRPr="00AD1AAB">
        <w:rPr>
          <w:rStyle w:val="HideTWBExt"/>
        </w:rPr>
        <w:t>&lt;/Chairman&gt;</w:t>
      </w:r>
      <w:r>
        <w:rPr>
          <w:b/>
        </w:rPr>
        <w:tab/>
      </w:r>
      <w:r w:rsidRPr="00AD1AAB">
        <w:rPr>
          <w:rStyle w:val="HideTWBExt"/>
        </w:rPr>
        <w:t>&lt;A5Nr&gt;</w:t>
      </w:r>
      <w:r>
        <w:rPr>
          <w:b/>
        </w:rPr>
        <w:t>A10-0012/2026</w:t>
      </w:r>
      <w:r w:rsidRPr="00AD1AAB">
        <w:rPr>
          <w:rStyle w:val="HideTWBExt"/>
        </w:rPr>
        <w:t>&lt;/A5Nr&gt;</w:t>
      </w:r>
    </w:p>
    <w:p w14:paraId="1FC4853D" w14:textId="4F10FE49" w:rsidR="00AD1AAB" w:rsidRDefault="00AD1AAB" w:rsidP="00AD1AAB">
      <w:pPr>
        <w:tabs>
          <w:tab w:val="right" w:pos="9184"/>
        </w:tabs>
      </w:pPr>
      <w:r w:rsidRPr="00AD1AAB">
        <w:rPr>
          <w:rStyle w:val="HideTWBExt"/>
        </w:rPr>
        <w:t>&lt;ShortTitel&gt;</w:t>
      </w:r>
      <w:r>
        <w:t>Efeitos negativos relacionados com o comércio decorrentes da sobrecapacidade mundial que afetam o mercado siderúrgico da UE</w:t>
      </w:r>
      <w:r w:rsidRPr="00AD1AAB">
        <w:rPr>
          <w:rStyle w:val="HideTWBExt"/>
        </w:rPr>
        <w:t>&lt;/</w:t>
      </w:r>
      <w:proofErr w:type="spellStart"/>
      <w:r w:rsidRPr="00AD1AAB">
        <w:rPr>
          <w:rStyle w:val="HideTWBExt"/>
        </w:rPr>
        <w:t>ShortTitel</w:t>
      </w:r>
      <w:proofErr w:type="spellEnd"/>
      <w:r w:rsidRPr="00AD1AAB">
        <w:rPr>
          <w:rStyle w:val="HideTWBExt"/>
        </w:rPr>
        <w:t>&gt;</w:t>
      </w:r>
    </w:p>
    <w:p w14:paraId="77610E7F" w14:textId="77777777" w:rsidR="00AD1AAB" w:rsidRDefault="00AD1AAB" w:rsidP="00AD1AAB">
      <w:pPr>
        <w:tabs>
          <w:tab w:val="right" w:pos="9184"/>
        </w:tabs>
      </w:pPr>
    </w:p>
    <w:p w14:paraId="7F58BD85" w14:textId="445A1BAA" w:rsidR="00AD1AAB" w:rsidRDefault="00AD1AAB" w:rsidP="00AD1AAB">
      <w:pPr>
        <w:tabs>
          <w:tab w:val="right" w:pos="9184"/>
        </w:tabs>
      </w:pPr>
      <w:r w:rsidRPr="00AD1AAB">
        <w:rPr>
          <w:rStyle w:val="HideTWBExt"/>
        </w:rPr>
        <w:t>&lt;Procedure&gt;</w:t>
      </w:r>
      <w:r>
        <w:t>Proposta de regulamento</w:t>
      </w:r>
      <w:r w:rsidRPr="00AD1AAB">
        <w:rPr>
          <w:rStyle w:val="HideTWBExt"/>
        </w:rPr>
        <w:t>&lt;/</w:t>
      </w:r>
      <w:proofErr w:type="spellStart"/>
      <w:r w:rsidRPr="00AD1AAB">
        <w:rPr>
          <w:rStyle w:val="HideTWBExt"/>
        </w:rPr>
        <w:t>Procedure</w:t>
      </w:r>
      <w:proofErr w:type="spellEnd"/>
      <w:r w:rsidRPr="00AD1AAB">
        <w:rPr>
          <w:rStyle w:val="HideTWBExt"/>
        </w:rPr>
        <w:t>&gt;</w:t>
      </w:r>
      <w:r>
        <w:t xml:space="preserve"> </w:t>
      </w:r>
      <w:r w:rsidRPr="00AD1AAB">
        <w:rPr>
          <w:rStyle w:val="HideTWBExt"/>
        </w:rPr>
        <w:t>&lt;ReferenceNo&gt;</w:t>
      </w:r>
      <w:r>
        <w:t>(</w:t>
      </w:r>
      <w:proofErr w:type="gramStart"/>
      <w:r>
        <w:t>COM(</w:t>
      </w:r>
      <w:proofErr w:type="gramEnd"/>
      <w:r>
        <w:t>2025)0726 – C10-0245/2025 – 2025/0726(COD))</w:t>
      </w:r>
      <w:r w:rsidRPr="00AD1AAB">
        <w:rPr>
          <w:rStyle w:val="HideTWBExt"/>
        </w:rPr>
        <w:t>&lt;/</w:t>
      </w:r>
      <w:proofErr w:type="spellStart"/>
      <w:r w:rsidRPr="00AD1AAB">
        <w:rPr>
          <w:rStyle w:val="HideTWBExt"/>
        </w:rPr>
        <w:t>ReferenceNo</w:t>
      </w:r>
      <w:proofErr w:type="spellEnd"/>
      <w:r w:rsidRPr="00AD1AAB">
        <w:rPr>
          <w:rStyle w:val="HideTWBExt"/>
        </w:rPr>
        <w:t>&gt;</w:t>
      </w:r>
    </w:p>
    <w:p w14:paraId="5EA603C8" w14:textId="77777777" w:rsidR="00AD1AAB" w:rsidRDefault="00AD1AAB" w:rsidP="00AD1AAB">
      <w:pPr>
        <w:tabs>
          <w:tab w:val="right" w:pos="9184"/>
        </w:tabs>
      </w:pPr>
    </w:p>
    <w:p w14:paraId="7734E795" w14:textId="77777777" w:rsidR="00AD1AAB" w:rsidRDefault="00AD1AAB" w:rsidP="00AD1AAB">
      <w:pPr>
        <w:tabs>
          <w:tab w:val="right" w:pos="9184"/>
        </w:tabs>
      </w:pPr>
    </w:p>
    <w:p w14:paraId="362AC9AA" w14:textId="77777777" w:rsidR="00AD1AAB" w:rsidRDefault="00AD1AAB" w:rsidP="00AD1AAB">
      <w:pPr>
        <w:tabs>
          <w:tab w:val="right" w:pos="9184"/>
        </w:tabs>
      </w:pPr>
    </w:p>
    <w:p w14:paraId="782B8799" w14:textId="77777777" w:rsidR="00AD1AAB" w:rsidRDefault="00AD1AAB" w:rsidP="00AD1AAB">
      <w:pPr>
        <w:tabs>
          <w:tab w:val="right" w:pos="9184"/>
        </w:tabs>
        <w:jc w:val="center"/>
      </w:pPr>
      <w:r>
        <w:t>_____________________________________________________________</w:t>
      </w:r>
    </w:p>
    <w:p w14:paraId="0186110C" w14:textId="77777777" w:rsidR="00AD1AAB" w:rsidRDefault="00AD1AAB" w:rsidP="00AD1AAB">
      <w:pPr>
        <w:tabs>
          <w:tab w:val="right" w:pos="9184"/>
        </w:tabs>
        <w:jc w:val="center"/>
      </w:pPr>
    </w:p>
    <w:p w14:paraId="2BADB9B0" w14:textId="38FDF3FD" w:rsidR="004C47D0" w:rsidRPr="00AD1AAB" w:rsidRDefault="004C47D0" w:rsidP="00AD1AAB">
      <w:pPr>
        <w:pStyle w:val="AmNumberTabs"/>
      </w:pPr>
      <w:r w:rsidRPr="00AD1AAB">
        <w:t>Alteração</w:t>
      </w:r>
      <w:r w:rsidRPr="00AD1AAB">
        <w:tab/>
      </w:r>
      <w:r w:rsidRPr="00AD1AAB">
        <w:tab/>
        <w:t>1</w:t>
      </w:r>
    </w:p>
    <w:p w14:paraId="42B96722" w14:textId="77777777" w:rsidR="004C47D0" w:rsidRPr="00AD1AAB" w:rsidRDefault="004C47D0" w:rsidP="004C47D0">
      <w:pPr>
        <w:pStyle w:val="NormalBold12b"/>
      </w:pPr>
      <w:r w:rsidRPr="00AD1AAB">
        <w:t>Proposta de regulamento</w:t>
      </w:r>
    </w:p>
    <w:p w14:paraId="5DB66728" w14:textId="77777777" w:rsidR="004C47D0" w:rsidRPr="00AD1AAB" w:rsidRDefault="004C47D0" w:rsidP="004C47D0">
      <w:pPr>
        <w:pStyle w:val="NormalBold"/>
      </w:pPr>
      <w:r w:rsidRPr="00AD1AAB">
        <w:t>Considerando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53F4E8CE" w14:textId="77777777" w:rsidTr="00C21EA8">
        <w:trPr>
          <w:trHeight w:val="240"/>
          <w:jc w:val="center"/>
        </w:trPr>
        <w:tc>
          <w:tcPr>
            <w:tcW w:w="9752" w:type="dxa"/>
            <w:gridSpan w:val="2"/>
          </w:tcPr>
          <w:p w14:paraId="39A04146" w14:textId="77777777" w:rsidR="004C47D0" w:rsidRPr="00AD1AAB" w:rsidRDefault="004C47D0" w:rsidP="00C21EA8"/>
        </w:tc>
      </w:tr>
      <w:tr w:rsidR="004C47D0" w:rsidRPr="00AD1AAB" w14:paraId="710EF9EC" w14:textId="77777777" w:rsidTr="00C21EA8">
        <w:trPr>
          <w:trHeight w:val="240"/>
          <w:jc w:val="center"/>
        </w:trPr>
        <w:tc>
          <w:tcPr>
            <w:tcW w:w="4876" w:type="dxa"/>
            <w:hideMark/>
          </w:tcPr>
          <w:p w14:paraId="75940086" w14:textId="77777777" w:rsidR="004C47D0" w:rsidRPr="00AD1AAB" w:rsidRDefault="004C47D0" w:rsidP="00C21EA8">
            <w:pPr>
              <w:pStyle w:val="AmColumnHeading"/>
            </w:pPr>
            <w:r w:rsidRPr="00AD1AAB">
              <w:t>Texto da Comissão</w:t>
            </w:r>
          </w:p>
        </w:tc>
        <w:tc>
          <w:tcPr>
            <w:tcW w:w="4876" w:type="dxa"/>
            <w:hideMark/>
          </w:tcPr>
          <w:p w14:paraId="49E4FEC7" w14:textId="77777777" w:rsidR="004C47D0" w:rsidRPr="00AD1AAB" w:rsidRDefault="004C47D0" w:rsidP="00C21EA8">
            <w:pPr>
              <w:pStyle w:val="AmColumnHeading"/>
            </w:pPr>
            <w:r w:rsidRPr="00AD1AAB">
              <w:t>Alteração</w:t>
            </w:r>
          </w:p>
        </w:tc>
      </w:tr>
      <w:tr w:rsidR="004C47D0" w:rsidRPr="00AD1AAB" w14:paraId="39AEDB18" w14:textId="77777777" w:rsidTr="00C21EA8">
        <w:trPr>
          <w:jc w:val="center"/>
        </w:trPr>
        <w:tc>
          <w:tcPr>
            <w:tcW w:w="4876" w:type="dxa"/>
          </w:tcPr>
          <w:p w14:paraId="6696C692" w14:textId="77777777" w:rsidR="004C47D0" w:rsidRPr="00AD1AAB" w:rsidRDefault="004C47D0" w:rsidP="00C21EA8">
            <w:pPr>
              <w:pStyle w:val="Normal6a"/>
              <w:ind w:left="116"/>
            </w:pPr>
            <w:r w:rsidRPr="00AD1AAB">
              <w:t>(1)</w:t>
            </w:r>
            <w:r w:rsidRPr="00AD1AAB">
              <w:rPr>
                <w:b/>
                <w:i/>
              </w:rPr>
              <w:tab/>
            </w:r>
            <w:r w:rsidRPr="00AD1AAB">
              <w:t xml:space="preserve">O setor siderúrgico é fundamental para a competitividade e a segurança da União. A União </w:t>
            </w:r>
            <w:r w:rsidRPr="00AD1AAB">
              <w:rPr>
                <w:b/>
                <w:i/>
              </w:rPr>
              <w:t>já demonstrou inequivocamente</w:t>
            </w:r>
            <w:r w:rsidRPr="00AD1AAB">
              <w:t xml:space="preserve"> a </w:t>
            </w:r>
            <w:r w:rsidRPr="00AD1AAB">
              <w:rPr>
                <w:b/>
                <w:i/>
              </w:rPr>
              <w:t>importância estratégica</w:t>
            </w:r>
            <w:r w:rsidRPr="00AD1AAB">
              <w:t xml:space="preserve"> que </w:t>
            </w:r>
            <w:r w:rsidRPr="00AD1AAB">
              <w:rPr>
                <w:b/>
                <w:i/>
              </w:rPr>
              <w:t>atribui</w:t>
            </w:r>
            <w:r w:rsidRPr="00AD1AAB">
              <w:t xml:space="preserve"> a </w:t>
            </w:r>
            <w:r w:rsidRPr="00AD1AAB">
              <w:rPr>
                <w:b/>
                <w:i/>
              </w:rPr>
              <w:t>este setor</w:t>
            </w:r>
            <w:r w:rsidRPr="00AD1AAB">
              <w:t xml:space="preserve"> e o </w:t>
            </w:r>
            <w:r w:rsidRPr="00AD1AAB">
              <w:rPr>
                <w:b/>
                <w:i/>
              </w:rPr>
              <w:t>seu empenho em garantir a sua</w:t>
            </w:r>
            <w:r w:rsidRPr="00AD1AAB">
              <w:t xml:space="preserve"> viabilidade e </w:t>
            </w:r>
            <w:r w:rsidRPr="00AD1AAB">
              <w:rPr>
                <w:b/>
                <w:i/>
              </w:rPr>
              <w:t>a sustentabilidade</w:t>
            </w:r>
            <w:r w:rsidRPr="00AD1AAB">
              <w:t xml:space="preserve"> a longo prazo.</w:t>
            </w:r>
          </w:p>
        </w:tc>
        <w:tc>
          <w:tcPr>
            <w:tcW w:w="4876" w:type="dxa"/>
            <w:hideMark/>
          </w:tcPr>
          <w:p w14:paraId="414CC859" w14:textId="721024AA" w:rsidR="004C47D0" w:rsidRPr="00AD1AAB" w:rsidRDefault="004C47D0" w:rsidP="00C21EA8">
            <w:pPr>
              <w:pStyle w:val="Normal6a"/>
            </w:pPr>
            <w:r w:rsidRPr="00AD1AAB">
              <w:t>(1)</w:t>
            </w:r>
            <w:r w:rsidRPr="00AD1AAB">
              <w:rPr>
                <w:b/>
                <w:i/>
              </w:rPr>
              <w:tab/>
            </w:r>
            <w:r w:rsidRPr="00AD1AAB">
              <w:t xml:space="preserve">O setor siderúrgico </w:t>
            </w:r>
            <w:r w:rsidRPr="00AD1AAB">
              <w:rPr>
                <w:b/>
                <w:i/>
              </w:rPr>
              <w:t xml:space="preserve">que é a pedra angular do seu ecossistema, que inclui produtos siderúrgicos derivados em setores a jusante (por exemplo, indústria automóvel, construção, embalagens e componentes metálicos, maquinaria, indústrias tecnológicas e outros), </w:t>
            </w:r>
            <w:r w:rsidRPr="00AD1AAB">
              <w:t xml:space="preserve">é fundamental para a </w:t>
            </w:r>
            <w:r w:rsidRPr="00AD1AAB">
              <w:rPr>
                <w:b/>
                <w:i/>
              </w:rPr>
              <w:t xml:space="preserve">economia, a segurança económica, a </w:t>
            </w:r>
            <w:r w:rsidRPr="00AD1AAB">
              <w:t xml:space="preserve">competitividade e a segurança da União. A União </w:t>
            </w:r>
            <w:r w:rsidRPr="00AD1AAB">
              <w:rPr>
                <w:b/>
                <w:i/>
              </w:rPr>
              <w:t>deve reforçar</w:t>
            </w:r>
            <w:r w:rsidRPr="00AD1AAB">
              <w:t xml:space="preserve"> a </w:t>
            </w:r>
            <w:r w:rsidRPr="00AD1AAB">
              <w:rPr>
                <w:b/>
                <w:i/>
              </w:rPr>
              <w:t>sua ação neste setor estratégico,</w:t>
            </w:r>
            <w:r w:rsidRPr="00AD1AAB">
              <w:t xml:space="preserve"> que </w:t>
            </w:r>
            <w:r w:rsidRPr="00AD1AAB">
              <w:rPr>
                <w:b/>
                <w:i/>
              </w:rPr>
              <w:t>é vital para a criação de trabalho de qualidade e para o emprego,</w:t>
            </w:r>
            <w:r w:rsidRPr="00AD1AAB">
              <w:t xml:space="preserve"> a </w:t>
            </w:r>
            <w:r w:rsidRPr="00AD1AAB">
              <w:rPr>
                <w:b/>
                <w:i/>
              </w:rPr>
              <w:t>transição para uma economia com impacto neutro no clima</w:t>
            </w:r>
            <w:r w:rsidRPr="00AD1AAB">
              <w:t xml:space="preserve"> e o </w:t>
            </w:r>
            <w:r w:rsidRPr="00AD1AAB">
              <w:rPr>
                <w:b/>
                <w:i/>
              </w:rPr>
              <w:t>desenvolvimento de capacidades de defesa, através de investimentos sustentados na</w:t>
            </w:r>
            <w:r w:rsidRPr="00AD1AAB">
              <w:t xml:space="preserve"> viabilidade e </w:t>
            </w:r>
            <w:r w:rsidRPr="00AD1AAB">
              <w:rPr>
                <w:b/>
                <w:i/>
              </w:rPr>
              <w:t>resiliência</w:t>
            </w:r>
            <w:r w:rsidRPr="00AD1AAB">
              <w:t xml:space="preserve"> a longo prazo</w:t>
            </w:r>
            <w:r w:rsidRPr="00AD1AAB">
              <w:rPr>
                <w:b/>
                <w:i/>
              </w:rPr>
              <w:t xml:space="preserve"> do setor siderúrgico</w:t>
            </w:r>
            <w:r w:rsidRPr="00AD1AAB">
              <w:t>.</w:t>
            </w:r>
          </w:p>
        </w:tc>
      </w:tr>
    </w:tbl>
    <w:p w14:paraId="0417FC9E" w14:textId="77777777" w:rsidR="004C47D0" w:rsidRPr="00AD1AAB" w:rsidRDefault="004C47D0" w:rsidP="004C47D0"/>
    <w:p w14:paraId="2742E529" w14:textId="77777777" w:rsidR="004C47D0" w:rsidRPr="00AD1AAB" w:rsidRDefault="004C47D0" w:rsidP="004C47D0">
      <w:pPr>
        <w:pStyle w:val="AmNumberTabs"/>
      </w:pPr>
      <w:r w:rsidRPr="00AD1AAB">
        <w:t>Alteração</w:t>
      </w:r>
      <w:r w:rsidRPr="00AD1AAB">
        <w:tab/>
      </w:r>
      <w:r w:rsidRPr="00AD1AAB">
        <w:tab/>
        <w:t>2</w:t>
      </w:r>
    </w:p>
    <w:p w14:paraId="4C5E0C5E" w14:textId="77777777" w:rsidR="004C47D0" w:rsidRPr="00AD1AAB" w:rsidRDefault="004C47D0" w:rsidP="004C47D0">
      <w:pPr>
        <w:pStyle w:val="NormalBold"/>
      </w:pPr>
      <w:r w:rsidRPr="00AD1AAB">
        <w:t>Proposta de regulamento</w:t>
      </w:r>
    </w:p>
    <w:p w14:paraId="4F0D4E03" w14:textId="77777777" w:rsidR="004C47D0" w:rsidRPr="00AD1AAB" w:rsidRDefault="004C47D0" w:rsidP="004C47D0">
      <w:pPr>
        <w:pStyle w:val="NormalBold"/>
      </w:pPr>
      <w:r w:rsidRPr="00AD1AAB">
        <w:t>Considerando 1-A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7D0" w:rsidRPr="00AD1AAB" w14:paraId="7C8F2A90" w14:textId="77777777" w:rsidTr="00C21EA8">
        <w:trPr>
          <w:trHeight w:val="240"/>
          <w:jc w:val="center"/>
        </w:trPr>
        <w:tc>
          <w:tcPr>
            <w:tcW w:w="9752" w:type="dxa"/>
            <w:gridSpan w:val="2"/>
            <w:tcBorders>
              <w:top w:val="nil"/>
              <w:left w:val="nil"/>
              <w:bottom w:val="nil"/>
              <w:right w:val="nil"/>
            </w:tcBorders>
          </w:tcPr>
          <w:p w14:paraId="4C769717" w14:textId="77777777" w:rsidR="004C47D0" w:rsidRPr="00AD1AAB" w:rsidRDefault="004C47D0" w:rsidP="00C21EA8"/>
        </w:tc>
      </w:tr>
      <w:tr w:rsidR="004C47D0" w:rsidRPr="00AD1AAB" w14:paraId="563B0892" w14:textId="77777777" w:rsidTr="00C21EA8">
        <w:trPr>
          <w:trHeight w:val="240"/>
          <w:jc w:val="center"/>
        </w:trPr>
        <w:tc>
          <w:tcPr>
            <w:tcW w:w="4876" w:type="dxa"/>
            <w:tcBorders>
              <w:top w:val="nil"/>
              <w:left w:val="nil"/>
              <w:bottom w:val="nil"/>
              <w:right w:val="nil"/>
            </w:tcBorders>
            <w:hideMark/>
          </w:tcPr>
          <w:p w14:paraId="1B60D505" w14:textId="77777777" w:rsidR="004C47D0" w:rsidRPr="00AD1AAB" w:rsidRDefault="004C47D0" w:rsidP="00C21EA8">
            <w:pPr>
              <w:pStyle w:val="AmColumnHeading"/>
            </w:pPr>
            <w:r w:rsidRPr="00AD1AAB">
              <w:t>Texto da Comissão</w:t>
            </w:r>
          </w:p>
        </w:tc>
        <w:tc>
          <w:tcPr>
            <w:tcW w:w="4876" w:type="dxa"/>
            <w:tcBorders>
              <w:top w:val="nil"/>
              <w:left w:val="nil"/>
              <w:bottom w:val="nil"/>
              <w:right w:val="nil"/>
            </w:tcBorders>
            <w:hideMark/>
          </w:tcPr>
          <w:p w14:paraId="6CD8DA49" w14:textId="77777777" w:rsidR="004C47D0" w:rsidRPr="00AD1AAB" w:rsidRDefault="004C47D0" w:rsidP="00C21EA8">
            <w:pPr>
              <w:pStyle w:val="AmColumnHeading"/>
            </w:pPr>
            <w:r w:rsidRPr="00AD1AAB">
              <w:t>Alteração</w:t>
            </w:r>
          </w:p>
        </w:tc>
      </w:tr>
      <w:tr w:rsidR="004C47D0" w:rsidRPr="00AD1AAB" w14:paraId="6073EE3A" w14:textId="77777777" w:rsidTr="00C21EA8">
        <w:trPr>
          <w:jc w:val="center"/>
        </w:trPr>
        <w:tc>
          <w:tcPr>
            <w:tcW w:w="4876" w:type="dxa"/>
            <w:tcBorders>
              <w:top w:val="nil"/>
              <w:left w:val="nil"/>
              <w:bottom w:val="nil"/>
              <w:right w:val="nil"/>
            </w:tcBorders>
          </w:tcPr>
          <w:p w14:paraId="31C4B22A" w14:textId="77777777" w:rsidR="004C47D0" w:rsidRPr="00AD1AAB" w:rsidRDefault="004C47D0" w:rsidP="00C21EA8">
            <w:pPr>
              <w:pStyle w:val="Normal6a"/>
            </w:pPr>
          </w:p>
        </w:tc>
        <w:tc>
          <w:tcPr>
            <w:tcW w:w="4876" w:type="dxa"/>
            <w:tcBorders>
              <w:top w:val="nil"/>
              <w:left w:val="nil"/>
              <w:bottom w:val="nil"/>
              <w:right w:val="nil"/>
            </w:tcBorders>
            <w:hideMark/>
          </w:tcPr>
          <w:p w14:paraId="61F3C907" w14:textId="77777777" w:rsidR="004C47D0" w:rsidRPr="00AD1AAB" w:rsidRDefault="004C47D0" w:rsidP="00C21EA8">
            <w:pPr>
              <w:pStyle w:val="Normal6a"/>
            </w:pPr>
            <w:r w:rsidRPr="00AD1AAB">
              <w:rPr>
                <w:b/>
                <w:i/>
              </w:rPr>
              <w:t>(1-A)</w:t>
            </w:r>
            <w:r w:rsidRPr="00AD1AAB">
              <w:tab/>
            </w:r>
            <w:r w:rsidRPr="00AD1AAB">
              <w:rPr>
                <w:b/>
                <w:i/>
              </w:rPr>
              <w:t>As cidades e regiões industriais produtoras de aço desempenham um papel importante para os trabalhadores, as comunidades e a competitividade. Essas cidades e regiões são lugares onde matérias-primas foram extraídas e modificadas e onde competências técnicas foram transmitidas ao longo de gerações. Essas cidades e regiões possuem os conhecimentos, o equipamento e a coesão social necessários para tornar a transição real e justa.</w:t>
            </w:r>
          </w:p>
        </w:tc>
      </w:tr>
    </w:tbl>
    <w:p w14:paraId="5A871B5C" w14:textId="77777777" w:rsidR="004C47D0" w:rsidRPr="00AD1AAB" w:rsidRDefault="004C47D0" w:rsidP="004C47D0"/>
    <w:p w14:paraId="0C316EAB" w14:textId="77777777" w:rsidR="004C47D0" w:rsidRPr="00AD1AAB" w:rsidRDefault="004C47D0" w:rsidP="004C47D0">
      <w:pPr>
        <w:pStyle w:val="AmNumberTabs"/>
      </w:pPr>
      <w:r w:rsidRPr="00AD1AAB">
        <w:t>Alteração</w:t>
      </w:r>
      <w:r w:rsidRPr="00AD1AAB">
        <w:tab/>
      </w:r>
      <w:r w:rsidRPr="00AD1AAB">
        <w:tab/>
        <w:t>3</w:t>
      </w:r>
    </w:p>
    <w:p w14:paraId="5F6F4C38" w14:textId="77777777" w:rsidR="004C47D0" w:rsidRPr="00AD1AAB" w:rsidRDefault="004C47D0" w:rsidP="004C47D0">
      <w:pPr>
        <w:pStyle w:val="NormalBold12b"/>
      </w:pPr>
      <w:r w:rsidRPr="00AD1AAB">
        <w:t>Proposta de regulamento</w:t>
      </w:r>
    </w:p>
    <w:p w14:paraId="4BCBDFBA" w14:textId="77777777" w:rsidR="004C47D0" w:rsidRPr="00AD1AAB" w:rsidRDefault="004C47D0" w:rsidP="004C47D0">
      <w:pPr>
        <w:pStyle w:val="NormalBold"/>
      </w:pPr>
      <w:r w:rsidRPr="00AD1AAB">
        <w:t>Considerando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6D632AAF" w14:textId="77777777" w:rsidTr="00C21EA8">
        <w:trPr>
          <w:trHeight w:val="240"/>
          <w:jc w:val="center"/>
        </w:trPr>
        <w:tc>
          <w:tcPr>
            <w:tcW w:w="9752" w:type="dxa"/>
            <w:gridSpan w:val="2"/>
          </w:tcPr>
          <w:p w14:paraId="6752C52D" w14:textId="77777777" w:rsidR="004C47D0" w:rsidRPr="00AD1AAB" w:rsidRDefault="004C47D0" w:rsidP="00C21EA8"/>
        </w:tc>
      </w:tr>
      <w:tr w:rsidR="004C47D0" w:rsidRPr="00AD1AAB" w14:paraId="65D68D55" w14:textId="77777777" w:rsidTr="00C21EA8">
        <w:trPr>
          <w:trHeight w:val="240"/>
          <w:jc w:val="center"/>
        </w:trPr>
        <w:tc>
          <w:tcPr>
            <w:tcW w:w="4876" w:type="dxa"/>
            <w:hideMark/>
          </w:tcPr>
          <w:p w14:paraId="10696587" w14:textId="77777777" w:rsidR="004C47D0" w:rsidRPr="00AD1AAB" w:rsidRDefault="004C47D0" w:rsidP="00C21EA8">
            <w:pPr>
              <w:pStyle w:val="AmColumnHeading"/>
            </w:pPr>
            <w:r w:rsidRPr="00AD1AAB">
              <w:t>Texto da Comissão</w:t>
            </w:r>
          </w:p>
        </w:tc>
        <w:tc>
          <w:tcPr>
            <w:tcW w:w="4876" w:type="dxa"/>
            <w:hideMark/>
          </w:tcPr>
          <w:p w14:paraId="36689986" w14:textId="77777777" w:rsidR="004C47D0" w:rsidRPr="00AD1AAB" w:rsidRDefault="004C47D0" w:rsidP="00C21EA8">
            <w:pPr>
              <w:pStyle w:val="AmColumnHeading"/>
            </w:pPr>
            <w:r w:rsidRPr="00AD1AAB">
              <w:t>Alteração</w:t>
            </w:r>
          </w:p>
        </w:tc>
      </w:tr>
      <w:tr w:rsidR="004C47D0" w:rsidRPr="00AD1AAB" w14:paraId="3CC9BFC3" w14:textId="77777777" w:rsidTr="00C21EA8">
        <w:trPr>
          <w:jc w:val="center"/>
        </w:trPr>
        <w:tc>
          <w:tcPr>
            <w:tcW w:w="4876" w:type="dxa"/>
          </w:tcPr>
          <w:p w14:paraId="72F8E60B" w14:textId="77777777" w:rsidR="004C47D0" w:rsidRPr="00AD1AAB" w:rsidRDefault="004C47D0" w:rsidP="00C21EA8">
            <w:pPr>
              <w:pStyle w:val="Normal6a"/>
            </w:pPr>
            <w:r w:rsidRPr="00AD1AAB">
              <w:t>(2)</w:t>
            </w:r>
            <w:r w:rsidRPr="00AD1AAB">
              <w:rPr>
                <w:b/>
                <w:i/>
              </w:rPr>
              <w:tab/>
            </w:r>
            <w:r w:rsidRPr="00AD1AAB">
              <w:t>As indústrias siderúrgicas de todos os países</w:t>
            </w:r>
            <w:r w:rsidRPr="00AD1AAB">
              <w:rPr>
                <w:b/>
                <w:i/>
              </w:rPr>
              <w:t xml:space="preserve"> e regiões</w:t>
            </w:r>
            <w:r w:rsidRPr="00AD1AAB">
              <w:t xml:space="preserve">, incluindo a União, estão a sofrer as repercussões negativas do aumento da capacidade excedentária estrutural a nível mundial. Este desafio de ordem mundial afeta o mercado interno da União e os mercados de outros países, quer diretamente, através de importações provenientes de países com capacidade excedentária, quer indiretamente, devido ao efeito de exclusão, ou de ambas as formas. A resolução eficaz da sobrecapacidade mundial requer maiores esforços conjuntos da União e dos parceiros que partilham os mesmos princípios e não contribuem para essa sobrecapacidade. A União </w:t>
            </w:r>
            <w:r w:rsidRPr="00AD1AAB">
              <w:rPr>
                <w:b/>
                <w:i/>
              </w:rPr>
              <w:t>continuará a</w:t>
            </w:r>
            <w:r w:rsidRPr="00AD1AAB">
              <w:t xml:space="preserve"> liderar os trabalhos internacionais, inclusive no quadro do Fórum Mundial sobre a Capacidade Siderúrgica </w:t>
            </w:r>
            <w:r w:rsidRPr="00AD1AAB">
              <w:lastRenderedPageBreak/>
              <w:t>Excedentária, para combater as causas profundas da sobrecapacidade mundial e implementar soluções que reforcem a transparência do mercado siderúrgico mundial e tenham em conta técnicas modernas de produção e aprovisionamento, nomeadamente através da aplicação do princípio de «fundição e vazamento», e do acompanhamento das importações e exportações. A União e os países que partilham os seus princípios devem colaborar, a fim de proteger a suas economias da sobrecapacidade mundial e, ao mesmo tempo, garantir cadeias de aprovisionamento seguras e um maior acesso mútuo ao mercado.</w:t>
            </w:r>
          </w:p>
        </w:tc>
        <w:tc>
          <w:tcPr>
            <w:tcW w:w="4876" w:type="dxa"/>
            <w:hideMark/>
          </w:tcPr>
          <w:p w14:paraId="519E30FA" w14:textId="5D792D12" w:rsidR="004C47D0" w:rsidRPr="00AD1AAB" w:rsidRDefault="004C47D0" w:rsidP="00C21EA8">
            <w:pPr>
              <w:pStyle w:val="Normal6a"/>
            </w:pPr>
            <w:r w:rsidRPr="00AD1AAB">
              <w:lastRenderedPageBreak/>
              <w:t>(2)</w:t>
            </w:r>
            <w:r w:rsidRPr="00AD1AAB">
              <w:rPr>
                <w:b/>
                <w:i/>
              </w:rPr>
              <w:tab/>
            </w:r>
            <w:r w:rsidRPr="00AD1AAB">
              <w:t>As indústrias siderúrgicas</w:t>
            </w:r>
            <w:r w:rsidRPr="00AD1AAB">
              <w:rPr>
                <w:b/>
                <w:i/>
              </w:rPr>
              <w:t>, os trabalhadores e as cidades e regiões industriais</w:t>
            </w:r>
            <w:r w:rsidRPr="00AD1AAB">
              <w:t xml:space="preserve"> de todos os países, incluindo a União, estão a sofrer as repercussões negativas do aumento da capacidade excedentária estrutural a nível mundial.</w:t>
            </w:r>
            <w:r w:rsidRPr="00AD1AAB">
              <w:rPr>
                <w:b/>
                <w:i/>
              </w:rPr>
              <w:t xml:space="preserve"> A sobrecapacidade estrutural a nível mundial da produção de aço constitui uma séria ameaça ao setor siderúrgico, ao criar condições de concorrência desleal e dissuadir o investimento que é essencial para a transição ecológica. A sobrecapacidade estrutural a nível mundial é uma tendência que afeta não só o setor siderúrgico, mas também muitos outros setores industriais e ameaça a sua viabilidade a longo prazo. </w:t>
            </w:r>
            <w:r w:rsidRPr="00AD1AAB">
              <w:t xml:space="preserve">Este desafio de ordem mundial afeta o mercado interno da União e os mercados de outros países, quer diretamente, através de importações </w:t>
            </w:r>
            <w:r w:rsidRPr="00AD1AAB">
              <w:lastRenderedPageBreak/>
              <w:t xml:space="preserve">provenientes de países com capacidade excedentária, quer indiretamente, devido ao efeito de exclusão, ou de ambas as formas. A resolução eficaz da sobrecapacidade mundial requer maiores esforços conjuntos da União e dos parceiros que partilham os mesmos princípios e não contribuem para essa sobrecapacidade. A União </w:t>
            </w:r>
            <w:r w:rsidRPr="00AD1AAB">
              <w:rPr>
                <w:b/>
                <w:i/>
              </w:rPr>
              <w:t>intensificará os seus esforços no sentido de</w:t>
            </w:r>
            <w:r w:rsidRPr="00AD1AAB">
              <w:t xml:space="preserve"> liderar os trabalhos internacionais</w:t>
            </w:r>
            <w:r w:rsidRPr="00AD1AAB">
              <w:rPr>
                <w:b/>
                <w:i/>
              </w:rPr>
              <w:t xml:space="preserve"> e também de assegurar uma coordenação com países que partilham as mesmas ideias</w:t>
            </w:r>
            <w:r w:rsidRPr="00AD1AAB">
              <w:t>, inclusive no quadro do Fórum Mundial sobre a Capacidade Siderúrgica Excedentária, para combater as causas profundas da sobrecapacidade mundial e implementar soluções que reforcem a transparência do mercado siderúrgico mundial e tenham em conta técnicas modernas de produção e aprovisionamento, nomeadamente através da aplicação do princípio de «fundição e vazamento», e do acompanhamento das importações e exportações. A União e os países que partilham os seus princípios devem colaborar</w:t>
            </w:r>
            <w:r w:rsidRPr="00AD1AAB">
              <w:rPr>
                <w:b/>
                <w:i/>
              </w:rPr>
              <w:t xml:space="preserve"> urgentemente</w:t>
            </w:r>
            <w:r w:rsidRPr="00AD1AAB">
              <w:t>, a fim de proteger a suas economias da sobrecapacidade mundial e, ao mesmo tempo, garantir cadeias de aprovisionamento seguras e um maior acesso mútuo ao mercado.</w:t>
            </w:r>
            <w:r w:rsidRPr="00AD1AAB">
              <w:rPr>
                <w:b/>
                <w:i/>
              </w:rPr>
              <w:t xml:space="preserve"> Essa cooperação deve ser realizada num espírito construtivo e orientado para o futuro, que reconheça interesses estratégicos comuns e benefícios mútuos. Deve visar a redução das distorções nos mercados siderúrgicos mundiais, a promoção de uma concorrência leal baseada em princípios de mercado e o apoio à transição para uma produção industrial orientada para o futuro. O reforço da coordenação entre os parceiros pode também aumentar a resiliência e consolidar as bases para cadeias de aprovisionamento estáveis, previsíveis e diversificadas.</w:t>
            </w:r>
          </w:p>
        </w:tc>
      </w:tr>
    </w:tbl>
    <w:p w14:paraId="22CE669F" w14:textId="77777777" w:rsidR="004C47D0" w:rsidRPr="00AD1AAB" w:rsidRDefault="004C47D0" w:rsidP="004C47D0"/>
    <w:p w14:paraId="63439FE0" w14:textId="77777777" w:rsidR="004C47D0" w:rsidRPr="00AD1AAB" w:rsidRDefault="004C47D0" w:rsidP="004C47D0">
      <w:pPr>
        <w:pStyle w:val="AmNumberTabs"/>
      </w:pPr>
      <w:r w:rsidRPr="00AD1AAB">
        <w:t>Alteração</w:t>
      </w:r>
      <w:r w:rsidRPr="00AD1AAB">
        <w:tab/>
      </w:r>
      <w:r w:rsidRPr="00AD1AAB">
        <w:tab/>
        <w:t>4</w:t>
      </w:r>
    </w:p>
    <w:p w14:paraId="34594478" w14:textId="77777777" w:rsidR="004C47D0" w:rsidRPr="00AD1AAB" w:rsidRDefault="004C47D0" w:rsidP="004C47D0">
      <w:pPr>
        <w:pStyle w:val="NormalBold12b"/>
      </w:pPr>
      <w:r w:rsidRPr="00AD1AAB">
        <w:lastRenderedPageBreak/>
        <w:t>Proposta de regulamento</w:t>
      </w:r>
    </w:p>
    <w:p w14:paraId="5FA47F3E" w14:textId="77777777" w:rsidR="004C47D0" w:rsidRPr="00AD1AAB" w:rsidRDefault="004C47D0" w:rsidP="004C47D0">
      <w:pPr>
        <w:pStyle w:val="NormalBold"/>
      </w:pPr>
      <w:r w:rsidRPr="00AD1AAB">
        <w:t>Considerando 2-A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06E426E6" w14:textId="77777777" w:rsidTr="00C21EA8">
        <w:trPr>
          <w:trHeight w:val="240"/>
          <w:jc w:val="center"/>
        </w:trPr>
        <w:tc>
          <w:tcPr>
            <w:tcW w:w="9752" w:type="dxa"/>
            <w:gridSpan w:val="2"/>
          </w:tcPr>
          <w:p w14:paraId="44B24A96" w14:textId="77777777" w:rsidR="004C47D0" w:rsidRPr="00AD1AAB" w:rsidRDefault="004C47D0" w:rsidP="00C21EA8"/>
        </w:tc>
      </w:tr>
      <w:tr w:rsidR="004C47D0" w:rsidRPr="00AD1AAB" w14:paraId="5FBB2990" w14:textId="77777777" w:rsidTr="00C21EA8">
        <w:trPr>
          <w:trHeight w:val="240"/>
          <w:jc w:val="center"/>
        </w:trPr>
        <w:tc>
          <w:tcPr>
            <w:tcW w:w="4876" w:type="dxa"/>
            <w:hideMark/>
          </w:tcPr>
          <w:p w14:paraId="79B50730" w14:textId="77777777" w:rsidR="004C47D0" w:rsidRPr="00AD1AAB" w:rsidRDefault="004C47D0" w:rsidP="00C21EA8">
            <w:pPr>
              <w:pStyle w:val="AmColumnHeading"/>
            </w:pPr>
            <w:r w:rsidRPr="00AD1AAB">
              <w:t>Texto da Comissão</w:t>
            </w:r>
          </w:p>
        </w:tc>
        <w:tc>
          <w:tcPr>
            <w:tcW w:w="4876" w:type="dxa"/>
            <w:hideMark/>
          </w:tcPr>
          <w:p w14:paraId="30E1C123" w14:textId="77777777" w:rsidR="004C47D0" w:rsidRPr="00AD1AAB" w:rsidRDefault="004C47D0" w:rsidP="00C21EA8">
            <w:pPr>
              <w:pStyle w:val="AmColumnHeading"/>
            </w:pPr>
            <w:r w:rsidRPr="00AD1AAB">
              <w:t>Alteração</w:t>
            </w:r>
          </w:p>
        </w:tc>
      </w:tr>
      <w:tr w:rsidR="004C47D0" w:rsidRPr="00AD1AAB" w14:paraId="330416EF" w14:textId="77777777" w:rsidTr="00C21EA8">
        <w:trPr>
          <w:jc w:val="center"/>
        </w:trPr>
        <w:tc>
          <w:tcPr>
            <w:tcW w:w="4876" w:type="dxa"/>
          </w:tcPr>
          <w:p w14:paraId="2A366EF4" w14:textId="77777777" w:rsidR="004C47D0" w:rsidRPr="00AD1AAB" w:rsidRDefault="004C47D0" w:rsidP="00C21EA8">
            <w:pPr>
              <w:pStyle w:val="Normal6a"/>
            </w:pPr>
          </w:p>
        </w:tc>
        <w:tc>
          <w:tcPr>
            <w:tcW w:w="4876" w:type="dxa"/>
            <w:hideMark/>
          </w:tcPr>
          <w:p w14:paraId="054B40DD" w14:textId="705B8005" w:rsidR="004C47D0" w:rsidRPr="00AD1AAB" w:rsidRDefault="004C47D0" w:rsidP="00C21EA8">
            <w:pPr>
              <w:pStyle w:val="Normal6a"/>
            </w:pPr>
            <w:r w:rsidRPr="00AD1AAB">
              <w:rPr>
                <w:b/>
                <w:i/>
              </w:rPr>
              <w:t>(2-A)</w:t>
            </w:r>
            <w:r w:rsidRPr="00AD1AAB">
              <w:rPr>
                <w:b/>
                <w:i/>
              </w:rPr>
              <w:tab/>
              <w:t>A sobrecapacidade é abordada de forma mais eficaz através de uma ação multilateral coordenada, uma vez que constitui um problema mundial que exige uma solução a nível mundial. Na ausência de progressos significativos a esse nível, a União deve adotar uma medida específica e flexível.</w:t>
            </w:r>
          </w:p>
        </w:tc>
      </w:tr>
    </w:tbl>
    <w:p w14:paraId="3EF08E97" w14:textId="77777777" w:rsidR="004C47D0" w:rsidRPr="00AD1AAB" w:rsidRDefault="004C47D0" w:rsidP="004C47D0"/>
    <w:p w14:paraId="2D9B0070" w14:textId="77777777" w:rsidR="004C47D0" w:rsidRPr="00AD1AAB" w:rsidRDefault="004C47D0" w:rsidP="004C47D0">
      <w:pPr>
        <w:pStyle w:val="AmNumberTabs"/>
      </w:pPr>
      <w:r w:rsidRPr="00AD1AAB">
        <w:t>Alteração</w:t>
      </w:r>
      <w:r w:rsidRPr="00AD1AAB">
        <w:tab/>
      </w:r>
      <w:r w:rsidRPr="00AD1AAB">
        <w:tab/>
        <w:t>5</w:t>
      </w:r>
    </w:p>
    <w:p w14:paraId="2E6C8A67" w14:textId="77777777" w:rsidR="004C47D0" w:rsidRPr="00AD1AAB" w:rsidRDefault="004C47D0" w:rsidP="004C47D0">
      <w:pPr>
        <w:pStyle w:val="NormalBold12b"/>
      </w:pPr>
      <w:r w:rsidRPr="00AD1AAB">
        <w:t>Proposta de regulamento</w:t>
      </w:r>
    </w:p>
    <w:p w14:paraId="1506505C" w14:textId="77777777" w:rsidR="004C47D0" w:rsidRPr="00AD1AAB" w:rsidRDefault="004C47D0" w:rsidP="004C47D0">
      <w:pPr>
        <w:pStyle w:val="NormalBold"/>
      </w:pPr>
      <w:r w:rsidRPr="00AD1AAB">
        <w:t>Considerando 2-B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408DFEF2" w14:textId="77777777" w:rsidTr="00C21EA8">
        <w:trPr>
          <w:trHeight w:val="240"/>
          <w:jc w:val="center"/>
        </w:trPr>
        <w:tc>
          <w:tcPr>
            <w:tcW w:w="9752" w:type="dxa"/>
            <w:gridSpan w:val="2"/>
          </w:tcPr>
          <w:p w14:paraId="2E45A314" w14:textId="77777777" w:rsidR="004C47D0" w:rsidRPr="00AD1AAB" w:rsidRDefault="004C47D0" w:rsidP="00C21EA8"/>
        </w:tc>
      </w:tr>
      <w:tr w:rsidR="004C47D0" w:rsidRPr="00AD1AAB" w14:paraId="2C85E5B2" w14:textId="77777777" w:rsidTr="00C21EA8">
        <w:trPr>
          <w:trHeight w:val="240"/>
          <w:jc w:val="center"/>
        </w:trPr>
        <w:tc>
          <w:tcPr>
            <w:tcW w:w="4876" w:type="dxa"/>
            <w:hideMark/>
          </w:tcPr>
          <w:p w14:paraId="227A6B19" w14:textId="77777777" w:rsidR="004C47D0" w:rsidRPr="00AD1AAB" w:rsidRDefault="004C47D0" w:rsidP="00C21EA8">
            <w:pPr>
              <w:pStyle w:val="AmColumnHeading"/>
            </w:pPr>
            <w:r w:rsidRPr="00AD1AAB">
              <w:t>Texto da Comissão</w:t>
            </w:r>
          </w:p>
        </w:tc>
        <w:tc>
          <w:tcPr>
            <w:tcW w:w="4876" w:type="dxa"/>
            <w:hideMark/>
          </w:tcPr>
          <w:p w14:paraId="4D6B681C" w14:textId="77777777" w:rsidR="004C47D0" w:rsidRPr="00AD1AAB" w:rsidRDefault="004C47D0" w:rsidP="00C21EA8">
            <w:pPr>
              <w:pStyle w:val="AmColumnHeading"/>
            </w:pPr>
            <w:r w:rsidRPr="00AD1AAB">
              <w:t>Alteração</w:t>
            </w:r>
          </w:p>
        </w:tc>
      </w:tr>
      <w:tr w:rsidR="004C47D0" w:rsidRPr="00AD1AAB" w14:paraId="2F3FA783" w14:textId="77777777" w:rsidTr="00C21EA8">
        <w:trPr>
          <w:jc w:val="center"/>
        </w:trPr>
        <w:tc>
          <w:tcPr>
            <w:tcW w:w="4876" w:type="dxa"/>
          </w:tcPr>
          <w:p w14:paraId="27C9AA3E" w14:textId="77777777" w:rsidR="004C47D0" w:rsidRPr="00AD1AAB" w:rsidRDefault="004C47D0" w:rsidP="00C21EA8">
            <w:pPr>
              <w:pStyle w:val="Normal6a"/>
            </w:pPr>
          </w:p>
        </w:tc>
        <w:tc>
          <w:tcPr>
            <w:tcW w:w="4876" w:type="dxa"/>
            <w:hideMark/>
          </w:tcPr>
          <w:p w14:paraId="7E94D86C" w14:textId="014B402C" w:rsidR="004C47D0" w:rsidRPr="00AD1AAB" w:rsidRDefault="004C47D0" w:rsidP="00C21EA8">
            <w:pPr>
              <w:pStyle w:val="Normal6a"/>
            </w:pPr>
            <w:r w:rsidRPr="00AD1AAB">
              <w:rPr>
                <w:b/>
                <w:i/>
              </w:rPr>
              <w:t>(2-B)</w:t>
            </w:r>
            <w:r w:rsidRPr="00AD1AAB">
              <w:rPr>
                <w:b/>
                <w:i/>
              </w:rPr>
              <w:tab/>
              <w:t>A Europa tem uma longa tradição de produção de aço, com os trabalhadores siderúrgicos a desempenharem um papel fundamental no estabelecimento da indústria transformadora da União.  Estes empregos de qualidade altamente qualificados que proporcionam salários dignos, uma forte proteção laboral e padrões elevados de saúde e segurança são essenciais para sustentar a competitividade e o elevado valor social do setor siderúrgico.</w:t>
            </w:r>
          </w:p>
        </w:tc>
      </w:tr>
    </w:tbl>
    <w:p w14:paraId="380A253B" w14:textId="77777777" w:rsidR="004C47D0" w:rsidRPr="00AD1AAB" w:rsidRDefault="004C47D0" w:rsidP="004C47D0"/>
    <w:p w14:paraId="78431DB3" w14:textId="77777777" w:rsidR="004C47D0" w:rsidRPr="00AD1AAB" w:rsidRDefault="004C47D0" w:rsidP="004C47D0">
      <w:pPr>
        <w:pStyle w:val="AmNumberTabs"/>
      </w:pPr>
      <w:r w:rsidRPr="00AD1AAB">
        <w:t>Alteração</w:t>
      </w:r>
      <w:r w:rsidRPr="00AD1AAB">
        <w:tab/>
      </w:r>
      <w:r w:rsidRPr="00AD1AAB">
        <w:tab/>
        <w:t>6</w:t>
      </w:r>
    </w:p>
    <w:p w14:paraId="41D750FE" w14:textId="77777777" w:rsidR="004C47D0" w:rsidRPr="00AD1AAB" w:rsidRDefault="004C47D0" w:rsidP="004C47D0">
      <w:pPr>
        <w:pStyle w:val="NormalBold"/>
      </w:pPr>
      <w:r w:rsidRPr="00AD1AAB">
        <w:t>Proposta de regulamento</w:t>
      </w:r>
    </w:p>
    <w:p w14:paraId="7C4AE893" w14:textId="77777777" w:rsidR="004C47D0" w:rsidRPr="00AD1AAB" w:rsidRDefault="004C47D0" w:rsidP="004C47D0">
      <w:pPr>
        <w:pStyle w:val="NormalBold"/>
      </w:pPr>
      <w:r w:rsidRPr="00AD1AAB">
        <w:t>Considerando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7D0" w:rsidRPr="00AD1AAB" w14:paraId="27A08C3B" w14:textId="77777777" w:rsidTr="00C21EA8">
        <w:trPr>
          <w:trHeight w:val="240"/>
          <w:jc w:val="center"/>
        </w:trPr>
        <w:tc>
          <w:tcPr>
            <w:tcW w:w="9752" w:type="dxa"/>
            <w:gridSpan w:val="2"/>
            <w:tcBorders>
              <w:top w:val="nil"/>
              <w:left w:val="nil"/>
              <w:bottom w:val="nil"/>
              <w:right w:val="nil"/>
            </w:tcBorders>
          </w:tcPr>
          <w:p w14:paraId="60C95A78" w14:textId="77777777" w:rsidR="004C47D0" w:rsidRPr="00AD1AAB" w:rsidRDefault="004C47D0" w:rsidP="00C21EA8"/>
        </w:tc>
      </w:tr>
      <w:tr w:rsidR="004C47D0" w:rsidRPr="00AD1AAB" w14:paraId="2DAFA5BF" w14:textId="77777777" w:rsidTr="00C21EA8">
        <w:trPr>
          <w:trHeight w:val="240"/>
          <w:jc w:val="center"/>
        </w:trPr>
        <w:tc>
          <w:tcPr>
            <w:tcW w:w="4876" w:type="dxa"/>
            <w:tcBorders>
              <w:top w:val="nil"/>
              <w:left w:val="nil"/>
              <w:bottom w:val="nil"/>
              <w:right w:val="nil"/>
            </w:tcBorders>
            <w:hideMark/>
          </w:tcPr>
          <w:p w14:paraId="553076B8" w14:textId="77777777" w:rsidR="004C47D0" w:rsidRPr="00AD1AAB" w:rsidRDefault="004C47D0" w:rsidP="00C21EA8">
            <w:pPr>
              <w:pStyle w:val="AmColumnHeading"/>
            </w:pPr>
            <w:r w:rsidRPr="00AD1AAB">
              <w:t>Texto da Comissão</w:t>
            </w:r>
          </w:p>
        </w:tc>
        <w:tc>
          <w:tcPr>
            <w:tcW w:w="4876" w:type="dxa"/>
            <w:tcBorders>
              <w:top w:val="nil"/>
              <w:left w:val="nil"/>
              <w:bottom w:val="nil"/>
              <w:right w:val="nil"/>
            </w:tcBorders>
            <w:hideMark/>
          </w:tcPr>
          <w:p w14:paraId="3F474F07" w14:textId="77777777" w:rsidR="004C47D0" w:rsidRPr="00AD1AAB" w:rsidRDefault="004C47D0" w:rsidP="00C21EA8">
            <w:pPr>
              <w:pStyle w:val="AmColumnHeading"/>
            </w:pPr>
            <w:r w:rsidRPr="00AD1AAB">
              <w:t>Alteração</w:t>
            </w:r>
          </w:p>
        </w:tc>
      </w:tr>
      <w:tr w:rsidR="004C47D0" w:rsidRPr="00AD1AAB" w14:paraId="0E657BF9" w14:textId="77777777" w:rsidTr="00C21EA8">
        <w:trPr>
          <w:jc w:val="center"/>
        </w:trPr>
        <w:tc>
          <w:tcPr>
            <w:tcW w:w="4876" w:type="dxa"/>
            <w:tcBorders>
              <w:top w:val="nil"/>
              <w:left w:val="nil"/>
              <w:bottom w:val="nil"/>
              <w:right w:val="nil"/>
            </w:tcBorders>
            <w:hideMark/>
          </w:tcPr>
          <w:p w14:paraId="467660EF" w14:textId="77777777" w:rsidR="004C47D0" w:rsidRPr="00AD1AAB" w:rsidRDefault="004C47D0" w:rsidP="00C21EA8">
            <w:pPr>
              <w:pStyle w:val="Normal6a"/>
            </w:pPr>
            <w:r w:rsidRPr="00AD1AAB">
              <w:t>(6)</w:t>
            </w:r>
            <w:r w:rsidRPr="00AD1AAB">
              <w:tab/>
              <w:t>Em novembro de 2024, os dirigentes da União adotaram a Declaração de Budapeste</w:t>
            </w:r>
            <w:r w:rsidRPr="00AD1AAB">
              <w:rPr>
                <w:vertAlign w:val="superscript"/>
              </w:rPr>
              <w:t>2</w:t>
            </w:r>
            <w:r w:rsidRPr="00AD1AAB">
              <w:t xml:space="preserve">, na qual sublinharam a necessidade e a determinação urgentes de tornar a União mais competitiva através de um novo pacto para a competitividade europeia. Os dirigentes declararam ainda o </w:t>
            </w:r>
            <w:r w:rsidRPr="00AD1AAB">
              <w:lastRenderedPageBreak/>
              <w:t>seu empenho em garantir uma renovação industrial e uma descarbonização que permitam à União continuar a ser uma potência industrial e tecnológica. Os dirigentes da União reconheceram igualmente a necessidade de aumentar a prontidão e as capacidades em matéria de defesa, reforçando em conformidade a base tecnológica e industrial de defesa. Para o efeito, os dirigentes comprometeram-se a desenvolver uma política industrial para a União, que assegure o crescimento das tecnologias essenciais de amanhã, prestando especial atenção às indústrias tradicionais em transição.</w:t>
            </w:r>
          </w:p>
        </w:tc>
        <w:tc>
          <w:tcPr>
            <w:tcW w:w="4876" w:type="dxa"/>
            <w:tcBorders>
              <w:top w:val="nil"/>
              <w:left w:val="nil"/>
              <w:bottom w:val="nil"/>
              <w:right w:val="nil"/>
            </w:tcBorders>
            <w:hideMark/>
          </w:tcPr>
          <w:p w14:paraId="467194C7" w14:textId="77777777" w:rsidR="004C47D0" w:rsidRPr="00AD1AAB" w:rsidRDefault="004C47D0" w:rsidP="00C21EA8">
            <w:pPr>
              <w:pStyle w:val="Normal6a"/>
            </w:pPr>
            <w:r w:rsidRPr="00AD1AAB">
              <w:lastRenderedPageBreak/>
              <w:t>(6)</w:t>
            </w:r>
            <w:r w:rsidRPr="00AD1AAB">
              <w:tab/>
              <w:t>Em novembro de 2024, os dirigentes da União adotaram a Declaração de Budapeste</w:t>
            </w:r>
            <w:r w:rsidRPr="00AD1AAB">
              <w:rPr>
                <w:vertAlign w:val="superscript"/>
              </w:rPr>
              <w:t>2</w:t>
            </w:r>
            <w:r w:rsidRPr="00AD1AAB">
              <w:t xml:space="preserve">, na qual sublinharam a necessidade e a determinação urgentes de tornar a União mais competitiva através de um novo pacto para a competitividade europeia. Os dirigentes declararam ainda o </w:t>
            </w:r>
            <w:r w:rsidRPr="00AD1AAB">
              <w:lastRenderedPageBreak/>
              <w:t>seu empenho em garantir uma renovação industrial e uma descarbonização que permitam à União continuar a ser uma potência industrial e tecnológica</w:t>
            </w:r>
            <w:r w:rsidRPr="00AD1AAB">
              <w:rPr>
                <w:b/>
                <w:i/>
              </w:rPr>
              <w:t xml:space="preserve"> que promove a criação de empregos de qualidade</w:t>
            </w:r>
            <w:r w:rsidRPr="00AD1AAB">
              <w:t>. Os dirigentes da União reconheceram igualmente a necessidade de aumentar a prontidão e as capacidades em matéria de defesa, reforçando em conformidade a base tecnológica e industrial de defesa. Para o efeito, os dirigentes comprometeram-se a desenvolver uma política industrial para a União, que assegure o crescimento das tecnologias essenciais de amanhã, prestando especial atenção às indústrias tradicionais em transição.</w:t>
            </w:r>
          </w:p>
        </w:tc>
      </w:tr>
      <w:tr w:rsidR="004C47D0" w:rsidRPr="00AD1AAB" w14:paraId="6AE27C4D" w14:textId="77777777" w:rsidTr="00C21EA8">
        <w:trPr>
          <w:jc w:val="center"/>
        </w:trPr>
        <w:tc>
          <w:tcPr>
            <w:tcW w:w="4876" w:type="dxa"/>
            <w:tcBorders>
              <w:top w:val="nil"/>
              <w:left w:val="nil"/>
              <w:bottom w:val="nil"/>
              <w:right w:val="nil"/>
            </w:tcBorders>
            <w:hideMark/>
          </w:tcPr>
          <w:p w14:paraId="6651C597" w14:textId="77777777" w:rsidR="004C47D0" w:rsidRPr="00AD1AAB" w:rsidRDefault="004C47D0" w:rsidP="00C21EA8">
            <w:pPr>
              <w:pStyle w:val="Normal6a"/>
            </w:pPr>
            <w:r w:rsidRPr="00AD1AAB">
              <w:rPr>
                <w:b/>
                <w:i/>
              </w:rPr>
              <w:lastRenderedPageBreak/>
              <w:t>_________________</w:t>
            </w:r>
          </w:p>
        </w:tc>
        <w:tc>
          <w:tcPr>
            <w:tcW w:w="4876" w:type="dxa"/>
            <w:tcBorders>
              <w:top w:val="nil"/>
              <w:left w:val="nil"/>
              <w:bottom w:val="nil"/>
              <w:right w:val="nil"/>
            </w:tcBorders>
            <w:hideMark/>
          </w:tcPr>
          <w:p w14:paraId="6A160C4B" w14:textId="77777777" w:rsidR="004C47D0" w:rsidRPr="00AD1AAB" w:rsidRDefault="004C47D0" w:rsidP="00C21EA8">
            <w:pPr>
              <w:pStyle w:val="Normal6a"/>
            </w:pPr>
            <w:r w:rsidRPr="00AD1AAB">
              <w:rPr>
                <w:b/>
                <w:i/>
              </w:rPr>
              <w:t>_________________</w:t>
            </w:r>
          </w:p>
        </w:tc>
      </w:tr>
      <w:tr w:rsidR="004C47D0" w:rsidRPr="00AD1AAB" w14:paraId="4F5213D7" w14:textId="77777777" w:rsidTr="00C21EA8">
        <w:trPr>
          <w:jc w:val="center"/>
        </w:trPr>
        <w:tc>
          <w:tcPr>
            <w:tcW w:w="4876" w:type="dxa"/>
            <w:tcBorders>
              <w:top w:val="nil"/>
              <w:left w:val="nil"/>
              <w:bottom w:val="nil"/>
              <w:right w:val="nil"/>
            </w:tcBorders>
            <w:hideMark/>
          </w:tcPr>
          <w:p w14:paraId="0DC774C3" w14:textId="77777777" w:rsidR="004C47D0" w:rsidRPr="00AD1AAB" w:rsidRDefault="004C47D0" w:rsidP="00C21EA8">
            <w:pPr>
              <w:pStyle w:val="Normal6a"/>
            </w:pPr>
            <w:r w:rsidRPr="00AD1AAB">
              <w:rPr>
                <w:vertAlign w:val="superscript"/>
              </w:rPr>
              <w:t>2</w:t>
            </w:r>
            <w:r w:rsidRPr="00AD1AAB">
              <w:t xml:space="preserve"> https://www.consilium.europa.eu/en/press/press-releases/2024/11/08/the-budapest-declaration/</w:t>
            </w:r>
          </w:p>
        </w:tc>
        <w:tc>
          <w:tcPr>
            <w:tcW w:w="4876" w:type="dxa"/>
            <w:tcBorders>
              <w:top w:val="nil"/>
              <w:left w:val="nil"/>
              <w:bottom w:val="nil"/>
              <w:right w:val="nil"/>
            </w:tcBorders>
            <w:hideMark/>
          </w:tcPr>
          <w:p w14:paraId="37D707C6" w14:textId="77777777" w:rsidR="004C47D0" w:rsidRPr="00AD1AAB" w:rsidRDefault="004C47D0" w:rsidP="00C21EA8">
            <w:pPr>
              <w:pStyle w:val="Normal6a"/>
            </w:pPr>
            <w:r w:rsidRPr="00AD1AAB">
              <w:rPr>
                <w:vertAlign w:val="superscript"/>
              </w:rPr>
              <w:t>2</w:t>
            </w:r>
            <w:r w:rsidRPr="00AD1AAB">
              <w:t xml:space="preserve"> https://www.consilium.europa.eu/en/press/press-releases/2024/11/08/the-budapest-declaration/</w:t>
            </w:r>
          </w:p>
        </w:tc>
      </w:tr>
    </w:tbl>
    <w:p w14:paraId="1AD001F0" w14:textId="77777777" w:rsidR="004C47D0" w:rsidRPr="00AD1AAB" w:rsidRDefault="004C47D0" w:rsidP="004C47D0"/>
    <w:p w14:paraId="38E71E11" w14:textId="77777777" w:rsidR="004C47D0" w:rsidRPr="00AD1AAB" w:rsidRDefault="004C47D0" w:rsidP="004C47D0">
      <w:pPr>
        <w:pStyle w:val="AmNumberTabs"/>
      </w:pPr>
      <w:r w:rsidRPr="00AD1AAB">
        <w:t>Alteração</w:t>
      </w:r>
      <w:r w:rsidRPr="00AD1AAB">
        <w:tab/>
      </w:r>
      <w:r w:rsidRPr="00AD1AAB">
        <w:tab/>
        <w:t>7</w:t>
      </w:r>
    </w:p>
    <w:p w14:paraId="15794FC4" w14:textId="77777777" w:rsidR="004C47D0" w:rsidRPr="00AD1AAB" w:rsidRDefault="004C47D0" w:rsidP="004C47D0">
      <w:pPr>
        <w:pStyle w:val="NormalBold12b"/>
      </w:pPr>
      <w:r w:rsidRPr="00AD1AAB">
        <w:t>Proposta de regulamento</w:t>
      </w:r>
    </w:p>
    <w:p w14:paraId="69F5C0A8" w14:textId="77777777" w:rsidR="004C47D0" w:rsidRPr="00AD1AAB" w:rsidRDefault="004C47D0" w:rsidP="004C47D0">
      <w:pPr>
        <w:pStyle w:val="NormalBold"/>
      </w:pPr>
      <w:r w:rsidRPr="00AD1AAB">
        <w:t>Considerando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012281D2" w14:textId="77777777" w:rsidTr="00C21EA8">
        <w:trPr>
          <w:trHeight w:val="240"/>
          <w:jc w:val="center"/>
        </w:trPr>
        <w:tc>
          <w:tcPr>
            <w:tcW w:w="9752" w:type="dxa"/>
            <w:gridSpan w:val="2"/>
          </w:tcPr>
          <w:p w14:paraId="13ECDE8D" w14:textId="77777777" w:rsidR="004C47D0" w:rsidRPr="00AD1AAB" w:rsidRDefault="004C47D0" w:rsidP="00C21EA8"/>
        </w:tc>
      </w:tr>
      <w:tr w:rsidR="004C47D0" w:rsidRPr="00AD1AAB" w14:paraId="0A9047DD" w14:textId="77777777" w:rsidTr="00C21EA8">
        <w:trPr>
          <w:trHeight w:val="240"/>
          <w:jc w:val="center"/>
        </w:trPr>
        <w:tc>
          <w:tcPr>
            <w:tcW w:w="4876" w:type="dxa"/>
            <w:hideMark/>
          </w:tcPr>
          <w:p w14:paraId="23DB0A6A" w14:textId="77777777" w:rsidR="004C47D0" w:rsidRPr="00AD1AAB" w:rsidRDefault="004C47D0" w:rsidP="00C21EA8">
            <w:pPr>
              <w:pStyle w:val="AmColumnHeading"/>
            </w:pPr>
            <w:r w:rsidRPr="00AD1AAB">
              <w:t>Texto da Comissão</w:t>
            </w:r>
          </w:p>
        </w:tc>
        <w:tc>
          <w:tcPr>
            <w:tcW w:w="4876" w:type="dxa"/>
            <w:hideMark/>
          </w:tcPr>
          <w:p w14:paraId="252B5608" w14:textId="77777777" w:rsidR="004C47D0" w:rsidRPr="00AD1AAB" w:rsidRDefault="004C47D0" w:rsidP="00C21EA8">
            <w:pPr>
              <w:pStyle w:val="AmColumnHeading"/>
            </w:pPr>
            <w:r w:rsidRPr="00AD1AAB">
              <w:t>Alteração</w:t>
            </w:r>
          </w:p>
        </w:tc>
      </w:tr>
      <w:tr w:rsidR="004C47D0" w:rsidRPr="00AD1AAB" w14:paraId="15D6D991" w14:textId="77777777" w:rsidTr="00C21EA8">
        <w:trPr>
          <w:jc w:val="center"/>
        </w:trPr>
        <w:tc>
          <w:tcPr>
            <w:tcW w:w="4876" w:type="dxa"/>
          </w:tcPr>
          <w:p w14:paraId="5C21A809" w14:textId="77777777" w:rsidR="004C47D0" w:rsidRPr="00AD1AAB" w:rsidRDefault="004C47D0" w:rsidP="00C21EA8">
            <w:pPr>
              <w:pStyle w:val="Normal6a"/>
            </w:pPr>
            <w:r w:rsidRPr="00AD1AAB">
              <w:t>(7)</w:t>
            </w:r>
            <w:r w:rsidRPr="00AD1AAB">
              <w:rPr>
                <w:b/>
                <w:i/>
              </w:rPr>
              <w:tab/>
            </w:r>
            <w:r w:rsidRPr="00AD1AAB">
              <w:t xml:space="preserve">A competitividade industrial é uma prioridade fundamental e a </w:t>
            </w:r>
            <w:r w:rsidRPr="00AD1AAB">
              <w:rPr>
                <w:b/>
                <w:i/>
              </w:rPr>
              <w:t>descarbonização constitui um poderoso motor</w:t>
            </w:r>
            <w:r w:rsidRPr="00AD1AAB">
              <w:t xml:space="preserve"> de </w:t>
            </w:r>
            <w:r w:rsidRPr="00AD1AAB">
              <w:rPr>
                <w:b/>
                <w:i/>
              </w:rPr>
              <w:t>crescimento quando integrada nas</w:t>
            </w:r>
            <w:r w:rsidRPr="00AD1AAB">
              <w:t xml:space="preserve"> políticas </w:t>
            </w:r>
            <w:r w:rsidRPr="00AD1AAB">
              <w:rPr>
                <w:b/>
                <w:i/>
              </w:rPr>
              <w:t>industrial</w:t>
            </w:r>
            <w:r w:rsidRPr="00AD1AAB">
              <w:t xml:space="preserve">, de </w:t>
            </w:r>
            <w:r w:rsidRPr="00AD1AAB">
              <w:rPr>
                <w:b/>
                <w:i/>
              </w:rPr>
              <w:t>concorrência</w:t>
            </w:r>
            <w:r w:rsidRPr="00AD1AAB">
              <w:t xml:space="preserve">, </w:t>
            </w:r>
            <w:r w:rsidRPr="00AD1AAB">
              <w:rPr>
                <w:b/>
                <w:i/>
              </w:rPr>
              <w:t>económica</w:t>
            </w:r>
            <w:r w:rsidRPr="00AD1AAB">
              <w:t xml:space="preserve"> e </w:t>
            </w:r>
            <w:r w:rsidRPr="00AD1AAB">
              <w:rPr>
                <w:b/>
                <w:i/>
              </w:rPr>
              <w:t>comercial</w:t>
            </w:r>
            <w:r w:rsidRPr="00AD1AAB">
              <w:t>.</w:t>
            </w:r>
          </w:p>
        </w:tc>
        <w:tc>
          <w:tcPr>
            <w:tcW w:w="4876" w:type="dxa"/>
            <w:hideMark/>
          </w:tcPr>
          <w:p w14:paraId="1238530D" w14:textId="4DFAB953" w:rsidR="004C47D0" w:rsidRPr="00AD1AAB" w:rsidRDefault="004C47D0" w:rsidP="00C21EA8">
            <w:pPr>
              <w:pStyle w:val="Normal6a"/>
            </w:pPr>
            <w:r w:rsidRPr="00AD1AAB">
              <w:t>(7)</w:t>
            </w:r>
            <w:r w:rsidRPr="00AD1AAB">
              <w:tab/>
              <w:t xml:space="preserve">A competitividade industrial é uma prioridade fundamental </w:t>
            </w:r>
            <w:r w:rsidRPr="00AD1AAB">
              <w:rPr>
                <w:b/>
                <w:i/>
              </w:rPr>
              <w:t xml:space="preserve">para permitir que o setor siderúrgico da União sobreviva </w:t>
            </w:r>
            <w:r w:rsidRPr="00AD1AAB">
              <w:t xml:space="preserve">e </w:t>
            </w:r>
            <w:r w:rsidRPr="00AD1AAB">
              <w:rPr>
                <w:b/>
                <w:i/>
              </w:rPr>
              <w:t xml:space="preserve">contribua para o crescimento sustentável, </w:t>
            </w:r>
            <w:r w:rsidRPr="00AD1AAB">
              <w:t xml:space="preserve">a </w:t>
            </w:r>
            <w:r w:rsidRPr="00AD1AAB">
              <w:rPr>
                <w:b/>
                <w:i/>
              </w:rPr>
              <w:t xml:space="preserve">prosperidade e a resiliência a longo prazo. Para que este setor estratégico seja competitivo, a União deve recorrer à descarbonização e a uma combinação de políticas industriais, económicas e comerciais. Estas políticas devem procurar preservar a capacidade de produção da União, a liderança tecnológica e o emprego qualificado em setores-chave na União, a fim de evitar a deslocalização de indústrias estratégicas para regiões com normas ambientais e sociais menos rigorosas e mecanismos de </w:t>
            </w:r>
            <w:r w:rsidRPr="00AD1AAB">
              <w:rPr>
                <w:b/>
                <w:i/>
              </w:rPr>
              <w:lastRenderedPageBreak/>
              <w:t>subvenção injustos.</w:t>
            </w:r>
          </w:p>
        </w:tc>
      </w:tr>
    </w:tbl>
    <w:p w14:paraId="6E6539DC" w14:textId="77777777" w:rsidR="004C47D0" w:rsidRPr="00AD1AAB" w:rsidRDefault="004C47D0" w:rsidP="004C47D0"/>
    <w:p w14:paraId="3C6990E0" w14:textId="77777777" w:rsidR="004C47D0" w:rsidRPr="00AD1AAB" w:rsidRDefault="004C47D0" w:rsidP="004C47D0">
      <w:pPr>
        <w:pStyle w:val="AmNumberTabs"/>
      </w:pPr>
      <w:r w:rsidRPr="00AD1AAB">
        <w:t>Alteração</w:t>
      </w:r>
      <w:r w:rsidRPr="00AD1AAB">
        <w:tab/>
      </w:r>
      <w:r w:rsidRPr="00AD1AAB">
        <w:tab/>
        <w:t>8</w:t>
      </w:r>
    </w:p>
    <w:p w14:paraId="38E7C734" w14:textId="77777777" w:rsidR="004C47D0" w:rsidRPr="00AD1AAB" w:rsidRDefault="004C47D0" w:rsidP="004C47D0">
      <w:pPr>
        <w:pStyle w:val="NormalBold12b"/>
      </w:pPr>
      <w:r w:rsidRPr="00AD1AAB">
        <w:t>Proposta de regulamento</w:t>
      </w:r>
    </w:p>
    <w:p w14:paraId="2ED1E9F6" w14:textId="77777777" w:rsidR="004C47D0" w:rsidRPr="00AD1AAB" w:rsidRDefault="004C47D0" w:rsidP="004C47D0">
      <w:pPr>
        <w:pStyle w:val="NormalBold"/>
      </w:pPr>
      <w:r w:rsidRPr="00AD1AAB">
        <w:t>Considerando 7-A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6EFDFC1D" w14:textId="77777777" w:rsidTr="00C21EA8">
        <w:trPr>
          <w:trHeight w:val="240"/>
          <w:jc w:val="center"/>
        </w:trPr>
        <w:tc>
          <w:tcPr>
            <w:tcW w:w="9752" w:type="dxa"/>
            <w:gridSpan w:val="2"/>
          </w:tcPr>
          <w:p w14:paraId="46095490" w14:textId="77777777" w:rsidR="004C47D0" w:rsidRPr="00AD1AAB" w:rsidRDefault="004C47D0" w:rsidP="00C21EA8"/>
        </w:tc>
      </w:tr>
      <w:tr w:rsidR="004C47D0" w:rsidRPr="00AD1AAB" w14:paraId="071EF934" w14:textId="77777777" w:rsidTr="00C21EA8">
        <w:trPr>
          <w:trHeight w:val="240"/>
          <w:jc w:val="center"/>
        </w:trPr>
        <w:tc>
          <w:tcPr>
            <w:tcW w:w="4876" w:type="dxa"/>
            <w:hideMark/>
          </w:tcPr>
          <w:p w14:paraId="20BDE2A4" w14:textId="77777777" w:rsidR="004C47D0" w:rsidRPr="00AD1AAB" w:rsidRDefault="004C47D0" w:rsidP="00C21EA8">
            <w:pPr>
              <w:pStyle w:val="AmColumnHeading"/>
            </w:pPr>
            <w:r w:rsidRPr="00AD1AAB">
              <w:t>Texto da Comissão</w:t>
            </w:r>
          </w:p>
        </w:tc>
        <w:tc>
          <w:tcPr>
            <w:tcW w:w="4876" w:type="dxa"/>
            <w:hideMark/>
          </w:tcPr>
          <w:p w14:paraId="2FAC7C08" w14:textId="77777777" w:rsidR="004C47D0" w:rsidRPr="00AD1AAB" w:rsidRDefault="004C47D0" w:rsidP="00C21EA8">
            <w:pPr>
              <w:pStyle w:val="AmColumnHeading"/>
            </w:pPr>
            <w:r w:rsidRPr="00AD1AAB">
              <w:t>Alteração</w:t>
            </w:r>
          </w:p>
        </w:tc>
      </w:tr>
      <w:tr w:rsidR="004C47D0" w:rsidRPr="00AD1AAB" w14:paraId="320B09F8" w14:textId="77777777" w:rsidTr="00C21EA8">
        <w:trPr>
          <w:jc w:val="center"/>
        </w:trPr>
        <w:tc>
          <w:tcPr>
            <w:tcW w:w="4876" w:type="dxa"/>
          </w:tcPr>
          <w:p w14:paraId="4A4AFF81" w14:textId="77777777" w:rsidR="004C47D0" w:rsidRPr="00AD1AAB" w:rsidRDefault="004C47D0" w:rsidP="00C21EA8">
            <w:pPr>
              <w:pStyle w:val="Normal6a"/>
            </w:pPr>
          </w:p>
        </w:tc>
        <w:tc>
          <w:tcPr>
            <w:tcW w:w="4876" w:type="dxa"/>
            <w:hideMark/>
          </w:tcPr>
          <w:p w14:paraId="3A38D9DF" w14:textId="77777777" w:rsidR="004C47D0" w:rsidRPr="00AD1AAB" w:rsidRDefault="004C47D0" w:rsidP="00C21EA8">
            <w:pPr>
              <w:pStyle w:val="Normal6a"/>
            </w:pPr>
            <w:r w:rsidRPr="00AD1AAB">
              <w:rPr>
                <w:b/>
                <w:i/>
              </w:rPr>
              <w:t>(7-A)</w:t>
            </w:r>
            <w:r w:rsidRPr="00AD1AAB">
              <w:rPr>
                <w:b/>
                <w:i/>
              </w:rPr>
              <w:tab/>
              <w:t xml:space="preserve">A sobrecapacidade, associada a diferentes níveis de compromisso com os objetivos climáticos por parte de países terceiros, afeta a indústria siderúrgica da União no contexto da sua transição para uma produção neutra em termos de carbono. Por conseguinte, para que a trajetória da descarbonização do setor siderúrgico na União seja viável, é imperativo rever, em função das necessidades, o nível dos contingentes pautais. Tal poderá servir de impulso para criar as condições ideais para que a indústria siderúrgica da União entre na trajetória da descarbonização e abandone o cenário de </w:t>
            </w:r>
            <w:proofErr w:type="spellStart"/>
            <w:r w:rsidRPr="00AD1AAB">
              <w:rPr>
                <w:b/>
                <w:i/>
              </w:rPr>
              <w:t>statu</w:t>
            </w:r>
            <w:proofErr w:type="spellEnd"/>
            <w:r w:rsidRPr="00AD1AAB">
              <w:rPr>
                <w:b/>
                <w:i/>
              </w:rPr>
              <w:t xml:space="preserve"> quo. No âmbito dessa revisão, a Comissão deve também prestar informações sobre a utilização de subvenções públicas pelos produtores da União com vista a alcançar os objetivos climáticos da União, sobre os volumes totais da produção de aço com baixas emissões da União e sobre a exposição dos produtores da União à concorrência desleal.</w:t>
            </w:r>
          </w:p>
        </w:tc>
      </w:tr>
    </w:tbl>
    <w:p w14:paraId="6C8A2D48" w14:textId="77777777" w:rsidR="004C47D0" w:rsidRPr="00AD1AAB" w:rsidRDefault="004C47D0" w:rsidP="004C47D0"/>
    <w:p w14:paraId="0BF81A39" w14:textId="77777777" w:rsidR="004C47D0" w:rsidRPr="00AD1AAB" w:rsidRDefault="004C47D0" w:rsidP="004C47D0">
      <w:pPr>
        <w:pStyle w:val="AmNumberTabs"/>
        <w:spacing w:before="0"/>
      </w:pPr>
      <w:r w:rsidRPr="00AD1AAB">
        <w:t>Alteração</w:t>
      </w:r>
      <w:r w:rsidRPr="00AD1AAB">
        <w:tab/>
      </w:r>
      <w:r w:rsidRPr="00AD1AAB">
        <w:tab/>
        <w:t>9</w:t>
      </w:r>
    </w:p>
    <w:p w14:paraId="4812A1F2" w14:textId="77777777" w:rsidR="004C47D0" w:rsidRPr="00AD1AAB" w:rsidRDefault="004C47D0" w:rsidP="004C47D0">
      <w:pPr>
        <w:pStyle w:val="AmNumberTabs"/>
        <w:spacing w:before="0"/>
      </w:pPr>
      <w:r w:rsidRPr="00AD1AAB">
        <w:t>Proposta de regulamento</w:t>
      </w:r>
    </w:p>
    <w:p w14:paraId="0DDBA552" w14:textId="77777777" w:rsidR="004C47D0" w:rsidRPr="00AD1AAB" w:rsidRDefault="004C47D0" w:rsidP="004C47D0">
      <w:pPr>
        <w:pStyle w:val="NormalBold"/>
      </w:pPr>
      <w:r w:rsidRPr="00AD1AAB">
        <w:t>Considerando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5048DDFE" w14:textId="77777777" w:rsidTr="00C21EA8">
        <w:trPr>
          <w:trHeight w:val="240"/>
          <w:jc w:val="center"/>
        </w:trPr>
        <w:tc>
          <w:tcPr>
            <w:tcW w:w="9752" w:type="dxa"/>
            <w:gridSpan w:val="2"/>
          </w:tcPr>
          <w:p w14:paraId="3E61FD8D" w14:textId="77777777" w:rsidR="004C47D0" w:rsidRPr="00AD1AAB" w:rsidRDefault="004C47D0" w:rsidP="00C21EA8"/>
        </w:tc>
      </w:tr>
      <w:tr w:rsidR="004C47D0" w:rsidRPr="00AD1AAB" w14:paraId="07D0CF7E" w14:textId="77777777" w:rsidTr="00C21EA8">
        <w:trPr>
          <w:trHeight w:val="240"/>
          <w:jc w:val="center"/>
        </w:trPr>
        <w:tc>
          <w:tcPr>
            <w:tcW w:w="4876" w:type="dxa"/>
            <w:hideMark/>
          </w:tcPr>
          <w:p w14:paraId="167935F6" w14:textId="77777777" w:rsidR="004C47D0" w:rsidRPr="00AD1AAB" w:rsidRDefault="004C47D0" w:rsidP="00C21EA8">
            <w:pPr>
              <w:pStyle w:val="AmColumnHeading"/>
            </w:pPr>
            <w:r w:rsidRPr="00AD1AAB">
              <w:t>Texto da Comissão</w:t>
            </w:r>
          </w:p>
        </w:tc>
        <w:tc>
          <w:tcPr>
            <w:tcW w:w="4876" w:type="dxa"/>
            <w:hideMark/>
          </w:tcPr>
          <w:p w14:paraId="4317EC4B" w14:textId="77777777" w:rsidR="004C47D0" w:rsidRPr="00AD1AAB" w:rsidRDefault="004C47D0" w:rsidP="00C21EA8">
            <w:pPr>
              <w:pStyle w:val="AmColumnHeading"/>
            </w:pPr>
            <w:r w:rsidRPr="00AD1AAB">
              <w:t>Alteração</w:t>
            </w:r>
          </w:p>
        </w:tc>
      </w:tr>
      <w:tr w:rsidR="004C47D0" w:rsidRPr="00AD1AAB" w14:paraId="06FD8160" w14:textId="77777777" w:rsidTr="00C21EA8">
        <w:trPr>
          <w:jc w:val="center"/>
        </w:trPr>
        <w:tc>
          <w:tcPr>
            <w:tcW w:w="4876" w:type="dxa"/>
          </w:tcPr>
          <w:p w14:paraId="70B4CADE" w14:textId="77777777" w:rsidR="004C47D0" w:rsidRPr="00AD1AAB" w:rsidRDefault="004C47D0" w:rsidP="00C21EA8">
            <w:pPr>
              <w:pStyle w:val="Normal6a"/>
            </w:pPr>
            <w:r w:rsidRPr="00AD1AAB">
              <w:t>(8)</w:t>
            </w:r>
            <w:r w:rsidRPr="00AD1AAB">
              <w:rPr>
                <w:b/>
                <w:i/>
              </w:rPr>
              <w:tab/>
            </w:r>
            <w:r w:rsidRPr="00AD1AAB">
              <w:t xml:space="preserve">As indústrias com utilização intensiva de energia são setores fulcrais que necessitam de </w:t>
            </w:r>
            <w:r w:rsidRPr="00AD1AAB">
              <w:rPr>
                <w:b/>
                <w:i/>
              </w:rPr>
              <w:t>apoio</w:t>
            </w:r>
            <w:r w:rsidRPr="00AD1AAB">
              <w:t xml:space="preserve"> urgente para proceder à descarbonização e à eletrificação, bem como para fazer face aos elevados custos da energia, à concorrência desleal a nível mundial e à regulamentação </w:t>
            </w:r>
            <w:r w:rsidRPr="00AD1AAB">
              <w:lastRenderedPageBreak/>
              <w:t>complexa, que prejudicam a sua competitividade.</w:t>
            </w:r>
          </w:p>
        </w:tc>
        <w:tc>
          <w:tcPr>
            <w:tcW w:w="4876" w:type="dxa"/>
            <w:hideMark/>
          </w:tcPr>
          <w:p w14:paraId="62D7AC65" w14:textId="21783574" w:rsidR="004C47D0" w:rsidRPr="00AD1AAB" w:rsidRDefault="004C47D0" w:rsidP="00C21EA8">
            <w:pPr>
              <w:pStyle w:val="Normal6a"/>
            </w:pPr>
            <w:r w:rsidRPr="00AD1AAB">
              <w:lastRenderedPageBreak/>
              <w:t>(8)</w:t>
            </w:r>
            <w:r w:rsidRPr="00AD1AAB">
              <w:rPr>
                <w:b/>
                <w:i/>
              </w:rPr>
              <w:tab/>
            </w:r>
            <w:r w:rsidRPr="00AD1AAB">
              <w:t xml:space="preserve">As indústrias com utilização intensiva de energia são setores fulcrais que necessitam de </w:t>
            </w:r>
            <w:r w:rsidRPr="00AD1AAB">
              <w:rPr>
                <w:b/>
                <w:i/>
              </w:rPr>
              <w:t>uma intervenção</w:t>
            </w:r>
            <w:r w:rsidRPr="00AD1AAB">
              <w:t xml:space="preserve"> urgente para </w:t>
            </w:r>
            <w:r w:rsidRPr="00AD1AAB">
              <w:rPr>
                <w:b/>
                <w:i/>
              </w:rPr>
              <w:t xml:space="preserve">as apoiar a </w:t>
            </w:r>
            <w:r w:rsidRPr="00AD1AAB">
              <w:t xml:space="preserve">proceder à descarbonização e à eletrificação, </w:t>
            </w:r>
            <w:r w:rsidRPr="00AD1AAB">
              <w:rPr>
                <w:b/>
                <w:i/>
              </w:rPr>
              <w:t xml:space="preserve">aderir à circularidade, o que contribuiria para promover a criação de emprego na União, </w:t>
            </w:r>
            <w:r w:rsidRPr="00AD1AAB">
              <w:lastRenderedPageBreak/>
              <w:t xml:space="preserve">bem como para fazer face aos elevados custos da energia, à concorrência desleal a nível mundial e à regulamentação complexa, que prejudicam a sua competitividade. </w:t>
            </w:r>
            <w:r w:rsidRPr="00AD1AAB">
              <w:rPr>
                <w:b/>
                <w:i/>
              </w:rPr>
              <w:t xml:space="preserve">É essencial permitir que essas indústrias se mantenham competitivas a nível mundial e continuem a produzir na União, ao passo que o apoio contínuo às indústrias com utilização intensiva de energia deve estar sujeito a condicionalidades sociais e ambientais, como a preservação dos locais de produção e dos postos de trabalho. O reforço da segurança energética, a facilitação do acesso a energia a preços acessíveis, a redução dos custos dos fatores de produção e a simplificação dos encargos regulamentares são fundamentais para evitar a deslocalização industrial e preservar as cadeias de valor na União. Dado que a produção de aço é responsável por cerca de 5 % das emissões de gases com efeito de estufa da União, acelerar a implantação de tecnologias com emissões baixas ou quase nulas </w:t>
            </w:r>
            <w:r w:rsidR="00CA37A3" w:rsidRPr="00AD1AAB">
              <w:rPr>
                <w:b/>
                <w:i/>
              </w:rPr>
              <w:t xml:space="preserve">– </w:t>
            </w:r>
            <w:r w:rsidRPr="00AD1AAB">
              <w:rPr>
                <w:b/>
                <w:i/>
              </w:rPr>
              <w:t>incluindo a produção de aço baseada em hidrogénio e eletrificada </w:t>
            </w:r>
            <w:r w:rsidR="00CA37A3" w:rsidRPr="00AD1AAB">
              <w:rPr>
                <w:b/>
                <w:i/>
              </w:rPr>
              <w:t>– </w:t>
            </w:r>
            <w:r w:rsidRPr="00AD1AAB">
              <w:rPr>
                <w:b/>
                <w:i/>
              </w:rPr>
              <w:t>e reforçar a circularidade através da recuperação e transformação de sucata ferrosa reciclada de elevada qualidade será essencial para reduzir as emissões e aumentar a eficiência na utilização dos recursos.</w:t>
            </w:r>
          </w:p>
        </w:tc>
      </w:tr>
    </w:tbl>
    <w:p w14:paraId="4658FBD1" w14:textId="77777777" w:rsidR="004C47D0" w:rsidRPr="00AD1AAB" w:rsidRDefault="004C47D0" w:rsidP="004C47D0"/>
    <w:p w14:paraId="5EC166C0" w14:textId="77777777" w:rsidR="004C47D0" w:rsidRPr="00AD1AAB" w:rsidRDefault="004C47D0" w:rsidP="004C47D0">
      <w:pPr>
        <w:pStyle w:val="AmNumberTabs"/>
      </w:pPr>
      <w:r w:rsidRPr="00AD1AAB">
        <w:rPr>
          <w:b w:val="0"/>
        </w:rPr>
        <w:t>Alteração</w:t>
      </w:r>
      <w:r w:rsidRPr="00AD1AAB">
        <w:rPr>
          <w:b w:val="0"/>
        </w:rPr>
        <w:tab/>
      </w:r>
      <w:r w:rsidRPr="00AD1AAB">
        <w:rPr>
          <w:b w:val="0"/>
        </w:rPr>
        <w:tab/>
        <w:t>10</w:t>
      </w:r>
      <w:r w:rsidRPr="00AD1AAB">
        <w:t xml:space="preserve"> </w:t>
      </w:r>
    </w:p>
    <w:p w14:paraId="3C8FCE2F" w14:textId="77777777" w:rsidR="004C47D0" w:rsidRPr="00AD1AAB" w:rsidRDefault="004C47D0" w:rsidP="004C47D0">
      <w:pPr>
        <w:pStyle w:val="NormalBold12b"/>
      </w:pPr>
      <w:r w:rsidRPr="00AD1AAB">
        <w:t>Proposta de regulamento</w:t>
      </w:r>
    </w:p>
    <w:p w14:paraId="73E5B345" w14:textId="77777777" w:rsidR="004C47D0" w:rsidRPr="00AD1AAB" w:rsidRDefault="004C47D0" w:rsidP="004C47D0">
      <w:pPr>
        <w:pStyle w:val="NormalBold"/>
      </w:pPr>
      <w:r w:rsidRPr="00AD1AAB">
        <w:t>Considerando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06BADFC2" w14:textId="77777777" w:rsidTr="00C21EA8">
        <w:trPr>
          <w:trHeight w:val="240"/>
          <w:jc w:val="center"/>
        </w:trPr>
        <w:tc>
          <w:tcPr>
            <w:tcW w:w="9752" w:type="dxa"/>
            <w:gridSpan w:val="2"/>
          </w:tcPr>
          <w:p w14:paraId="4E1B41DF" w14:textId="77777777" w:rsidR="004C47D0" w:rsidRPr="00AD1AAB" w:rsidRDefault="004C47D0" w:rsidP="00C21EA8"/>
        </w:tc>
      </w:tr>
      <w:tr w:rsidR="004C47D0" w:rsidRPr="00AD1AAB" w14:paraId="7A9B2F2D" w14:textId="77777777" w:rsidTr="00C21EA8">
        <w:trPr>
          <w:trHeight w:val="240"/>
          <w:jc w:val="center"/>
        </w:trPr>
        <w:tc>
          <w:tcPr>
            <w:tcW w:w="4876" w:type="dxa"/>
            <w:hideMark/>
          </w:tcPr>
          <w:p w14:paraId="4A26BD7D" w14:textId="77777777" w:rsidR="004C47D0" w:rsidRPr="00AD1AAB" w:rsidRDefault="004C47D0" w:rsidP="00C21EA8">
            <w:pPr>
              <w:pStyle w:val="AmColumnHeading"/>
            </w:pPr>
            <w:r w:rsidRPr="00AD1AAB">
              <w:t>Texto da Comissão</w:t>
            </w:r>
          </w:p>
        </w:tc>
        <w:tc>
          <w:tcPr>
            <w:tcW w:w="4876" w:type="dxa"/>
            <w:hideMark/>
          </w:tcPr>
          <w:p w14:paraId="4B403E19" w14:textId="77777777" w:rsidR="004C47D0" w:rsidRPr="00AD1AAB" w:rsidRDefault="004C47D0" w:rsidP="00C21EA8">
            <w:pPr>
              <w:pStyle w:val="AmColumnHeading"/>
            </w:pPr>
            <w:r w:rsidRPr="00AD1AAB">
              <w:t>Alteração</w:t>
            </w:r>
          </w:p>
        </w:tc>
      </w:tr>
      <w:tr w:rsidR="004C47D0" w:rsidRPr="00AD1AAB" w14:paraId="43941215" w14:textId="77777777" w:rsidTr="00C21EA8">
        <w:trPr>
          <w:jc w:val="center"/>
        </w:trPr>
        <w:tc>
          <w:tcPr>
            <w:tcW w:w="4876" w:type="dxa"/>
          </w:tcPr>
          <w:p w14:paraId="2E6DD958" w14:textId="77777777" w:rsidR="004C47D0" w:rsidRPr="00AD1AAB" w:rsidRDefault="004C47D0" w:rsidP="00C21EA8">
            <w:pPr>
              <w:pStyle w:val="Normal6a"/>
            </w:pPr>
            <w:r w:rsidRPr="00AD1AAB">
              <w:t>(9)</w:t>
            </w:r>
            <w:r w:rsidRPr="00AD1AAB">
              <w:rPr>
                <w:b/>
                <w:i/>
              </w:rPr>
              <w:tab/>
              <w:t>Além do mais, como se reconhece no</w:t>
            </w:r>
            <w:r w:rsidRPr="00AD1AAB">
              <w:t xml:space="preserve"> Plano de Ação para o Aço e os Metais</w:t>
            </w:r>
            <w:r w:rsidRPr="00AD1AAB">
              <w:rPr>
                <w:vertAlign w:val="superscript"/>
              </w:rPr>
              <w:t>3</w:t>
            </w:r>
            <w:r w:rsidRPr="00AD1AAB">
              <w:t xml:space="preserve">, o aço constitui um metal de importância estratégica para a capacidade de defesa da União. </w:t>
            </w:r>
            <w:r w:rsidRPr="00AD1AAB">
              <w:rPr>
                <w:b/>
                <w:i/>
              </w:rPr>
              <w:t>No atual</w:t>
            </w:r>
            <w:r w:rsidRPr="00AD1AAB">
              <w:t xml:space="preserve"> contexto </w:t>
            </w:r>
            <w:r w:rsidRPr="00AD1AAB">
              <w:rPr>
                <w:b/>
                <w:i/>
              </w:rPr>
              <w:t>geopolítico</w:t>
            </w:r>
            <w:r w:rsidRPr="00AD1AAB">
              <w:t xml:space="preserve">, as cadeias de abastecimento estáveis e resilientes de metais críticos, como o aço, e </w:t>
            </w:r>
            <w:r w:rsidRPr="00AD1AAB">
              <w:rPr>
                <w:b/>
                <w:i/>
              </w:rPr>
              <w:t>a</w:t>
            </w:r>
            <w:r w:rsidRPr="00AD1AAB">
              <w:t xml:space="preserve"> produção interna são fundamentais para a </w:t>
            </w:r>
            <w:r w:rsidRPr="00AD1AAB">
              <w:lastRenderedPageBreak/>
              <w:t>defesa e o setor aeroespacial e para evitar dependências indesejadas de fornecedores de países terceiros.</w:t>
            </w:r>
          </w:p>
        </w:tc>
        <w:tc>
          <w:tcPr>
            <w:tcW w:w="4876" w:type="dxa"/>
            <w:hideMark/>
          </w:tcPr>
          <w:p w14:paraId="4737D285" w14:textId="1BA77976" w:rsidR="004C47D0" w:rsidRPr="00AD1AAB" w:rsidRDefault="004C47D0" w:rsidP="00C21EA8">
            <w:pPr>
              <w:pStyle w:val="Normal6a"/>
            </w:pPr>
            <w:r w:rsidRPr="00AD1AAB">
              <w:lastRenderedPageBreak/>
              <w:t>(9)</w:t>
            </w:r>
            <w:r w:rsidRPr="00AD1AAB">
              <w:rPr>
                <w:b/>
                <w:i/>
              </w:rPr>
              <w:tab/>
              <w:t>A União continua empenhada na aplicação rápida e urgente do</w:t>
            </w:r>
            <w:r w:rsidRPr="00AD1AAB">
              <w:t xml:space="preserve"> Plano de Ação para o Aço e os Metais</w:t>
            </w:r>
            <w:r w:rsidRPr="00AD1AAB">
              <w:rPr>
                <w:vertAlign w:val="superscript"/>
              </w:rPr>
              <w:t>3</w:t>
            </w:r>
            <w:r w:rsidRPr="00AD1AAB">
              <w:t>,</w:t>
            </w:r>
            <w:r w:rsidRPr="00AD1AAB">
              <w:rPr>
                <w:b/>
                <w:i/>
              </w:rPr>
              <w:t xml:space="preserve"> uma vez que</w:t>
            </w:r>
            <w:r w:rsidRPr="00AD1AAB">
              <w:t xml:space="preserve"> o aço constitui um metal de importância estratégica para a capacidade de defesa da União. </w:t>
            </w:r>
            <w:r w:rsidRPr="00AD1AAB">
              <w:rPr>
                <w:b/>
                <w:i/>
              </w:rPr>
              <w:t>Especialmente num</w:t>
            </w:r>
            <w:r w:rsidRPr="00AD1AAB">
              <w:t xml:space="preserve"> contexto </w:t>
            </w:r>
            <w:r w:rsidRPr="00AD1AAB">
              <w:rPr>
                <w:b/>
                <w:i/>
              </w:rPr>
              <w:t xml:space="preserve">marcado por uma crescente instabilidade a nível mundial e por </w:t>
            </w:r>
            <w:r w:rsidRPr="00AD1AAB">
              <w:rPr>
                <w:b/>
                <w:i/>
              </w:rPr>
              <w:lastRenderedPageBreak/>
              <w:t>pressões de segurança acrescidas</w:t>
            </w:r>
            <w:r w:rsidRPr="00AD1AAB">
              <w:t xml:space="preserve">, as cadeias de abastecimento estáveis e resilientes de metais críticos, como o aço, e </w:t>
            </w:r>
            <w:r w:rsidRPr="00AD1AAB">
              <w:rPr>
                <w:b/>
                <w:i/>
              </w:rPr>
              <w:t>uma base de</w:t>
            </w:r>
            <w:r w:rsidRPr="00AD1AAB">
              <w:t xml:space="preserve"> produção interna</w:t>
            </w:r>
            <w:r w:rsidRPr="00AD1AAB">
              <w:rPr>
                <w:b/>
                <w:i/>
              </w:rPr>
              <w:t xml:space="preserve"> forte e competitiva</w:t>
            </w:r>
            <w:r w:rsidRPr="00AD1AAB">
              <w:t xml:space="preserve"> são fundamentais para a defesa e o setor aeroespacial</w:t>
            </w:r>
            <w:r w:rsidRPr="00AD1AAB">
              <w:rPr>
                <w:b/>
                <w:i/>
              </w:rPr>
              <w:t>, para assegurar a resiliência económica</w:t>
            </w:r>
            <w:r w:rsidRPr="00AD1AAB">
              <w:t xml:space="preserve"> e para evitar dependências indesejadas de fornecedores de países terceiros.</w:t>
            </w:r>
          </w:p>
        </w:tc>
      </w:tr>
    </w:tbl>
    <w:p w14:paraId="22867A56" w14:textId="77777777" w:rsidR="004C47D0" w:rsidRPr="00AD1AAB" w:rsidRDefault="004C47D0" w:rsidP="004C47D0"/>
    <w:p w14:paraId="1C0FEC64" w14:textId="77777777" w:rsidR="004C47D0" w:rsidRPr="00AD1AAB" w:rsidRDefault="004C47D0" w:rsidP="004C47D0">
      <w:pPr>
        <w:pStyle w:val="AmNumberTabs"/>
      </w:pPr>
      <w:r w:rsidRPr="00AD1AAB">
        <w:t>Alteração</w:t>
      </w:r>
      <w:r w:rsidRPr="00AD1AAB">
        <w:tab/>
      </w:r>
      <w:r w:rsidRPr="00AD1AAB">
        <w:tab/>
        <w:t xml:space="preserve">11 </w:t>
      </w:r>
    </w:p>
    <w:p w14:paraId="29EC862E" w14:textId="77777777" w:rsidR="004C47D0" w:rsidRPr="00AD1AAB" w:rsidRDefault="004C47D0" w:rsidP="004C47D0">
      <w:pPr>
        <w:pStyle w:val="NormalBold12b"/>
      </w:pPr>
      <w:r w:rsidRPr="00AD1AAB">
        <w:t>Proposta de regulamento</w:t>
      </w:r>
    </w:p>
    <w:p w14:paraId="71E461FB" w14:textId="77777777" w:rsidR="004C47D0" w:rsidRPr="00AD1AAB" w:rsidRDefault="004C47D0" w:rsidP="004C47D0">
      <w:pPr>
        <w:pStyle w:val="NormalBold"/>
      </w:pPr>
      <w:r w:rsidRPr="00AD1AAB">
        <w:t>Considerando 9-A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67BC8E12" w14:textId="77777777" w:rsidTr="00C21EA8">
        <w:trPr>
          <w:trHeight w:val="240"/>
          <w:jc w:val="center"/>
        </w:trPr>
        <w:tc>
          <w:tcPr>
            <w:tcW w:w="9752" w:type="dxa"/>
            <w:gridSpan w:val="2"/>
          </w:tcPr>
          <w:p w14:paraId="618FE121" w14:textId="77777777" w:rsidR="004C47D0" w:rsidRPr="00AD1AAB" w:rsidRDefault="004C47D0" w:rsidP="00C21EA8"/>
        </w:tc>
      </w:tr>
      <w:tr w:rsidR="004C47D0" w:rsidRPr="00AD1AAB" w14:paraId="455B75EF" w14:textId="77777777" w:rsidTr="00C21EA8">
        <w:trPr>
          <w:trHeight w:val="240"/>
          <w:jc w:val="center"/>
        </w:trPr>
        <w:tc>
          <w:tcPr>
            <w:tcW w:w="4876" w:type="dxa"/>
            <w:hideMark/>
          </w:tcPr>
          <w:p w14:paraId="47A335A2" w14:textId="77777777" w:rsidR="004C47D0" w:rsidRPr="00AD1AAB" w:rsidRDefault="004C47D0" w:rsidP="00C21EA8">
            <w:pPr>
              <w:pStyle w:val="AmColumnHeading"/>
            </w:pPr>
            <w:r w:rsidRPr="00AD1AAB">
              <w:t>Texto da Comissão</w:t>
            </w:r>
          </w:p>
        </w:tc>
        <w:tc>
          <w:tcPr>
            <w:tcW w:w="4876" w:type="dxa"/>
            <w:hideMark/>
          </w:tcPr>
          <w:p w14:paraId="5B4D73AC" w14:textId="77777777" w:rsidR="004C47D0" w:rsidRPr="00AD1AAB" w:rsidRDefault="004C47D0" w:rsidP="00C21EA8">
            <w:pPr>
              <w:pStyle w:val="AmColumnHeading"/>
            </w:pPr>
            <w:r w:rsidRPr="00AD1AAB">
              <w:t>Alteração</w:t>
            </w:r>
          </w:p>
        </w:tc>
      </w:tr>
      <w:tr w:rsidR="004C47D0" w:rsidRPr="00AD1AAB" w14:paraId="2A392FC3" w14:textId="77777777" w:rsidTr="00C21EA8">
        <w:trPr>
          <w:jc w:val="center"/>
        </w:trPr>
        <w:tc>
          <w:tcPr>
            <w:tcW w:w="4876" w:type="dxa"/>
          </w:tcPr>
          <w:p w14:paraId="60C8339B" w14:textId="77777777" w:rsidR="004C47D0" w:rsidRPr="00AD1AAB" w:rsidRDefault="004C47D0" w:rsidP="00C21EA8">
            <w:pPr>
              <w:pStyle w:val="Normal6a"/>
            </w:pPr>
          </w:p>
        </w:tc>
        <w:tc>
          <w:tcPr>
            <w:tcW w:w="4876" w:type="dxa"/>
            <w:hideMark/>
          </w:tcPr>
          <w:p w14:paraId="7B709CB8" w14:textId="77777777" w:rsidR="004C47D0" w:rsidRPr="00AD1AAB" w:rsidRDefault="004C47D0" w:rsidP="00C21EA8">
            <w:pPr>
              <w:pStyle w:val="Normal6a"/>
            </w:pPr>
            <w:r w:rsidRPr="00AD1AAB">
              <w:rPr>
                <w:b/>
                <w:i/>
              </w:rPr>
              <w:t>(9-A)</w:t>
            </w:r>
            <w:r w:rsidRPr="00AD1AAB">
              <w:rPr>
                <w:b/>
                <w:i/>
              </w:rPr>
              <w:tab/>
              <w:t>O aço também é fundamental para muitas outras indústrias, como as indústrias da União de tecnologias limpas, de transportes, de construção e de infraestruturas energéticas. A preservação de uma base siderúrgica competitiva e tecnologicamente avançada na União é, por conseguinte, vital para a soberania industrial da União e para a sua autonomia estratégica.</w:t>
            </w:r>
          </w:p>
        </w:tc>
      </w:tr>
    </w:tbl>
    <w:p w14:paraId="6EEA1B7C" w14:textId="77777777" w:rsidR="004C47D0" w:rsidRPr="00AD1AAB" w:rsidRDefault="004C47D0" w:rsidP="004C47D0"/>
    <w:p w14:paraId="262D6779" w14:textId="77777777" w:rsidR="004C47D0" w:rsidRPr="00AD1AAB" w:rsidRDefault="004C47D0" w:rsidP="004C47D0">
      <w:pPr>
        <w:rPr>
          <w:rStyle w:val="NormalBoldChar"/>
        </w:rPr>
      </w:pPr>
    </w:p>
    <w:p w14:paraId="36E75783" w14:textId="77777777" w:rsidR="004C47D0" w:rsidRPr="00AD1AAB" w:rsidRDefault="004C47D0" w:rsidP="004C47D0">
      <w:pPr>
        <w:rPr>
          <w:rStyle w:val="NormalBoldChar"/>
        </w:rPr>
      </w:pPr>
    </w:p>
    <w:p w14:paraId="64150C29" w14:textId="77777777" w:rsidR="004C47D0" w:rsidRPr="00AD1AAB" w:rsidRDefault="004C47D0" w:rsidP="004C47D0">
      <w:pPr>
        <w:pStyle w:val="AmNumberTabs"/>
      </w:pPr>
      <w:r w:rsidRPr="00AD1AAB">
        <w:t>Alteração</w:t>
      </w:r>
      <w:r w:rsidRPr="00AD1AAB">
        <w:tab/>
      </w:r>
      <w:r w:rsidRPr="00AD1AAB">
        <w:tab/>
        <w:t>12</w:t>
      </w:r>
    </w:p>
    <w:p w14:paraId="16807D5A" w14:textId="77777777" w:rsidR="004C47D0" w:rsidRPr="00AD1AAB" w:rsidRDefault="004C47D0" w:rsidP="004C47D0">
      <w:pPr>
        <w:pStyle w:val="NormalBold12b"/>
      </w:pPr>
      <w:r w:rsidRPr="00AD1AAB">
        <w:t>Proposta de regulamento</w:t>
      </w:r>
    </w:p>
    <w:p w14:paraId="5A55B438" w14:textId="77777777" w:rsidR="004C47D0" w:rsidRPr="00AD1AAB" w:rsidRDefault="004C47D0" w:rsidP="004C47D0">
      <w:pPr>
        <w:pStyle w:val="NormalBold"/>
      </w:pPr>
      <w:r w:rsidRPr="00AD1AAB">
        <w:t>Considerando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7D0" w:rsidRPr="00AD1AAB" w14:paraId="1A3E9EF4" w14:textId="77777777" w:rsidTr="00C21EA8">
        <w:trPr>
          <w:trHeight w:val="240"/>
          <w:jc w:val="center"/>
        </w:trPr>
        <w:tc>
          <w:tcPr>
            <w:tcW w:w="9752" w:type="dxa"/>
            <w:gridSpan w:val="2"/>
            <w:tcBorders>
              <w:top w:val="nil"/>
              <w:left w:val="nil"/>
              <w:bottom w:val="nil"/>
              <w:right w:val="nil"/>
            </w:tcBorders>
          </w:tcPr>
          <w:p w14:paraId="24EFAFF9" w14:textId="77777777" w:rsidR="004C47D0" w:rsidRPr="00AD1AAB" w:rsidRDefault="004C47D0" w:rsidP="00C21EA8"/>
        </w:tc>
      </w:tr>
      <w:tr w:rsidR="004C47D0" w:rsidRPr="00AD1AAB" w14:paraId="3B336BF7" w14:textId="77777777" w:rsidTr="00C21EA8">
        <w:trPr>
          <w:trHeight w:val="240"/>
          <w:jc w:val="center"/>
        </w:trPr>
        <w:tc>
          <w:tcPr>
            <w:tcW w:w="4876" w:type="dxa"/>
            <w:tcBorders>
              <w:top w:val="nil"/>
              <w:left w:val="nil"/>
              <w:bottom w:val="nil"/>
              <w:right w:val="nil"/>
            </w:tcBorders>
            <w:hideMark/>
          </w:tcPr>
          <w:p w14:paraId="6F64B2A8" w14:textId="77777777" w:rsidR="004C47D0" w:rsidRPr="00AD1AAB" w:rsidRDefault="004C47D0" w:rsidP="00C21EA8">
            <w:pPr>
              <w:pStyle w:val="AmColumnHeading"/>
            </w:pPr>
            <w:r w:rsidRPr="00AD1AAB">
              <w:t>Texto da Comissão</w:t>
            </w:r>
          </w:p>
        </w:tc>
        <w:tc>
          <w:tcPr>
            <w:tcW w:w="4876" w:type="dxa"/>
            <w:tcBorders>
              <w:top w:val="nil"/>
              <w:left w:val="nil"/>
              <w:bottom w:val="nil"/>
              <w:right w:val="nil"/>
            </w:tcBorders>
            <w:hideMark/>
          </w:tcPr>
          <w:p w14:paraId="0526C3D5" w14:textId="77777777" w:rsidR="004C47D0" w:rsidRPr="00AD1AAB" w:rsidRDefault="004C47D0" w:rsidP="00C21EA8">
            <w:pPr>
              <w:pStyle w:val="AmColumnHeading"/>
            </w:pPr>
            <w:r w:rsidRPr="00AD1AAB">
              <w:t>Alteração</w:t>
            </w:r>
          </w:p>
        </w:tc>
      </w:tr>
      <w:tr w:rsidR="004C47D0" w:rsidRPr="00AD1AAB" w14:paraId="6669461C" w14:textId="77777777" w:rsidTr="00C21EA8">
        <w:trPr>
          <w:jc w:val="center"/>
        </w:trPr>
        <w:tc>
          <w:tcPr>
            <w:tcW w:w="4876" w:type="dxa"/>
            <w:tcBorders>
              <w:top w:val="nil"/>
              <w:left w:val="nil"/>
              <w:bottom w:val="nil"/>
              <w:right w:val="nil"/>
            </w:tcBorders>
            <w:hideMark/>
          </w:tcPr>
          <w:p w14:paraId="3EC1B54D" w14:textId="77777777" w:rsidR="004C47D0" w:rsidRPr="00AD1AAB" w:rsidRDefault="004C47D0" w:rsidP="00C21EA8">
            <w:pPr>
              <w:pStyle w:val="Normal6a"/>
            </w:pPr>
            <w:r w:rsidRPr="00AD1AAB">
              <w:t>(10)</w:t>
            </w:r>
            <w:r w:rsidRPr="00AD1AAB">
              <w:tab/>
              <w:t xml:space="preserve">A União já adotou várias medidas de defesa comercial nos setores metalúrgicos, incluindo nos setores do ferro e do aço, contra a concorrência desleal a nível mundial. Todavia, a indústria está a ser cada vez mais afetada pelas </w:t>
            </w:r>
            <w:proofErr w:type="spellStart"/>
            <w:r w:rsidRPr="00AD1AAB">
              <w:t>sobrecapacidades</w:t>
            </w:r>
            <w:proofErr w:type="spellEnd"/>
            <w:r w:rsidRPr="00AD1AAB">
              <w:t xml:space="preserve"> estruturais e por distorções a nível mundial, entre as quais as políticas e práticas que não respeitam o mercado prosseguidas por determinados </w:t>
            </w:r>
            <w:r w:rsidRPr="00AD1AAB">
              <w:lastRenderedPageBreak/>
              <w:t>países que apoiam artificialmente as suas indústrias nacionais ou evadem as medidas de defesa comercial e as sanções da União. A União é a única grande região siderúrgica cuja capacidade tem vindo a diminuir. Estes esforços são, porém, completamente neutralizados pelos aumentos substanciais de capacidade que se verificam continuamente noutras regiões, que não têm em conta a evolução da procura interna e mundial. Prevê-se que a sobrecapacidade mundial aumente dos atuais 602 milhões de toneladas (o que equivale ao quíntuplo da procura da União) para 721 milhões de toneladas até 2027.</w:t>
            </w:r>
          </w:p>
        </w:tc>
        <w:tc>
          <w:tcPr>
            <w:tcW w:w="4876" w:type="dxa"/>
            <w:tcBorders>
              <w:top w:val="nil"/>
              <w:left w:val="nil"/>
              <w:bottom w:val="nil"/>
              <w:right w:val="nil"/>
            </w:tcBorders>
            <w:hideMark/>
          </w:tcPr>
          <w:p w14:paraId="28552B42" w14:textId="77777777" w:rsidR="004C47D0" w:rsidRPr="00AD1AAB" w:rsidRDefault="004C47D0" w:rsidP="00C21EA8">
            <w:pPr>
              <w:pStyle w:val="Normal6a"/>
            </w:pPr>
            <w:r w:rsidRPr="00AD1AAB">
              <w:lastRenderedPageBreak/>
              <w:t>(10)</w:t>
            </w:r>
            <w:r w:rsidRPr="00AD1AAB">
              <w:tab/>
            </w:r>
            <w:r w:rsidRPr="00AD1AAB">
              <w:rPr>
                <w:b/>
                <w:i/>
              </w:rPr>
              <w:t>A fim de apoiar as indústrias estratégicas e a competitividade da União, as medidas comerciais da União não devem prejudicar a sua capacidade de produção siderúrgica.</w:t>
            </w:r>
            <w:r w:rsidRPr="00AD1AAB">
              <w:t xml:space="preserve"> A União já adotou várias medidas de defesa comercial nos setores metalúrgicos, incluindo nos setores do ferro e do aço, contra a concorrência desleal a nível mundial. Todavia, a indústria está a ser cada vez mais afetada </w:t>
            </w:r>
            <w:r w:rsidRPr="00AD1AAB">
              <w:lastRenderedPageBreak/>
              <w:t xml:space="preserve">pelas </w:t>
            </w:r>
            <w:proofErr w:type="spellStart"/>
            <w:r w:rsidRPr="00AD1AAB">
              <w:t>sobrecapacidades</w:t>
            </w:r>
            <w:proofErr w:type="spellEnd"/>
            <w:r w:rsidRPr="00AD1AAB">
              <w:t xml:space="preserve"> estruturais e por distorções a nível mundial, entre as quais as políticas e práticas</w:t>
            </w:r>
            <w:r w:rsidRPr="00AD1AAB">
              <w:rPr>
                <w:b/>
                <w:i/>
              </w:rPr>
              <w:t xml:space="preserve"> comerciais desleais</w:t>
            </w:r>
            <w:r w:rsidRPr="00AD1AAB">
              <w:t xml:space="preserve"> que não respeitam o mercado prosseguidas por determinados países que apoiam artificialmente as suas indústrias nacionais ou evadem as medidas de defesa comercial e as sanções da União. A União é a única grande região siderúrgica cuja capacidade tem vindo a diminuir. Estes esforços são, porém, completamente neutralizados pelos aumentos substanciais de capacidade que se verificam continuamente noutras regiões, que não têm em conta a evolução da procura interna e mundial. Prevê-se que a sobrecapacidade mundial aumente dos atuais 602 milhões de toneladas (o que equivale ao quíntuplo da procura da União) para 721 milhões de toneladas até 2027. </w:t>
            </w:r>
            <w:r w:rsidRPr="00AD1AAB">
              <w:rPr>
                <w:b/>
                <w:i/>
              </w:rPr>
              <w:t>Por conseguinte, qualquer medida de salvaguarda no mercado siderúrgico deve ser concebida numa perspetiva de longo prazo, uma vez que, contrariamente a anteriores períodos em que existiu sobrecapacidade no setor siderúrgico da União, a situação atual é estrutural e pouco suscetível de ser resolvida a curto ou médio prazo.</w:t>
            </w:r>
          </w:p>
        </w:tc>
      </w:tr>
    </w:tbl>
    <w:p w14:paraId="6FB396C8" w14:textId="77777777" w:rsidR="004C47D0" w:rsidRPr="00AD1AAB" w:rsidRDefault="004C47D0" w:rsidP="004C47D0"/>
    <w:p w14:paraId="57AC6519" w14:textId="77777777" w:rsidR="004C47D0" w:rsidRPr="00AD1AAB" w:rsidRDefault="004C47D0" w:rsidP="004C47D0">
      <w:pPr>
        <w:pStyle w:val="AmNumberTabs"/>
      </w:pPr>
      <w:r w:rsidRPr="00AD1AAB">
        <w:t>Alteração</w:t>
      </w:r>
      <w:r w:rsidRPr="00AD1AAB">
        <w:tab/>
      </w:r>
      <w:r w:rsidRPr="00AD1AAB">
        <w:tab/>
        <w:t xml:space="preserve">13 </w:t>
      </w:r>
    </w:p>
    <w:p w14:paraId="0BAF6666" w14:textId="77777777" w:rsidR="004C47D0" w:rsidRPr="00AD1AAB" w:rsidRDefault="004C47D0" w:rsidP="004C47D0">
      <w:pPr>
        <w:pStyle w:val="NormalBold"/>
      </w:pPr>
      <w:r w:rsidRPr="00AD1AAB">
        <w:t>Proposta de regulamento</w:t>
      </w:r>
    </w:p>
    <w:p w14:paraId="62F80343" w14:textId="77777777" w:rsidR="004C47D0" w:rsidRPr="00AD1AAB" w:rsidRDefault="004C47D0" w:rsidP="004C47D0">
      <w:pPr>
        <w:pStyle w:val="NormalBold"/>
      </w:pPr>
      <w:r w:rsidRPr="00AD1AAB">
        <w:t>Considerando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65251A42" w14:textId="77777777" w:rsidTr="00C21EA8">
        <w:trPr>
          <w:trHeight w:val="240"/>
          <w:jc w:val="center"/>
        </w:trPr>
        <w:tc>
          <w:tcPr>
            <w:tcW w:w="9752" w:type="dxa"/>
            <w:gridSpan w:val="2"/>
          </w:tcPr>
          <w:p w14:paraId="5FA2019F" w14:textId="77777777" w:rsidR="004C47D0" w:rsidRPr="00AD1AAB" w:rsidRDefault="004C47D0" w:rsidP="00C21EA8"/>
        </w:tc>
      </w:tr>
      <w:tr w:rsidR="004C47D0" w:rsidRPr="00AD1AAB" w14:paraId="666A3AFC" w14:textId="77777777" w:rsidTr="00C21EA8">
        <w:trPr>
          <w:trHeight w:val="240"/>
          <w:jc w:val="center"/>
        </w:trPr>
        <w:tc>
          <w:tcPr>
            <w:tcW w:w="4876" w:type="dxa"/>
            <w:hideMark/>
          </w:tcPr>
          <w:p w14:paraId="5B6D4C96" w14:textId="77777777" w:rsidR="004C47D0" w:rsidRPr="00AD1AAB" w:rsidRDefault="004C47D0" w:rsidP="00C21EA8">
            <w:pPr>
              <w:pStyle w:val="AmColumnHeading"/>
            </w:pPr>
            <w:r w:rsidRPr="00AD1AAB">
              <w:t>Texto da Comissão</w:t>
            </w:r>
          </w:p>
        </w:tc>
        <w:tc>
          <w:tcPr>
            <w:tcW w:w="4876" w:type="dxa"/>
            <w:hideMark/>
          </w:tcPr>
          <w:p w14:paraId="0B2004F1" w14:textId="77777777" w:rsidR="004C47D0" w:rsidRPr="00AD1AAB" w:rsidRDefault="004C47D0" w:rsidP="00C21EA8">
            <w:pPr>
              <w:pStyle w:val="AmColumnHeading"/>
            </w:pPr>
            <w:r w:rsidRPr="00AD1AAB">
              <w:t>Alteração</w:t>
            </w:r>
          </w:p>
        </w:tc>
      </w:tr>
      <w:tr w:rsidR="004C47D0" w:rsidRPr="00AD1AAB" w14:paraId="5B011191" w14:textId="77777777" w:rsidTr="00C21EA8">
        <w:trPr>
          <w:jc w:val="center"/>
        </w:trPr>
        <w:tc>
          <w:tcPr>
            <w:tcW w:w="4876" w:type="dxa"/>
          </w:tcPr>
          <w:p w14:paraId="1465C08C" w14:textId="77777777" w:rsidR="004C47D0" w:rsidRPr="00AD1AAB" w:rsidRDefault="004C47D0" w:rsidP="00C21EA8">
            <w:pPr>
              <w:pStyle w:val="Normal6a"/>
            </w:pPr>
            <w:r w:rsidRPr="00AD1AAB">
              <w:t>(11)</w:t>
            </w:r>
            <w:r w:rsidRPr="00AD1AAB">
              <w:rPr>
                <w:b/>
                <w:i/>
              </w:rPr>
              <w:tab/>
              <w:t xml:space="preserve"> </w:t>
            </w:r>
            <w:r w:rsidRPr="00AD1AAB">
              <w:t>Por seu turno, a recente evolução das medidas restritivas do comércio adotadas por países terceiros está a aumentar ainda mais a pressão exercida pelas importações sobre os produtores da União, tanto em termos de preços como em termos de volumes. Prevê-se que esta pressão venha a aumentar ainda mais.</w:t>
            </w:r>
          </w:p>
        </w:tc>
        <w:tc>
          <w:tcPr>
            <w:tcW w:w="4876" w:type="dxa"/>
            <w:hideMark/>
          </w:tcPr>
          <w:p w14:paraId="1E987D06" w14:textId="02EB60F0" w:rsidR="004C47D0" w:rsidRPr="00AD1AAB" w:rsidRDefault="004C47D0" w:rsidP="00C21EA8">
            <w:pPr>
              <w:pStyle w:val="Normal6a"/>
            </w:pPr>
            <w:r w:rsidRPr="00AD1AAB">
              <w:t>(11)</w:t>
            </w:r>
            <w:r w:rsidRPr="00AD1AAB">
              <w:rPr>
                <w:b/>
                <w:i/>
              </w:rPr>
              <w:tab/>
            </w:r>
            <w:r w:rsidRPr="00AD1AAB">
              <w:t>Por seu turno, a recente evolução das medidas restritivas do comércio adotadas por países terceiros está a aumentar ainda mais a pressão exercida pelas importações sobre os produtores da União, tanto em termos de preços como em termos de volumes. Prevê-se que esta pressão venha a aumentar ainda mais</w:t>
            </w:r>
            <w:r w:rsidRPr="00AD1AAB">
              <w:rPr>
                <w:b/>
                <w:i/>
              </w:rPr>
              <w:t>, levando a uma diminuição ainda mais acentuada na produção da União, ao encerramento de fábricas e à perda de postos de trabalho</w:t>
            </w:r>
            <w:r w:rsidRPr="00AD1AAB">
              <w:t>.</w:t>
            </w:r>
            <w:r w:rsidRPr="00AD1AAB">
              <w:rPr>
                <w:i/>
              </w:rPr>
              <w:t xml:space="preserve"> </w:t>
            </w:r>
          </w:p>
        </w:tc>
      </w:tr>
    </w:tbl>
    <w:p w14:paraId="530BBEF7" w14:textId="77777777" w:rsidR="004C47D0" w:rsidRPr="00AD1AAB" w:rsidRDefault="004C47D0" w:rsidP="004C47D0"/>
    <w:p w14:paraId="04A9FB07" w14:textId="77777777" w:rsidR="004C47D0" w:rsidRPr="00AD1AAB" w:rsidRDefault="004C47D0" w:rsidP="004C47D0">
      <w:pPr>
        <w:pStyle w:val="AmNumberTabs"/>
      </w:pPr>
      <w:r w:rsidRPr="00AD1AAB">
        <w:lastRenderedPageBreak/>
        <w:t>Alteração</w:t>
      </w:r>
      <w:r w:rsidRPr="00AD1AAB">
        <w:tab/>
      </w:r>
      <w:r w:rsidRPr="00AD1AAB">
        <w:tab/>
        <w:t xml:space="preserve">14 </w:t>
      </w:r>
    </w:p>
    <w:p w14:paraId="080FE13C" w14:textId="77777777" w:rsidR="004C47D0" w:rsidRPr="00AD1AAB" w:rsidRDefault="004C47D0" w:rsidP="004C47D0">
      <w:pPr>
        <w:pStyle w:val="NormalBold"/>
      </w:pPr>
      <w:r w:rsidRPr="00AD1AAB">
        <w:t>Proposta de regulamento</w:t>
      </w:r>
    </w:p>
    <w:p w14:paraId="64407C48" w14:textId="77777777" w:rsidR="004C47D0" w:rsidRPr="00AD1AAB" w:rsidRDefault="004C47D0" w:rsidP="004C47D0">
      <w:pPr>
        <w:pStyle w:val="NormalBold"/>
      </w:pPr>
      <w:r w:rsidRPr="00AD1AAB">
        <w:t>Considerando 11-A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4F7E2963" w14:textId="77777777" w:rsidTr="00C21EA8">
        <w:trPr>
          <w:trHeight w:val="240"/>
          <w:jc w:val="center"/>
        </w:trPr>
        <w:tc>
          <w:tcPr>
            <w:tcW w:w="9752" w:type="dxa"/>
            <w:gridSpan w:val="2"/>
          </w:tcPr>
          <w:p w14:paraId="18ECCCEC" w14:textId="77777777" w:rsidR="004C47D0" w:rsidRPr="00AD1AAB" w:rsidRDefault="004C47D0" w:rsidP="00C21EA8"/>
        </w:tc>
      </w:tr>
      <w:tr w:rsidR="004C47D0" w:rsidRPr="00AD1AAB" w14:paraId="1A445351" w14:textId="77777777" w:rsidTr="00C21EA8">
        <w:trPr>
          <w:trHeight w:val="240"/>
          <w:jc w:val="center"/>
        </w:trPr>
        <w:tc>
          <w:tcPr>
            <w:tcW w:w="4876" w:type="dxa"/>
            <w:hideMark/>
          </w:tcPr>
          <w:p w14:paraId="3606A8E3" w14:textId="77777777" w:rsidR="004C47D0" w:rsidRPr="00AD1AAB" w:rsidRDefault="004C47D0" w:rsidP="00C21EA8">
            <w:pPr>
              <w:pStyle w:val="AmColumnHeading"/>
            </w:pPr>
            <w:r w:rsidRPr="00AD1AAB">
              <w:t>Texto da Comissão</w:t>
            </w:r>
          </w:p>
        </w:tc>
        <w:tc>
          <w:tcPr>
            <w:tcW w:w="4876" w:type="dxa"/>
            <w:hideMark/>
          </w:tcPr>
          <w:p w14:paraId="3889D1D9" w14:textId="77777777" w:rsidR="004C47D0" w:rsidRPr="00AD1AAB" w:rsidRDefault="004C47D0" w:rsidP="00C21EA8">
            <w:pPr>
              <w:pStyle w:val="AmColumnHeading"/>
            </w:pPr>
            <w:r w:rsidRPr="00AD1AAB">
              <w:t>Alteração</w:t>
            </w:r>
          </w:p>
        </w:tc>
      </w:tr>
      <w:tr w:rsidR="004C47D0" w:rsidRPr="00AD1AAB" w14:paraId="73CD0AA4" w14:textId="77777777" w:rsidTr="00C21EA8">
        <w:trPr>
          <w:jc w:val="center"/>
        </w:trPr>
        <w:tc>
          <w:tcPr>
            <w:tcW w:w="4876" w:type="dxa"/>
          </w:tcPr>
          <w:p w14:paraId="4A3D09F7" w14:textId="77777777" w:rsidR="004C47D0" w:rsidRPr="00AD1AAB" w:rsidRDefault="004C47D0" w:rsidP="00C21EA8">
            <w:pPr>
              <w:pStyle w:val="Normal6a"/>
            </w:pPr>
          </w:p>
        </w:tc>
        <w:tc>
          <w:tcPr>
            <w:tcW w:w="4876" w:type="dxa"/>
            <w:hideMark/>
          </w:tcPr>
          <w:p w14:paraId="22B423C5" w14:textId="77777777" w:rsidR="004C47D0" w:rsidRPr="00AD1AAB" w:rsidRDefault="004C47D0" w:rsidP="00C21EA8">
            <w:pPr>
              <w:pStyle w:val="Normal6a"/>
            </w:pPr>
            <w:r w:rsidRPr="00AD1AAB">
              <w:rPr>
                <w:b/>
                <w:i/>
              </w:rPr>
              <w:t>(11-A)</w:t>
            </w:r>
            <w:r w:rsidRPr="00AD1AAB">
              <w:rPr>
                <w:b/>
                <w:i/>
              </w:rPr>
              <w:tab/>
              <w:t>O sistema de comércio multilateral assente em regras, centrado na OMC, continua a ser fundamental para garantir a estabilidade, a previsibilidade e a equidade no comércio mundial. O presente regulamento deve, por conseguinte, ser aplicado em plena conformidade com as obrigações da União no âmbito da OMC. O presente regulamento visa combater as distorções comerciais provocadas pela sobrecapacidade mundial e deve ser entendido como um instrumento para restabelecer as condições para um comércio mais aberto e baseado em regras no futuro.</w:t>
            </w:r>
            <w:r w:rsidRPr="00AD1AAB">
              <w:rPr>
                <w:rFonts w:ascii="TimesNewRomanPS-BoldItalicMT" w:hAnsi="TimesNewRomanPS-BoldItalicMT"/>
              </w:rPr>
              <w:t xml:space="preserve"> </w:t>
            </w:r>
          </w:p>
        </w:tc>
      </w:tr>
    </w:tbl>
    <w:p w14:paraId="1C1E19C3" w14:textId="77777777" w:rsidR="004C47D0" w:rsidRPr="00AD1AAB" w:rsidRDefault="004C47D0" w:rsidP="004C47D0"/>
    <w:p w14:paraId="49CEFBC5" w14:textId="77777777" w:rsidR="004C47D0" w:rsidRPr="00AD1AAB" w:rsidRDefault="004C47D0" w:rsidP="004C47D0">
      <w:pPr>
        <w:pStyle w:val="AmNumberTabs"/>
      </w:pPr>
      <w:r w:rsidRPr="00AD1AAB">
        <w:t>Alteração</w:t>
      </w:r>
      <w:r w:rsidRPr="00AD1AAB">
        <w:tab/>
      </w:r>
      <w:r w:rsidRPr="00AD1AAB">
        <w:tab/>
        <w:t>15</w:t>
      </w:r>
    </w:p>
    <w:p w14:paraId="249D9BAB" w14:textId="77777777" w:rsidR="004C47D0" w:rsidRPr="00AD1AAB" w:rsidRDefault="004C47D0" w:rsidP="004C47D0">
      <w:pPr>
        <w:pStyle w:val="NormalBold"/>
      </w:pPr>
      <w:r w:rsidRPr="00AD1AAB">
        <w:t>Proposta de regulamento</w:t>
      </w:r>
    </w:p>
    <w:p w14:paraId="4D69C690" w14:textId="77777777" w:rsidR="004C47D0" w:rsidRPr="00AD1AAB" w:rsidRDefault="004C47D0" w:rsidP="004C47D0">
      <w:pPr>
        <w:pStyle w:val="NormalBold"/>
      </w:pPr>
      <w:r w:rsidRPr="00AD1AAB">
        <w:t>Considerando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7D0" w:rsidRPr="00AD1AAB" w14:paraId="2BFDB786" w14:textId="77777777" w:rsidTr="00C21EA8">
        <w:trPr>
          <w:trHeight w:val="240"/>
          <w:jc w:val="center"/>
        </w:trPr>
        <w:tc>
          <w:tcPr>
            <w:tcW w:w="9752" w:type="dxa"/>
            <w:gridSpan w:val="2"/>
            <w:tcBorders>
              <w:top w:val="nil"/>
              <w:left w:val="nil"/>
              <w:bottom w:val="nil"/>
              <w:right w:val="nil"/>
            </w:tcBorders>
          </w:tcPr>
          <w:p w14:paraId="6DF35B2D" w14:textId="77777777" w:rsidR="004C47D0" w:rsidRPr="00AD1AAB" w:rsidRDefault="004C47D0" w:rsidP="00C21EA8"/>
        </w:tc>
      </w:tr>
      <w:tr w:rsidR="004C47D0" w:rsidRPr="00AD1AAB" w14:paraId="2691B5A2" w14:textId="77777777" w:rsidTr="00C21EA8">
        <w:trPr>
          <w:trHeight w:val="240"/>
          <w:jc w:val="center"/>
        </w:trPr>
        <w:tc>
          <w:tcPr>
            <w:tcW w:w="4876" w:type="dxa"/>
            <w:tcBorders>
              <w:top w:val="nil"/>
              <w:left w:val="nil"/>
              <w:bottom w:val="nil"/>
              <w:right w:val="nil"/>
            </w:tcBorders>
            <w:hideMark/>
          </w:tcPr>
          <w:p w14:paraId="3F7651FE" w14:textId="77777777" w:rsidR="004C47D0" w:rsidRPr="00AD1AAB" w:rsidRDefault="004C47D0" w:rsidP="00C21EA8">
            <w:pPr>
              <w:pStyle w:val="AmColumnHeading"/>
            </w:pPr>
            <w:r w:rsidRPr="00AD1AAB">
              <w:t>Texto da Comissão</w:t>
            </w:r>
          </w:p>
        </w:tc>
        <w:tc>
          <w:tcPr>
            <w:tcW w:w="4876" w:type="dxa"/>
            <w:tcBorders>
              <w:top w:val="nil"/>
              <w:left w:val="nil"/>
              <w:bottom w:val="nil"/>
              <w:right w:val="nil"/>
            </w:tcBorders>
            <w:hideMark/>
          </w:tcPr>
          <w:p w14:paraId="39344D99" w14:textId="77777777" w:rsidR="004C47D0" w:rsidRPr="00AD1AAB" w:rsidRDefault="004C47D0" w:rsidP="00C21EA8">
            <w:pPr>
              <w:pStyle w:val="AmColumnHeading"/>
            </w:pPr>
            <w:r w:rsidRPr="00AD1AAB">
              <w:t>Alteração</w:t>
            </w:r>
          </w:p>
        </w:tc>
      </w:tr>
      <w:tr w:rsidR="004C47D0" w:rsidRPr="00AD1AAB" w14:paraId="43714083" w14:textId="77777777" w:rsidTr="00C21EA8">
        <w:trPr>
          <w:jc w:val="center"/>
        </w:trPr>
        <w:tc>
          <w:tcPr>
            <w:tcW w:w="4876" w:type="dxa"/>
            <w:tcBorders>
              <w:top w:val="nil"/>
              <w:left w:val="nil"/>
              <w:bottom w:val="nil"/>
              <w:right w:val="nil"/>
            </w:tcBorders>
            <w:hideMark/>
          </w:tcPr>
          <w:p w14:paraId="3EF1D388" w14:textId="77777777" w:rsidR="004C47D0" w:rsidRPr="00AD1AAB" w:rsidRDefault="004C47D0" w:rsidP="00C21EA8">
            <w:pPr>
              <w:pStyle w:val="Normal6a"/>
            </w:pPr>
            <w:r w:rsidRPr="00AD1AAB">
              <w:t>(12)</w:t>
            </w:r>
            <w:r w:rsidRPr="00AD1AAB">
              <w:tab/>
              <w:t>Consequentemente, a situação da indústria siderúrgica da União é dramática, com uma perda sem precedentes de capacidade de produção superior a 30 milhões de toneladas desde 2018, uma taxa de utilização da capacidade historicamente baixa, que atingiu 67 % em 2024, e cerca de 30 000 postos de trabalho perdidos desde 2018, tendo sido anunciada a perda de vários milhares de postos de trabalho adicionais em 2024. A indústria siderúrgica da União registou perdas em 2024.</w:t>
            </w:r>
          </w:p>
        </w:tc>
        <w:tc>
          <w:tcPr>
            <w:tcW w:w="4876" w:type="dxa"/>
            <w:tcBorders>
              <w:top w:val="nil"/>
              <w:left w:val="nil"/>
              <w:bottom w:val="nil"/>
              <w:right w:val="nil"/>
            </w:tcBorders>
            <w:hideMark/>
          </w:tcPr>
          <w:p w14:paraId="5E4CCD6A" w14:textId="77777777" w:rsidR="004C47D0" w:rsidRPr="00AD1AAB" w:rsidRDefault="004C47D0" w:rsidP="00C21EA8">
            <w:pPr>
              <w:pStyle w:val="Normal6a"/>
            </w:pPr>
            <w:r w:rsidRPr="00AD1AAB">
              <w:t>(12)</w:t>
            </w:r>
            <w:r w:rsidRPr="00AD1AAB">
              <w:tab/>
              <w:t xml:space="preserve">Consequentemente, a situação da indústria siderúrgica da União é dramática, com uma perda sem precedentes de capacidade de produção superior a 30 milhões de toneladas desde 2018, uma taxa de utilização da capacidade historicamente baixa, que atingiu 67 % em 2024, e cerca de 30 000 postos de trabalho perdidos desde 2018, tendo sido anunciada a perda de vários milhares de postos de trabalho adicionais em 2024. A indústria siderúrgica da União registou perdas em 2024. </w:t>
            </w:r>
            <w:r w:rsidRPr="00AD1AAB">
              <w:rPr>
                <w:b/>
                <w:i/>
              </w:rPr>
              <w:t>Os encargos decorrentes desse declínio recaíram fortemente sobre as cidades e regiões industriais onde a siderurgia está enraizada.</w:t>
            </w:r>
          </w:p>
        </w:tc>
      </w:tr>
    </w:tbl>
    <w:p w14:paraId="6AC4B5BB" w14:textId="77777777" w:rsidR="004C47D0" w:rsidRPr="00AD1AAB" w:rsidRDefault="004C47D0" w:rsidP="004C47D0"/>
    <w:p w14:paraId="177CC677" w14:textId="77777777" w:rsidR="004C47D0" w:rsidRPr="00AD1AAB" w:rsidRDefault="004C47D0" w:rsidP="004C47D0">
      <w:pPr>
        <w:pStyle w:val="AmNumberTabs"/>
      </w:pPr>
      <w:r w:rsidRPr="00AD1AAB">
        <w:t>Alteração</w:t>
      </w:r>
      <w:r w:rsidRPr="00AD1AAB">
        <w:tab/>
      </w:r>
      <w:r w:rsidRPr="00AD1AAB">
        <w:tab/>
        <w:t>16</w:t>
      </w:r>
    </w:p>
    <w:p w14:paraId="28D67C8D" w14:textId="77777777" w:rsidR="004C47D0" w:rsidRPr="00AD1AAB" w:rsidRDefault="004C47D0" w:rsidP="004C47D0">
      <w:pPr>
        <w:pStyle w:val="NormalBold"/>
      </w:pPr>
      <w:r w:rsidRPr="00AD1AAB">
        <w:lastRenderedPageBreak/>
        <w:t>Proposta de regulamento</w:t>
      </w:r>
    </w:p>
    <w:p w14:paraId="47750557" w14:textId="77777777" w:rsidR="004C47D0" w:rsidRPr="00AD1AAB" w:rsidRDefault="004C47D0" w:rsidP="004C47D0">
      <w:pPr>
        <w:pStyle w:val="NormalBold"/>
      </w:pPr>
      <w:r w:rsidRPr="00AD1AAB">
        <w:t>Considerando 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7D0" w:rsidRPr="00AD1AAB" w14:paraId="038A64F5" w14:textId="77777777" w:rsidTr="00C21EA8">
        <w:trPr>
          <w:trHeight w:val="240"/>
          <w:jc w:val="center"/>
        </w:trPr>
        <w:tc>
          <w:tcPr>
            <w:tcW w:w="9752" w:type="dxa"/>
            <w:gridSpan w:val="2"/>
            <w:tcBorders>
              <w:top w:val="nil"/>
              <w:left w:val="nil"/>
              <w:bottom w:val="nil"/>
              <w:right w:val="nil"/>
            </w:tcBorders>
          </w:tcPr>
          <w:p w14:paraId="6F5AA575" w14:textId="77777777" w:rsidR="004C47D0" w:rsidRPr="00AD1AAB" w:rsidRDefault="004C47D0" w:rsidP="00C21EA8"/>
        </w:tc>
      </w:tr>
      <w:tr w:rsidR="004C47D0" w:rsidRPr="00AD1AAB" w14:paraId="2E200FE7" w14:textId="77777777" w:rsidTr="00C21EA8">
        <w:trPr>
          <w:trHeight w:val="240"/>
          <w:jc w:val="center"/>
        </w:trPr>
        <w:tc>
          <w:tcPr>
            <w:tcW w:w="4876" w:type="dxa"/>
            <w:tcBorders>
              <w:top w:val="nil"/>
              <w:left w:val="nil"/>
              <w:bottom w:val="nil"/>
              <w:right w:val="nil"/>
            </w:tcBorders>
            <w:hideMark/>
          </w:tcPr>
          <w:p w14:paraId="6F4FAA65" w14:textId="77777777" w:rsidR="004C47D0" w:rsidRPr="00AD1AAB" w:rsidRDefault="004C47D0" w:rsidP="00C21EA8">
            <w:pPr>
              <w:pStyle w:val="AmColumnHeading"/>
            </w:pPr>
            <w:r w:rsidRPr="00AD1AAB">
              <w:t>Texto da Comissão</w:t>
            </w:r>
          </w:p>
        </w:tc>
        <w:tc>
          <w:tcPr>
            <w:tcW w:w="4876" w:type="dxa"/>
            <w:tcBorders>
              <w:top w:val="nil"/>
              <w:left w:val="nil"/>
              <w:bottom w:val="nil"/>
              <w:right w:val="nil"/>
            </w:tcBorders>
            <w:hideMark/>
          </w:tcPr>
          <w:p w14:paraId="5E48E903" w14:textId="77777777" w:rsidR="004C47D0" w:rsidRPr="00AD1AAB" w:rsidRDefault="004C47D0" w:rsidP="00C21EA8">
            <w:pPr>
              <w:pStyle w:val="AmColumnHeading"/>
            </w:pPr>
            <w:r w:rsidRPr="00AD1AAB">
              <w:t>Alteração</w:t>
            </w:r>
          </w:p>
        </w:tc>
      </w:tr>
      <w:tr w:rsidR="004C47D0" w:rsidRPr="00AD1AAB" w14:paraId="6836365A" w14:textId="77777777" w:rsidTr="00C21EA8">
        <w:trPr>
          <w:jc w:val="center"/>
        </w:trPr>
        <w:tc>
          <w:tcPr>
            <w:tcW w:w="4876" w:type="dxa"/>
            <w:tcBorders>
              <w:top w:val="nil"/>
              <w:left w:val="nil"/>
              <w:bottom w:val="nil"/>
              <w:right w:val="nil"/>
            </w:tcBorders>
            <w:hideMark/>
          </w:tcPr>
          <w:p w14:paraId="1F0ED568" w14:textId="77777777" w:rsidR="004C47D0" w:rsidRPr="00AD1AAB" w:rsidRDefault="004C47D0" w:rsidP="00C21EA8">
            <w:pPr>
              <w:pStyle w:val="Normal6a"/>
            </w:pPr>
            <w:r w:rsidRPr="00AD1AAB">
              <w:t>(13)</w:t>
            </w:r>
            <w:r w:rsidRPr="00AD1AAB">
              <w:tab/>
              <w:t>Tendo em conta o rápido agravamento da situação da indústria siderúrgica interna e os progressos insatisfatórios até à data na procura de uma solução coletiva para dar resposta à sobrecapacidade estrutural a nível mundial, é necessário adotar uma nova medida que substitua o Regulamento de Execução (UE) 2019/159. Em 18 de julho de 2025, a Comissão lançou um convite à apresentação de contributos e uma consulta específica para recolher os pareceres das partes interessadas sobre vários aspetos da nova medida, entre os quais a sua forma, o nível, o âmbito geográfico e a duração, bem como outras características específicas, como as regras de origem. O processo decorreu até 18 de agosto de 2025, tendo sido recebidas mais de quinhentas respostas: 143 observações em resposta ao convite à apresentação de contributos e 373 respostas ao questionário da consulta específica. O documento de trabalho dos serviços da Comissão que acompanha a presente proposta legislativa contém um resumo pormenorizado das reações recebidas.</w:t>
            </w:r>
          </w:p>
        </w:tc>
        <w:tc>
          <w:tcPr>
            <w:tcW w:w="4876" w:type="dxa"/>
            <w:tcBorders>
              <w:top w:val="nil"/>
              <w:left w:val="nil"/>
              <w:bottom w:val="nil"/>
              <w:right w:val="nil"/>
            </w:tcBorders>
            <w:hideMark/>
          </w:tcPr>
          <w:p w14:paraId="171DAB02" w14:textId="77777777" w:rsidR="004C47D0" w:rsidRPr="00AD1AAB" w:rsidRDefault="004C47D0" w:rsidP="00C21EA8">
            <w:pPr>
              <w:pStyle w:val="Normal6a"/>
            </w:pPr>
            <w:r w:rsidRPr="00AD1AAB">
              <w:t>(13)</w:t>
            </w:r>
            <w:r w:rsidRPr="00AD1AAB">
              <w:tab/>
              <w:t xml:space="preserve">Tendo em conta o rápido agravamento da situação da indústria siderúrgica interna e os progressos insatisfatórios até à data na procura de uma solução coletiva para dar resposta à sobrecapacidade estrutural a nível mundial, é necessário adotar </w:t>
            </w:r>
            <w:r w:rsidRPr="00AD1AAB">
              <w:rPr>
                <w:b/>
                <w:i/>
              </w:rPr>
              <w:t xml:space="preserve">urgentemente </w:t>
            </w:r>
            <w:r w:rsidRPr="00AD1AAB">
              <w:t xml:space="preserve">uma nova medida que substitua o Regulamento de Execução (UE) 2019/159. Em 18 de julho de 2025, a Comissão lançou um convite à apresentação de contributos e uma consulta específica para recolher os pareceres das partes interessadas sobre vários aspetos da nova medida, entre os quais a sua forma, o nível, o âmbito geográfico e a duração, bem como outras características específicas, como as regras de origem. O processo decorreu até 18 de agosto de 2025, tendo sido recebidas mais de quinhentas respostas: 143 observações em resposta ao convite à apresentação de contributos e 373 respostas ao questionário da consulta específica. O documento de trabalho dos serviços da Comissão que acompanha a presente proposta legislativa contém um resumo pormenorizado das reações recebidas. </w:t>
            </w:r>
            <w:r w:rsidRPr="00AD1AAB">
              <w:rPr>
                <w:b/>
                <w:i/>
              </w:rPr>
              <w:t>Devido à urgência da questão, a Comissão decidiu não realizar uma avaliação de impacto, mas comprometeu-se a apresentar uma avaliação das suas consequências após a entrada em vigor do presente regulamento.</w:t>
            </w:r>
          </w:p>
        </w:tc>
      </w:tr>
    </w:tbl>
    <w:p w14:paraId="02D0179B" w14:textId="77777777" w:rsidR="004C47D0" w:rsidRPr="00AD1AAB" w:rsidRDefault="004C47D0" w:rsidP="004C47D0"/>
    <w:p w14:paraId="042640EC" w14:textId="77777777" w:rsidR="004C47D0" w:rsidRPr="00AD1AAB" w:rsidRDefault="004C47D0" w:rsidP="004C47D0">
      <w:pPr>
        <w:rPr>
          <w:rStyle w:val="NormalBoldChar"/>
        </w:rPr>
      </w:pPr>
    </w:p>
    <w:p w14:paraId="4A954646" w14:textId="77777777" w:rsidR="004C47D0" w:rsidRPr="00AD1AAB" w:rsidRDefault="004C47D0" w:rsidP="004C47D0">
      <w:pPr>
        <w:pStyle w:val="AmNumberTabs"/>
      </w:pPr>
      <w:r w:rsidRPr="00AD1AAB">
        <w:t>Alteração</w:t>
      </w:r>
      <w:r w:rsidRPr="00AD1AAB">
        <w:tab/>
      </w:r>
      <w:r w:rsidRPr="00AD1AAB">
        <w:tab/>
        <w:t>17</w:t>
      </w:r>
    </w:p>
    <w:p w14:paraId="5BB5C02A" w14:textId="77777777" w:rsidR="004C47D0" w:rsidRPr="00AD1AAB" w:rsidRDefault="004C47D0" w:rsidP="004C47D0">
      <w:pPr>
        <w:pStyle w:val="NormalBold12b"/>
      </w:pPr>
      <w:r w:rsidRPr="00AD1AAB">
        <w:t>Proposta de regulamento</w:t>
      </w:r>
    </w:p>
    <w:p w14:paraId="6699E685" w14:textId="77777777" w:rsidR="004C47D0" w:rsidRPr="00AD1AAB" w:rsidRDefault="004C47D0" w:rsidP="004C47D0">
      <w:pPr>
        <w:pStyle w:val="NormalBold"/>
      </w:pPr>
      <w:r w:rsidRPr="00AD1AAB">
        <w:t>Considerando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7D0" w:rsidRPr="00AD1AAB" w14:paraId="1CADBE6E" w14:textId="77777777" w:rsidTr="00C21EA8">
        <w:trPr>
          <w:trHeight w:val="240"/>
          <w:jc w:val="center"/>
        </w:trPr>
        <w:tc>
          <w:tcPr>
            <w:tcW w:w="9752" w:type="dxa"/>
            <w:gridSpan w:val="2"/>
            <w:tcBorders>
              <w:top w:val="nil"/>
              <w:left w:val="nil"/>
              <w:bottom w:val="nil"/>
              <w:right w:val="nil"/>
            </w:tcBorders>
          </w:tcPr>
          <w:p w14:paraId="392D5F4C" w14:textId="77777777" w:rsidR="004C47D0" w:rsidRPr="00AD1AAB" w:rsidRDefault="004C47D0" w:rsidP="00C21EA8"/>
        </w:tc>
      </w:tr>
      <w:tr w:rsidR="004C47D0" w:rsidRPr="00AD1AAB" w14:paraId="4DA8605F" w14:textId="77777777" w:rsidTr="00C21EA8">
        <w:trPr>
          <w:trHeight w:val="240"/>
          <w:jc w:val="center"/>
        </w:trPr>
        <w:tc>
          <w:tcPr>
            <w:tcW w:w="4876" w:type="dxa"/>
            <w:tcBorders>
              <w:top w:val="nil"/>
              <w:left w:val="nil"/>
              <w:bottom w:val="nil"/>
              <w:right w:val="nil"/>
            </w:tcBorders>
            <w:hideMark/>
          </w:tcPr>
          <w:p w14:paraId="506F30F1" w14:textId="77777777" w:rsidR="004C47D0" w:rsidRPr="00AD1AAB" w:rsidRDefault="004C47D0" w:rsidP="00C21EA8">
            <w:pPr>
              <w:pStyle w:val="AmColumnHeading"/>
            </w:pPr>
            <w:r w:rsidRPr="00AD1AAB">
              <w:t>Texto da Comissão</w:t>
            </w:r>
          </w:p>
        </w:tc>
        <w:tc>
          <w:tcPr>
            <w:tcW w:w="4876" w:type="dxa"/>
            <w:tcBorders>
              <w:top w:val="nil"/>
              <w:left w:val="nil"/>
              <w:bottom w:val="nil"/>
              <w:right w:val="nil"/>
            </w:tcBorders>
            <w:hideMark/>
          </w:tcPr>
          <w:p w14:paraId="54B5631E" w14:textId="77777777" w:rsidR="004C47D0" w:rsidRPr="00AD1AAB" w:rsidRDefault="004C47D0" w:rsidP="00C21EA8">
            <w:pPr>
              <w:pStyle w:val="AmColumnHeading"/>
            </w:pPr>
            <w:r w:rsidRPr="00AD1AAB">
              <w:t>Alteração</w:t>
            </w:r>
          </w:p>
        </w:tc>
      </w:tr>
      <w:tr w:rsidR="004C47D0" w:rsidRPr="00AD1AAB" w14:paraId="49B6FF4E" w14:textId="77777777" w:rsidTr="00C21EA8">
        <w:trPr>
          <w:jc w:val="center"/>
        </w:trPr>
        <w:tc>
          <w:tcPr>
            <w:tcW w:w="4876" w:type="dxa"/>
            <w:tcBorders>
              <w:top w:val="nil"/>
              <w:left w:val="nil"/>
              <w:bottom w:val="nil"/>
              <w:right w:val="nil"/>
            </w:tcBorders>
            <w:hideMark/>
          </w:tcPr>
          <w:p w14:paraId="4F85FA9F" w14:textId="77777777" w:rsidR="004C47D0" w:rsidRPr="00AD1AAB" w:rsidRDefault="004C47D0" w:rsidP="00C21EA8">
            <w:pPr>
              <w:pStyle w:val="Normal6a"/>
            </w:pPr>
            <w:r w:rsidRPr="00AD1AAB">
              <w:t>(14)</w:t>
            </w:r>
            <w:r w:rsidRPr="00AD1AAB">
              <w:tab/>
              <w:t xml:space="preserve">Em paralelo com o processo </w:t>
            </w:r>
            <w:r w:rsidRPr="00AD1AAB">
              <w:lastRenderedPageBreak/>
              <w:t>legislativo ordinário aplicável à presente proposta, a União tenciona encetar negociações ao abrigo do artigo XXVIII do Acordo Geral sobre Pautas Aduaneiras e Comércio de 1994, com vista a alterar determinadas concessões no âmbito da OMC aplicáveis aos produtos abrangidos pelo presente regulamento e assegurar que o nível dos direitos aduaneiros daí resultante garante a resiliência da indústria siderúrgica da União no contexto da sobrecapacidade estrutural a nível mundial, do número crescente de medidas comerciais adotadas por países terceiros no setor siderúrgico e do respetivo impacto negativo relacionado com o comércio na indústria siderúrgica da União.</w:t>
            </w:r>
          </w:p>
        </w:tc>
        <w:tc>
          <w:tcPr>
            <w:tcW w:w="4876" w:type="dxa"/>
            <w:tcBorders>
              <w:top w:val="nil"/>
              <w:left w:val="nil"/>
              <w:bottom w:val="nil"/>
              <w:right w:val="nil"/>
            </w:tcBorders>
            <w:hideMark/>
          </w:tcPr>
          <w:p w14:paraId="61EC84FE" w14:textId="77777777" w:rsidR="004C47D0" w:rsidRPr="00AD1AAB" w:rsidRDefault="004C47D0" w:rsidP="00C21EA8">
            <w:pPr>
              <w:pStyle w:val="Normal6a"/>
            </w:pPr>
            <w:r w:rsidRPr="00AD1AAB">
              <w:lastRenderedPageBreak/>
              <w:t>(14)</w:t>
            </w:r>
            <w:r w:rsidRPr="00AD1AAB">
              <w:tab/>
              <w:t xml:space="preserve">Em paralelo com o processo </w:t>
            </w:r>
            <w:r w:rsidRPr="00AD1AAB">
              <w:lastRenderedPageBreak/>
              <w:t xml:space="preserve">legislativo ordinário aplicável à presente proposta, a União tenciona encetar negociações ao abrigo do artigo XXVIII do Acordo Geral sobre Pautas Aduaneiras e Comércio de 1994, com vista a alterar determinadas concessões no âmbito da OMC aplicáveis aos produtos abrangidos pelo presente regulamento e assegurar que o nível dos direitos aduaneiros daí resultante garante a resiliência da indústria siderúrgica da União no contexto da sobrecapacidade estrutural a nível mundial, do número crescente de medidas comerciais adotadas por países terceiros no setor siderúrgico e do respetivo impacto negativo relacionado com o comércio na indústria siderúrgica da União. </w:t>
            </w:r>
            <w:r w:rsidRPr="00AD1AAB">
              <w:rPr>
                <w:b/>
                <w:i/>
              </w:rPr>
              <w:t>A alteração dos compromissos da União não deve conduzir a compensações que excedam os volumes dos contingentes previstos no anexo II do presente regulamento, nem dizer respeito a outros produtos que não os incluídos no anexo II do presente regulamento. A União deve comunicar o presente regulamento à OMC igualmente nos termos do artigo XX do GATT, uma vez que o presente regulamento é necessário para prosseguir a descarbonização do setor siderúrgico da União e também para preservar a ordem pública da União.</w:t>
            </w:r>
          </w:p>
        </w:tc>
      </w:tr>
    </w:tbl>
    <w:p w14:paraId="0C6D36EB" w14:textId="77777777" w:rsidR="004C47D0" w:rsidRPr="00AD1AAB" w:rsidRDefault="004C47D0" w:rsidP="004C47D0"/>
    <w:p w14:paraId="54E09835" w14:textId="77777777" w:rsidR="004C47D0" w:rsidRPr="00AD1AAB" w:rsidRDefault="004C47D0" w:rsidP="004C47D0">
      <w:pPr>
        <w:rPr>
          <w:rStyle w:val="NormalBoldChar"/>
        </w:rPr>
      </w:pPr>
    </w:p>
    <w:p w14:paraId="473C03FE" w14:textId="77777777" w:rsidR="004C47D0" w:rsidRPr="00AD1AAB" w:rsidRDefault="004C47D0" w:rsidP="004C47D0">
      <w:pPr>
        <w:pStyle w:val="AmNumberTabs"/>
      </w:pPr>
      <w:r w:rsidRPr="00AD1AAB">
        <w:t>Alteração</w:t>
      </w:r>
      <w:r w:rsidRPr="00AD1AAB">
        <w:tab/>
      </w:r>
      <w:r w:rsidRPr="00AD1AAB">
        <w:tab/>
        <w:t>18</w:t>
      </w:r>
    </w:p>
    <w:p w14:paraId="6471FFD6" w14:textId="77777777" w:rsidR="004C47D0" w:rsidRPr="00AD1AAB" w:rsidRDefault="004C47D0" w:rsidP="004C47D0">
      <w:pPr>
        <w:pStyle w:val="NormalBold12b"/>
      </w:pPr>
      <w:r w:rsidRPr="00AD1AAB">
        <w:t>Proposta de regulamento</w:t>
      </w:r>
    </w:p>
    <w:p w14:paraId="0470A969" w14:textId="77777777" w:rsidR="004C47D0" w:rsidRPr="00AD1AAB" w:rsidRDefault="004C47D0" w:rsidP="004C47D0">
      <w:pPr>
        <w:pStyle w:val="NormalBold"/>
      </w:pPr>
      <w:r w:rsidRPr="00AD1AAB">
        <w:t>Considerando 14-A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7D0" w:rsidRPr="00AD1AAB" w14:paraId="6C1B95B8" w14:textId="77777777" w:rsidTr="00C21EA8">
        <w:trPr>
          <w:trHeight w:val="240"/>
          <w:jc w:val="center"/>
        </w:trPr>
        <w:tc>
          <w:tcPr>
            <w:tcW w:w="9752" w:type="dxa"/>
            <w:gridSpan w:val="2"/>
            <w:tcBorders>
              <w:top w:val="nil"/>
              <w:left w:val="nil"/>
              <w:bottom w:val="nil"/>
              <w:right w:val="nil"/>
            </w:tcBorders>
          </w:tcPr>
          <w:p w14:paraId="711FCD80" w14:textId="77777777" w:rsidR="004C47D0" w:rsidRPr="00AD1AAB" w:rsidRDefault="004C47D0" w:rsidP="00C21EA8"/>
        </w:tc>
      </w:tr>
      <w:tr w:rsidR="004C47D0" w:rsidRPr="00AD1AAB" w14:paraId="0DD63B4B" w14:textId="77777777" w:rsidTr="00C21EA8">
        <w:trPr>
          <w:trHeight w:val="240"/>
          <w:jc w:val="center"/>
        </w:trPr>
        <w:tc>
          <w:tcPr>
            <w:tcW w:w="4876" w:type="dxa"/>
            <w:tcBorders>
              <w:top w:val="nil"/>
              <w:left w:val="nil"/>
              <w:bottom w:val="nil"/>
              <w:right w:val="nil"/>
            </w:tcBorders>
            <w:hideMark/>
          </w:tcPr>
          <w:p w14:paraId="794B952C" w14:textId="77777777" w:rsidR="004C47D0" w:rsidRPr="00AD1AAB" w:rsidRDefault="004C47D0" w:rsidP="00C21EA8">
            <w:pPr>
              <w:pStyle w:val="AmColumnHeading"/>
            </w:pPr>
            <w:r w:rsidRPr="00AD1AAB">
              <w:t>Texto da Comissão</w:t>
            </w:r>
          </w:p>
        </w:tc>
        <w:tc>
          <w:tcPr>
            <w:tcW w:w="4876" w:type="dxa"/>
            <w:tcBorders>
              <w:top w:val="nil"/>
              <w:left w:val="nil"/>
              <w:bottom w:val="nil"/>
              <w:right w:val="nil"/>
            </w:tcBorders>
            <w:hideMark/>
          </w:tcPr>
          <w:p w14:paraId="63A6B763" w14:textId="77777777" w:rsidR="004C47D0" w:rsidRPr="00AD1AAB" w:rsidRDefault="004C47D0" w:rsidP="00C21EA8">
            <w:pPr>
              <w:pStyle w:val="AmColumnHeading"/>
            </w:pPr>
            <w:r w:rsidRPr="00AD1AAB">
              <w:t>Alteração</w:t>
            </w:r>
          </w:p>
        </w:tc>
      </w:tr>
      <w:tr w:rsidR="004C47D0" w:rsidRPr="00AD1AAB" w14:paraId="322BEE4F" w14:textId="77777777" w:rsidTr="00C21EA8">
        <w:trPr>
          <w:jc w:val="center"/>
        </w:trPr>
        <w:tc>
          <w:tcPr>
            <w:tcW w:w="4876" w:type="dxa"/>
            <w:tcBorders>
              <w:top w:val="nil"/>
              <w:left w:val="nil"/>
              <w:bottom w:val="nil"/>
              <w:right w:val="nil"/>
            </w:tcBorders>
          </w:tcPr>
          <w:p w14:paraId="6EAD560E" w14:textId="77777777" w:rsidR="004C47D0" w:rsidRPr="00AD1AAB" w:rsidRDefault="004C47D0" w:rsidP="00C21EA8">
            <w:pPr>
              <w:pStyle w:val="Normal6a"/>
            </w:pPr>
          </w:p>
        </w:tc>
        <w:tc>
          <w:tcPr>
            <w:tcW w:w="4876" w:type="dxa"/>
            <w:tcBorders>
              <w:top w:val="nil"/>
              <w:left w:val="nil"/>
              <w:bottom w:val="nil"/>
              <w:right w:val="nil"/>
            </w:tcBorders>
            <w:hideMark/>
          </w:tcPr>
          <w:p w14:paraId="0ACB3E91" w14:textId="77777777" w:rsidR="004C47D0" w:rsidRPr="00AD1AAB" w:rsidRDefault="004C47D0" w:rsidP="00C21EA8">
            <w:pPr>
              <w:pStyle w:val="Normal6a"/>
            </w:pPr>
            <w:r w:rsidRPr="00AD1AAB">
              <w:rPr>
                <w:b/>
                <w:i/>
              </w:rPr>
              <w:t>(14-A)</w:t>
            </w:r>
            <w:r w:rsidRPr="00AD1AAB">
              <w:tab/>
            </w:r>
            <w:r w:rsidRPr="00AD1AAB">
              <w:rPr>
                <w:b/>
                <w:i/>
              </w:rPr>
              <w:t xml:space="preserve">A Comissão deve estabelecer uma comunicação pró-ativa e transparente com os parceiros comerciais, a fim de explicar claramente as razões para a adoção do presente regulamento e identificar formas de manter condições equitativas e justas, de modo que não perturbe o espírito de verdadeira </w:t>
            </w:r>
            <w:r w:rsidRPr="00AD1AAB">
              <w:rPr>
                <w:b/>
                <w:i/>
              </w:rPr>
              <w:lastRenderedPageBreak/>
              <w:t>cooperação comercial existente, em particular com os parceiros atuais e futuros dos acordos de comércio livre afetados pelo presente regulamento.</w:t>
            </w:r>
          </w:p>
        </w:tc>
      </w:tr>
    </w:tbl>
    <w:p w14:paraId="5A6217ED" w14:textId="77777777" w:rsidR="004C47D0" w:rsidRPr="00AD1AAB" w:rsidRDefault="004C47D0" w:rsidP="004C47D0"/>
    <w:p w14:paraId="003CC707" w14:textId="77777777" w:rsidR="004C47D0" w:rsidRPr="00AD1AAB" w:rsidRDefault="004C47D0" w:rsidP="004C47D0">
      <w:pPr>
        <w:pStyle w:val="AmNumberTabs"/>
      </w:pPr>
      <w:bookmarkStart w:id="0" w:name="_Hlk220664125"/>
    </w:p>
    <w:bookmarkEnd w:id="0"/>
    <w:p w14:paraId="36AC088C" w14:textId="77777777" w:rsidR="004C47D0" w:rsidRPr="00AD1AAB" w:rsidRDefault="004C47D0" w:rsidP="004C47D0">
      <w:pPr>
        <w:pStyle w:val="AmNumberTabs"/>
      </w:pPr>
      <w:r w:rsidRPr="00AD1AAB">
        <w:t>Alteração</w:t>
      </w:r>
      <w:r w:rsidRPr="00AD1AAB">
        <w:tab/>
      </w:r>
      <w:r w:rsidRPr="00AD1AAB">
        <w:tab/>
        <w:t>19</w:t>
      </w:r>
    </w:p>
    <w:p w14:paraId="00D0B4C3" w14:textId="77777777" w:rsidR="004C47D0" w:rsidRPr="00AD1AAB" w:rsidRDefault="004C47D0" w:rsidP="004C47D0">
      <w:pPr>
        <w:pStyle w:val="NormalBold12b"/>
      </w:pPr>
      <w:r w:rsidRPr="00AD1AAB">
        <w:t>Proposta de regulamento</w:t>
      </w:r>
    </w:p>
    <w:p w14:paraId="61B34CCB" w14:textId="77777777" w:rsidR="004C47D0" w:rsidRPr="00AD1AAB" w:rsidRDefault="004C47D0" w:rsidP="004C47D0">
      <w:pPr>
        <w:pStyle w:val="NormalBold"/>
      </w:pPr>
      <w:r w:rsidRPr="00AD1AAB">
        <w:t>Considerando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306C0413" w14:textId="77777777" w:rsidTr="00C21EA8">
        <w:trPr>
          <w:trHeight w:val="240"/>
          <w:jc w:val="center"/>
        </w:trPr>
        <w:tc>
          <w:tcPr>
            <w:tcW w:w="9752" w:type="dxa"/>
            <w:gridSpan w:val="2"/>
          </w:tcPr>
          <w:p w14:paraId="3695EB2E" w14:textId="77777777" w:rsidR="004C47D0" w:rsidRPr="00AD1AAB" w:rsidRDefault="004C47D0" w:rsidP="00C21EA8"/>
        </w:tc>
      </w:tr>
      <w:tr w:rsidR="004C47D0" w:rsidRPr="00AD1AAB" w14:paraId="553C726A" w14:textId="77777777" w:rsidTr="00C21EA8">
        <w:trPr>
          <w:trHeight w:val="240"/>
          <w:jc w:val="center"/>
        </w:trPr>
        <w:tc>
          <w:tcPr>
            <w:tcW w:w="4876" w:type="dxa"/>
            <w:hideMark/>
          </w:tcPr>
          <w:p w14:paraId="3AE527DE" w14:textId="77777777" w:rsidR="004C47D0" w:rsidRPr="00AD1AAB" w:rsidRDefault="004C47D0" w:rsidP="00C21EA8">
            <w:pPr>
              <w:pStyle w:val="AmColumnHeading"/>
            </w:pPr>
            <w:r w:rsidRPr="00AD1AAB">
              <w:t>Texto da Comissão</w:t>
            </w:r>
          </w:p>
        </w:tc>
        <w:tc>
          <w:tcPr>
            <w:tcW w:w="4876" w:type="dxa"/>
            <w:hideMark/>
          </w:tcPr>
          <w:p w14:paraId="043736C2" w14:textId="77777777" w:rsidR="004C47D0" w:rsidRPr="00AD1AAB" w:rsidRDefault="004C47D0" w:rsidP="00C21EA8">
            <w:pPr>
              <w:pStyle w:val="AmColumnHeading"/>
            </w:pPr>
            <w:r w:rsidRPr="00AD1AAB">
              <w:t>Alteração</w:t>
            </w:r>
          </w:p>
        </w:tc>
      </w:tr>
      <w:tr w:rsidR="004C47D0" w:rsidRPr="00AD1AAB" w14:paraId="7D16467F" w14:textId="77777777" w:rsidTr="00C21EA8">
        <w:trPr>
          <w:jc w:val="center"/>
        </w:trPr>
        <w:tc>
          <w:tcPr>
            <w:tcW w:w="4876" w:type="dxa"/>
            <w:hideMark/>
          </w:tcPr>
          <w:p w14:paraId="0AFE205B" w14:textId="77777777" w:rsidR="004C47D0" w:rsidRPr="00AD1AAB" w:rsidRDefault="004C47D0" w:rsidP="00C21EA8">
            <w:pPr>
              <w:pStyle w:val="Normal6a"/>
            </w:pPr>
            <w:r w:rsidRPr="00AD1AAB">
              <w:t>(15)</w:t>
            </w:r>
            <w:r w:rsidRPr="00AD1AAB">
              <w:tab/>
              <w:t>Considerando que, no Regulamento de Execução (UE) 2019/159, o direito extracontingente foi fixado em 25 %, tendo em conta o nível dos direitos aduaneiros no setor siderúrgico noutros mercados importantes, é adequado fixar o direito pautal extracontingente a um nível de 50 %, para reduzir ao mínimo o risco de desvio dos fluxos comerciais. Este direito vem acrescentar-se a outros direitos aplicáveis às categorias do produto abrangidas pelo presente regulamento.</w:t>
            </w:r>
          </w:p>
        </w:tc>
        <w:tc>
          <w:tcPr>
            <w:tcW w:w="4876" w:type="dxa"/>
            <w:hideMark/>
          </w:tcPr>
          <w:p w14:paraId="522C0059" w14:textId="77777777" w:rsidR="004C47D0" w:rsidRPr="00AD1AAB" w:rsidRDefault="004C47D0" w:rsidP="00C21EA8">
            <w:pPr>
              <w:pStyle w:val="Normal6a"/>
            </w:pPr>
            <w:r w:rsidRPr="00AD1AAB">
              <w:t>(15)</w:t>
            </w:r>
            <w:r w:rsidRPr="00AD1AAB">
              <w:tab/>
              <w:t>Considerando que, no Regulamento de Execução (UE) 2019/159, o direito extracontingente foi fixado em 25 %, tendo em conta o nível dos direitos aduaneiros no setor siderúrgico noutros mercados importantes, é adequado fixar o direito pautal extracontingente a um nível de 50 %, para reduzir ao mínimo o risco de desvio dos fluxos comerciais</w:t>
            </w:r>
            <w:r w:rsidRPr="00AD1AAB">
              <w:rPr>
                <w:b/>
                <w:i/>
              </w:rPr>
              <w:t xml:space="preserve"> e para permitir aumentar a capacidade de produção</w:t>
            </w:r>
            <w:r w:rsidRPr="00AD1AAB">
              <w:t>. Este direito vem acrescentar-se a outros direitos aplicáveis às categorias do produto abrangidas pelo presente regulamento.</w:t>
            </w:r>
          </w:p>
        </w:tc>
      </w:tr>
    </w:tbl>
    <w:p w14:paraId="5A9B731E" w14:textId="77777777" w:rsidR="004C47D0" w:rsidRPr="00AD1AAB" w:rsidRDefault="004C47D0" w:rsidP="004C47D0"/>
    <w:p w14:paraId="189C1ED7" w14:textId="77777777" w:rsidR="004C47D0" w:rsidRPr="00AD1AAB" w:rsidRDefault="004C47D0" w:rsidP="004C47D0"/>
    <w:p w14:paraId="3857E8E2" w14:textId="77777777" w:rsidR="004C47D0" w:rsidRPr="00AD1AAB" w:rsidRDefault="004C47D0" w:rsidP="004C47D0">
      <w:pPr>
        <w:pStyle w:val="AmNumberTabs"/>
      </w:pPr>
      <w:r w:rsidRPr="00AD1AAB">
        <w:t>Alteração</w:t>
      </w:r>
      <w:r w:rsidRPr="00AD1AAB">
        <w:tab/>
      </w:r>
      <w:r w:rsidRPr="00AD1AAB">
        <w:tab/>
        <w:t>20</w:t>
      </w:r>
    </w:p>
    <w:p w14:paraId="1F8E0A95" w14:textId="77777777" w:rsidR="004C47D0" w:rsidRPr="00AD1AAB" w:rsidRDefault="004C47D0" w:rsidP="004C47D0">
      <w:pPr>
        <w:pStyle w:val="NormalBold12b"/>
      </w:pPr>
      <w:r w:rsidRPr="00AD1AAB">
        <w:t>Proposta de regulamento</w:t>
      </w:r>
    </w:p>
    <w:p w14:paraId="2738BFDC" w14:textId="77777777" w:rsidR="004C47D0" w:rsidRPr="00AD1AAB" w:rsidRDefault="004C47D0" w:rsidP="004C47D0">
      <w:pPr>
        <w:pStyle w:val="NormalBold"/>
      </w:pPr>
      <w:r w:rsidRPr="00AD1AAB">
        <w:t>Considerando 20-A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77DF0019" w14:textId="77777777" w:rsidTr="00C21EA8">
        <w:trPr>
          <w:trHeight w:val="240"/>
          <w:jc w:val="center"/>
        </w:trPr>
        <w:tc>
          <w:tcPr>
            <w:tcW w:w="9752" w:type="dxa"/>
            <w:gridSpan w:val="2"/>
          </w:tcPr>
          <w:p w14:paraId="47252A92" w14:textId="77777777" w:rsidR="004C47D0" w:rsidRPr="00AD1AAB" w:rsidRDefault="004C47D0" w:rsidP="00C21EA8"/>
        </w:tc>
      </w:tr>
      <w:tr w:rsidR="004C47D0" w:rsidRPr="00AD1AAB" w14:paraId="6A5F4C95" w14:textId="77777777" w:rsidTr="00C21EA8">
        <w:trPr>
          <w:trHeight w:val="240"/>
          <w:jc w:val="center"/>
        </w:trPr>
        <w:tc>
          <w:tcPr>
            <w:tcW w:w="4876" w:type="dxa"/>
            <w:hideMark/>
          </w:tcPr>
          <w:p w14:paraId="4113AFD9" w14:textId="77777777" w:rsidR="004C47D0" w:rsidRPr="00AD1AAB" w:rsidRDefault="004C47D0" w:rsidP="00C21EA8">
            <w:pPr>
              <w:pStyle w:val="AmColumnHeading"/>
            </w:pPr>
            <w:r w:rsidRPr="00AD1AAB">
              <w:t>Texto da Comissão</w:t>
            </w:r>
          </w:p>
        </w:tc>
        <w:tc>
          <w:tcPr>
            <w:tcW w:w="4876" w:type="dxa"/>
            <w:hideMark/>
          </w:tcPr>
          <w:p w14:paraId="2B4DFFE9" w14:textId="77777777" w:rsidR="004C47D0" w:rsidRPr="00AD1AAB" w:rsidRDefault="004C47D0" w:rsidP="00C21EA8">
            <w:pPr>
              <w:pStyle w:val="AmColumnHeading"/>
            </w:pPr>
            <w:r w:rsidRPr="00AD1AAB">
              <w:t>Alteração</w:t>
            </w:r>
          </w:p>
        </w:tc>
      </w:tr>
      <w:tr w:rsidR="004C47D0" w:rsidRPr="00AD1AAB" w14:paraId="6E12A83A" w14:textId="77777777" w:rsidTr="00C21EA8">
        <w:trPr>
          <w:jc w:val="center"/>
        </w:trPr>
        <w:tc>
          <w:tcPr>
            <w:tcW w:w="4876" w:type="dxa"/>
          </w:tcPr>
          <w:p w14:paraId="6509E025" w14:textId="77777777" w:rsidR="004C47D0" w:rsidRPr="00AD1AAB" w:rsidRDefault="004C47D0" w:rsidP="00C21EA8">
            <w:pPr>
              <w:pStyle w:val="Normal6a"/>
            </w:pPr>
          </w:p>
        </w:tc>
        <w:tc>
          <w:tcPr>
            <w:tcW w:w="4876" w:type="dxa"/>
            <w:hideMark/>
          </w:tcPr>
          <w:p w14:paraId="46E8DA7C" w14:textId="77777777" w:rsidR="004C47D0" w:rsidRPr="00AD1AAB" w:rsidRDefault="004C47D0" w:rsidP="00C21EA8">
            <w:pPr>
              <w:pStyle w:val="Normal6a"/>
              <w:rPr>
                <w:b/>
                <w:bCs/>
                <w:i/>
                <w:iCs/>
              </w:rPr>
            </w:pPr>
            <w:r w:rsidRPr="00AD1AAB">
              <w:rPr>
                <w:b/>
                <w:i/>
              </w:rPr>
              <w:t>(20-A)</w:t>
            </w:r>
            <w:r w:rsidRPr="00AD1AAB">
              <w:rPr>
                <w:b/>
                <w:i/>
              </w:rPr>
              <w:tab/>
              <w:t xml:space="preserve">A fim de garantir uma gestão justa e equilibrada dos contingentes pautais, deve ser evitada a concentração das importações num número reduzido de grandes operadores e as práticas de acumulação de reservas. As práticas de acumulação de reservas, em que os produtos siderúrgicos são armazenados em portos, entrepostos aduaneiros ou zonas francas a fim de atrasar a sua </w:t>
            </w:r>
            <w:r w:rsidRPr="00AD1AAB">
              <w:rPr>
                <w:b/>
                <w:i/>
              </w:rPr>
              <w:lastRenderedPageBreak/>
              <w:t xml:space="preserve">introdução em livre prática, podem resultar no rápido esgotamento dos contingentes pautais segundo o princípio do primeiro a </w:t>
            </w:r>
            <w:proofErr w:type="gramStart"/>
            <w:r w:rsidRPr="00AD1AAB">
              <w:rPr>
                <w:b/>
                <w:i/>
              </w:rPr>
              <w:t>chegar, primeiro a ser</w:t>
            </w:r>
            <w:proofErr w:type="gramEnd"/>
            <w:r w:rsidRPr="00AD1AAB">
              <w:rPr>
                <w:b/>
                <w:i/>
              </w:rPr>
              <w:t xml:space="preserve"> servido. Tais práticas podem comprometer o acesso equitativo aos contingentes por parte de todos os operadores económicos e a eficácia do mecanismo de salvaguarda. Por conseguinte, a Comissão deve acompanhar de perto os padrões de importação e os níveis de armazenamento e, se for caso disso, ponderar ajustamentos na gestão dos contingentes pautais, com vista a assegurar um acesso equitativo para todos os operadores e de responder rapidamente às alterações das condições de mercado, protegendo simultaneamente a indústria siderúrgica da União e as indústrias a jusante. </w:t>
            </w:r>
          </w:p>
        </w:tc>
      </w:tr>
    </w:tbl>
    <w:p w14:paraId="5CCCA976" w14:textId="77777777" w:rsidR="004C47D0" w:rsidRPr="00AD1AAB" w:rsidRDefault="004C47D0" w:rsidP="004C47D0"/>
    <w:p w14:paraId="0C8B6BE9" w14:textId="77777777" w:rsidR="004C47D0" w:rsidRPr="00AD1AAB" w:rsidRDefault="004C47D0" w:rsidP="004C47D0">
      <w:pPr>
        <w:rPr>
          <w:rStyle w:val="NormalBoldChar"/>
        </w:rPr>
      </w:pPr>
    </w:p>
    <w:p w14:paraId="5BB76F2F" w14:textId="77777777" w:rsidR="004C47D0" w:rsidRPr="00AD1AAB" w:rsidRDefault="004C47D0" w:rsidP="004C47D0">
      <w:pPr>
        <w:pStyle w:val="AmNumberTabs"/>
      </w:pPr>
      <w:r w:rsidRPr="00AD1AAB">
        <w:t>Alteração</w:t>
      </w:r>
      <w:r w:rsidRPr="00AD1AAB">
        <w:tab/>
      </w:r>
      <w:r w:rsidRPr="00AD1AAB">
        <w:tab/>
        <w:t>21</w:t>
      </w:r>
    </w:p>
    <w:p w14:paraId="273137FD" w14:textId="77777777" w:rsidR="004C47D0" w:rsidRPr="00AD1AAB" w:rsidRDefault="004C47D0" w:rsidP="004C47D0">
      <w:pPr>
        <w:pStyle w:val="NormalBold12b"/>
      </w:pPr>
      <w:r w:rsidRPr="00AD1AAB">
        <w:t>Proposta de regulamento</w:t>
      </w:r>
    </w:p>
    <w:p w14:paraId="263DBD8D" w14:textId="77777777" w:rsidR="004C47D0" w:rsidRPr="00AD1AAB" w:rsidRDefault="004C47D0" w:rsidP="004C47D0">
      <w:pPr>
        <w:pStyle w:val="NormalBold"/>
      </w:pPr>
      <w:r w:rsidRPr="00AD1AAB">
        <w:t>Considerando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1EFC7360" w14:textId="77777777" w:rsidTr="00C21EA8">
        <w:trPr>
          <w:trHeight w:val="240"/>
          <w:jc w:val="center"/>
        </w:trPr>
        <w:tc>
          <w:tcPr>
            <w:tcW w:w="9752" w:type="dxa"/>
            <w:gridSpan w:val="2"/>
          </w:tcPr>
          <w:p w14:paraId="299D9F7E" w14:textId="77777777" w:rsidR="004C47D0" w:rsidRPr="00AD1AAB" w:rsidRDefault="004C47D0" w:rsidP="00C21EA8"/>
        </w:tc>
      </w:tr>
      <w:tr w:rsidR="004C47D0" w:rsidRPr="00AD1AAB" w14:paraId="7CB65E40" w14:textId="77777777" w:rsidTr="00C21EA8">
        <w:trPr>
          <w:trHeight w:val="240"/>
          <w:jc w:val="center"/>
        </w:trPr>
        <w:tc>
          <w:tcPr>
            <w:tcW w:w="4876" w:type="dxa"/>
            <w:hideMark/>
          </w:tcPr>
          <w:p w14:paraId="55E2F21B" w14:textId="77777777" w:rsidR="004C47D0" w:rsidRPr="00AD1AAB" w:rsidRDefault="004C47D0" w:rsidP="00C21EA8">
            <w:pPr>
              <w:pStyle w:val="AmColumnHeading"/>
            </w:pPr>
            <w:r w:rsidRPr="00AD1AAB">
              <w:t>Texto da Comissão</w:t>
            </w:r>
          </w:p>
        </w:tc>
        <w:tc>
          <w:tcPr>
            <w:tcW w:w="4876" w:type="dxa"/>
            <w:hideMark/>
          </w:tcPr>
          <w:p w14:paraId="7E6ED38A" w14:textId="77777777" w:rsidR="004C47D0" w:rsidRPr="00AD1AAB" w:rsidRDefault="004C47D0" w:rsidP="00C21EA8">
            <w:pPr>
              <w:pStyle w:val="AmColumnHeading"/>
            </w:pPr>
            <w:r w:rsidRPr="00AD1AAB">
              <w:t>Alteração</w:t>
            </w:r>
          </w:p>
        </w:tc>
      </w:tr>
      <w:tr w:rsidR="004C47D0" w:rsidRPr="00AD1AAB" w14:paraId="7B531222" w14:textId="77777777" w:rsidTr="00C21EA8">
        <w:trPr>
          <w:jc w:val="center"/>
        </w:trPr>
        <w:tc>
          <w:tcPr>
            <w:tcW w:w="4876" w:type="dxa"/>
            <w:hideMark/>
          </w:tcPr>
          <w:p w14:paraId="7B4AA6AC" w14:textId="77777777" w:rsidR="004C47D0" w:rsidRPr="00AD1AAB" w:rsidRDefault="004C47D0" w:rsidP="00C21EA8">
            <w:pPr>
              <w:pStyle w:val="Normal6a"/>
            </w:pPr>
            <w:r w:rsidRPr="00AD1AAB">
              <w:t>(21)</w:t>
            </w:r>
            <w:r w:rsidRPr="00AD1AAB">
              <w:tab/>
              <w:t xml:space="preserve">A fim de assegurar que a medida é eficaz para combater os efeitos da sobrecapacidade a nível mundial, e tendo em conta as especificidades dos produtos siderúrgicos e das modernas técnicas de produção e aprovisionamento, é importante identificar o país de «fundição e vazamento». Entende-se por país de «fundição e vazamento» o local inicial em que o aço e o ferro em bruto são inicialmente produzidos sob forma líquida num forno de fabricação de aço ou de ferro e subsequentemente vazados no seu estado sólido primário. Este estado sólido primário pode consistir quer num produto semiacabado, como brames, </w:t>
            </w:r>
            <w:proofErr w:type="spellStart"/>
            <w:r w:rsidRPr="00AD1AAB">
              <w:t>biletes</w:t>
            </w:r>
            <w:proofErr w:type="spellEnd"/>
            <w:r w:rsidRPr="00AD1AAB">
              <w:t xml:space="preserve"> ou lingotes, entre outros, ou num produto acabado de aço. Exigir a apresentação de elementos comprovativos do país de «fundição e vazamento» evitará que o aço </w:t>
            </w:r>
            <w:r w:rsidRPr="00AD1AAB">
              <w:lastRenderedPageBreak/>
              <w:t>produzido em determinados países que contribuem para a sobrecapacidade a nível mundial entre indevidamente no mercado da União na sequência de uma transformação posterior noutros países e aumentará a transparência na cadeia de aprovisionamento interna no que se refere às importações de aço.</w:t>
            </w:r>
          </w:p>
        </w:tc>
        <w:tc>
          <w:tcPr>
            <w:tcW w:w="4876" w:type="dxa"/>
            <w:hideMark/>
          </w:tcPr>
          <w:p w14:paraId="79E90433" w14:textId="77777777" w:rsidR="004C47D0" w:rsidRPr="00AD1AAB" w:rsidRDefault="004C47D0" w:rsidP="00C21EA8">
            <w:pPr>
              <w:pStyle w:val="Normal6a"/>
            </w:pPr>
            <w:r w:rsidRPr="00AD1AAB">
              <w:lastRenderedPageBreak/>
              <w:t>(21)</w:t>
            </w:r>
            <w:r w:rsidRPr="00AD1AAB">
              <w:tab/>
              <w:t xml:space="preserve">A fim de assegurar que a medida é eficaz para combater os efeitos da sobrecapacidade a nível mundial, e tendo em conta as especificidades dos produtos siderúrgicos e das modernas técnicas de produção e aprovisionamento, é importante identificar o país de «fundição e vazamento». Entende-se por país de «fundição e vazamento» o local inicial em que o aço e o ferro em bruto são inicialmente produzidos sob forma líquida num forno de fabricação de aço ou de ferro e subsequentemente vazados no seu estado sólido primário. Este estado sólido primário pode consistir quer num produto semiacabado, como brames, </w:t>
            </w:r>
            <w:proofErr w:type="spellStart"/>
            <w:r w:rsidRPr="00AD1AAB">
              <w:t>biletes</w:t>
            </w:r>
            <w:proofErr w:type="spellEnd"/>
            <w:r w:rsidRPr="00AD1AAB">
              <w:t xml:space="preserve"> ou lingotes, entre outros, ou num produto acabado de aço. Exigir a apresentação de elementos comprovativos do país de «fundição e vazamento» evitará que o aço </w:t>
            </w:r>
            <w:r w:rsidRPr="00AD1AAB">
              <w:lastRenderedPageBreak/>
              <w:t xml:space="preserve">produzido em determinados países que contribuem para a sobrecapacidade a nível mundial entre indevidamente no mercado da União na sequência de uma transformação posterior noutros países e aumentará a transparência na cadeia de aprovisionamento interna no que se refere às importações de aço. </w:t>
            </w:r>
            <w:r w:rsidRPr="00AD1AAB">
              <w:rPr>
                <w:b/>
                <w:i/>
              </w:rPr>
              <w:t>Esse pedido de elementos comprovativos deve ser efetuado de forma a limitar, tanto quanto possível, os encargos administrativos e a facilitar o cumprimento das normas por parte das pequenas e médias empresas (PME).</w:t>
            </w:r>
          </w:p>
        </w:tc>
      </w:tr>
    </w:tbl>
    <w:p w14:paraId="3CEB9B10" w14:textId="77777777" w:rsidR="004C47D0" w:rsidRPr="00AD1AAB" w:rsidRDefault="004C47D0" w:rsidP="004C47D0"/>
    <w:p w14:paraId="35A88044" w14:textId="77777777" w:rsidR="004C47D0" w:rsidRPr="00AD1AAB" w:rsidRDefault="004C47D0" w:rsidP="004C47D0"/>
    <w:p w14:paraId="1C4D872C" w14:textId="77777777" w:rsidR="004C47D0" w:rsidRPr="00AD1AAB" w:rsidRDefault="004C47D0" w:rsidP="004C47D0">
      <w:pPr>
        <w:pStyle w:val="AmNumberTabs"/>
      </w:pPr>
    </w:p>
    <w:p w14:paraId="65476DFC" w14:textId="77777777" w:rsidR="004C47D0" w:rsidRPr="00AD1AAB" w:rsidRDefault="004C47D0" w:rsidP="004C47D0">
      <w:pPr>
        <w:pStyle w:val="AmNumberTabs"/>
      </w:pPr>
      <w:r w:rsidRPr="00AD1AAB">
        <w:t>Alteração</w:t>
      </w:r>
      <w:r w:rsidRPr="00AD1AAB">
        <w:tab/>
      </w:r>
      <w:r w:rsidRPr="00AD1AAB">
        <w:tab/>
        <w:t>22</w:t>
      </w:r>
    </w:p>
    <w:p w14:paraId="005355EF" w14:textId="77777777" w:rsidR="004C47D0" w:rsidRPr="00AD1AAB" w:rsidRDefault="004C47D0" w:rsidP="004C47D0">
      <w:pPr>
        <w:pStyle w:val="NormalBold12b"/>
      </w:pPr>
      <w:r w:rsidRPr="00AD1AAB">
        <w:t>Proposta de regulamento</w:t>
      </w:r>
    </w:p>
    <w:p w14:paraId="18146F31" w14:textId="77777777" w:rsidR="004C47D0" w:rsidRPr="00AD1AAB" w:rsidRDefault="004C47D0" w:rsidP="004C47D0">
      <w:pPr>
        <w:pStyle w:val="NormalBold"/>
      </w:pPr>
      <w:r w:rsidRPr="00AD1AAB">
        <w:t>Considerando 21-A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3E639744" w14:textId="77777777" w:rsidTr="00C21EA8">
        <w:trPr>
          <w:trHeight w:val="240"/>
          <w:jc w:val="center"/>
        </w:trPr>
        <w:tc>
          <w:tcPr>
            <w:tcW w:w="9752" w:type="dxa"/>
            <w:gridSpan w:val="2"/>
          </w:tcPr>
          <w:p w14:paraId="62FA7B93" w14:textId="77777777" w:rsidR="004C47D0" w:rsidRPr="00AD1AAB" w:rsidRDefault="004C47D0" w:rsidP="00C21EA8"/>
        </w:tc>
      </w:tr>
      <w:tr w:rsidR="004C47D0" w:rsidRPr="00AD1AAB" w14:paraId="52AD764B" w14:textId="77777777" w:rsidTr="00C21EA8">
        <w:trPr>
          <w:trHeight w:val="240"/>
          <w:jc w:val="center"/>
        </w:trPr>
        <w:tc>
          <w:tcPr>
            <w:tcW w:w="4876" w:type="dxa"/>
            <w:hideMark/>
          </w:tcPr>
          <w:p w14:paraId="0DAEE818" w14:textId="77777777" w:rsidR="004C47D0" w:rsidRPr="00AD1AAB" w:rsidRDefault="004C47D0" w:rsidP="00C21EA8">
            <w:pPr>
              <w:pStyle w:val="AmColumnHeading"/>
            </w:pPr>
            <w:r w:rsidRPr="00AD1AAB">
              <w:t>Texto da Comissão</w:t>
            </w:r>
          </w:p>
        </w:tc>
        <w:tc>
          <w:tcPr>
            <w:tcW w:w="4876" w:type="dxa"/>
            <w:hideMark/>
          </w:tcPr>
          <w:p w14:paraId="0A0A92C6" w14:textId="77777777" w:rsidR="004C47D0" w:rsidRPr="00AD1AAB" w:rsidRDefault="004C47D0" w:rsidP="00C21EA8">
            <w:pPr>
              <w:pStyle w:val="AmColumnHeading"/>
            </w:pPr>
            <w:r w:rsidRPr="00AD1AAB">
              <w:t>Alteração</w:t>
            </w:r>
          </w:p>
        </w:tc>
      </w:tr>
      <w:tr w:rsidR="004C47D0" w:rsidRPr="00AD1AAB" w14:paraId="65E76D81" w14:textId="77777777" w:rsidTr="00C21EA8">
        <w:trPr>
          <w:jc w:val="center"/>
        </w:trPr>
        <w:tc>
          <w:tcPr>
            <w:tcW w:w="4876" w:type="dxa"/>
          </w:tcPr>
          <w:p w14:paraId="639FF635" w14:textId="77777777" w:rsidR="004C47D0" w:rsidRPr="00AD1AAB" w:rsidRDefault="004C47D0" w:rsidP="00C21EA8">
            <w:pPr>
              <w:pStyle w:val="Normal6a"/>
            </w:pPr>
          </w:p>
        </w:tc>
        <w:tc>
          <w:tcPr>
            <w:tcW w:w="4876" w:type="dxa"/>
            <w:hideMark/>
          </w:tcPr>
          <w:p w14:paraId="0AB53CBA" w14:textId="77777777" w:rsidR="004C47D0" w:rsidRPr="00AD1AAB" w:rsidRDefault="004C47D0" w:rsidP="00C21EA8">
            <w:pPr>
              <w:pStyle w:val="Normal6a"/>
            </w:pPr>
            <w:r w:rsidRPr="00AD1AAB">
              <w:rPr>
                <w:b/>
                <w:i/>
              </w:rPr>
              <w:t>(21-A)</w:t>
            </w:r>
            <w:r w:rsidRPr="00AD1AAB">
              <w:tab/>
            </w:r>
            <w:r w:rsidRPr="00AD1AAB">
              <w:rPr>
                <w:b/>
                <w:i/>
              </w:rPr>
              <w:t>As importações de produtos nos quais tenha sido utilizado aço fundido e vazado na Federação da Rússia ou na Bielorrússia não devem poder aceder ao mercado da União, nem beneficiar de contingentes pautais. Por conseguinte, todos esses produtos devem ser automaticamente proibidos nas fronteiras externas da União.</w:t>
            </w:r>
          </w:p>
        </w:tc>
      </w:tr>
    </w:tbl>
    <w:p w14:paraId="7A60E811" w14:textId="77777777" w:rsidR="004C47D0" w:rsidRPr="00AD1AAB" w:rsidRDefault="004C47D0" w:rsidP="004C47D0"/>
    <w:p w14:paraId="72B3DE31" w14:textId="77777777" w:rsidR="004C47D0" w:rsidRPr="00AD1AAB" w:rsidRDefault="004C47D0" w:rsidP="004C47D0">
      <w:pPr>
        <w:pStyle w:val="AmNumberTabs"/>
      </w:pPr>
      <w:r w:rsidRPr="00AD1AAB">
        <w:t>Alteração</w:t>
      </w:r>
      <w:r w:rsidRPr="00AD1AAB">
        <w:tab/>
      </w:r>
      <w:r w:rsidRPr="00AD1AAB">
        <w:tab/>
        <w:t>23</w:t>
      </w:r>
    </w:p>
    <w:p w14:paraId="795FEE1D" w14:textId="77777777" w:rsidR="004C47D0" w:rsidRPr="00AD1AAB" w:rsidRDefault="004C47D0" w:rsidP="004C47D0">
      <w:pPr>
        <w:pStyle w:val="NormalBold"/>
      </w:pPr>
      <w:r w:rsidRPr="00AD1AAB">
        <w:t>Proposta de regulamento</w:t>
      </w:r>
    </w:p>
    <w:p w14:paraId="703ED986" w14:textId="77777777" w:rsidR="004C47D0" w:rsidRPr="00AD1AAB" w:rsidRDefault="004C47D0" w:rsidP="004C47D0">
      <w:pPr>
        <w:pStyle w:val="NormalBold"/>
      </w:pPr>
      <w:r w:rsidRPr="00AD1AAB">
        <w:t>Considerando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7D0" w:rsidRPr="00AD1AAB" w14:paraId="4D67D878" w14:textId="77777777" w:rsidTr="00C21EA8">
        <w:trPr>
          <w:trHeight w:val="240"/>
          <w:jc w:val="center"/>
        </w:trPr>
        <w:tc>
          <w:tcPr>
            <w:tcW w:w="9752" w:type="dxa"/>
            <w:gridSpan w:val="2"/>
            <w:tcBorders>
              <w:top w:val="nil"/>
              <w:left w:val="nil"/>
              <w:bottom w:val="nil"/>
              <w:right w:val="nil"/>
            </w:tcBorders>
          </w:tcPr>
          <w:p w14:paraId="362BE7C9" w14:textId="77777777" w:rsidR="004C47D0" w:rsidRPr="00AD1AAB" w:rsidRDefault="004C47D0" w:rsidP="00C21EA8"/>
        </w:tc>
      </w:tr>
      <w:tr w:rsidR="004C47D0" w:rsidRPr="00AD1AAB" w14:paraId="2C3CF014" w14:textId="77777777" w:rsidTr="00C21EA8">
        <w:trPr>
          <w:trHeight w:val="240"/>
          <w:jc w:val="center"/>
        </w:trPr>
        <w:tc>
          <w:tcPr>
            <w:tcW w:w="4876" w:type="dxa"/>
            <w:tcBorders>
              <w:top w:val="nil"/>
              <w:left w:val="nil"/>
              <w:bottom w:val="nil"/>
              <w:right w:val="nil"/>
            </w:tcBorders>
            <w:hideMark/>
          </w:tcPr>
          <w:p w14:paraId="23E85441" w14:textId="77777777" w:rsidR="004C47D0" w:rsidRPr="00AD1AAB" w:rsidRDefault="004C47D0" w:rsidP="00C21EA8">
            <w:pPr>
              <w:pStyle w:val="AmColumnHeading"/>
            </w:pPr>
            <w:r w:rsidRPr="00AD1AAB">
              <w:t>Texto da Comissão</w:t>
            </w:r>
          </w:p>
        </w:tc>
        <w:tc>
          <w:tcPr>
            <w:tcW w:w="4876" w:type="dxa"/>
            <w:tcBorders>
              <w:top w:val="nil"/>
              <w:left w:val="nil"/>
              <w:bottom w:val="nil"/>
              <w:right w:val="nil"/>
            </w:tcBorders>
            <w:hideMark/>
          </w:tcPr>
          <w:p w14:paraId="22F5013B" w14:textId="77777777" w:rsidR="004C47D0" w:rsidRPr="00AD1AAB" w:rsidRDefault="004C47D0" w:rsidP="00C21EA8">
            <w:pPr>
              <w:pStyle w:val="AmColumnHeading"/>
            </w:pPr>
            <w:r w:rsidRPr="00AD1AAB">
              <w:t>Alteração</w:t>
            </w:r>
          </w:p>
        </w:tc>
      </w:tr>
      <w:tr w:rsidR="004C47D0" w:rsidRPr="00AD1AAB" w14:paraId="4114F141" w14:textId="77777777" w:rsidTr="00C21EA8">
        <w:trPr>
          <w:jc w:val="center"/>
        </w:trPr>
        <w:tc>
          <w:tcPr>
            <w:tcW w:w="4876" w:type="dxa"/>
            <w:tcBorders>
              <w:top w:val="nil"/>
              <w:left w:val="nil"/>
              <w:bottom w:val="nil"/>
              <w:right w:val="nil"/>
            </w:tcBorders>
            <w:hideMark/>
          </w:tcPr>
          <w:p w14:paraId="38D2F938" w14:textId="77777777" w:rsidR="004C47D0" w:rsidRPr="00AD1AAB" w:rsidRDefault="004C47D0" w:rsidP="00C21EA8">
            <w:pPr>
              <w:pStyle w:val="Normal6a"/>
            </w:pPr>
            <w:r w:rsidRPr="00AD1AAB">
              <w:t>(24)</w:t>
            </w:r>
            <w:r w:rsidRPr="00AD1AAB">
              <w:tab/>
              <w:t xml:space="preserve">A fim de garantir que o nível dos contingentes abertos para as importações na União se adapta à evolução das circunstâncias dos mercados dos produtos abrangidos pelo presente regulamento, bem como de definir as especificações técnicas </w:t>
            </w:r>
            <w:r w:rsidRPr="00AD1AAB">
              <w:lastRenderedPageBreak/>
              <w:t>para a aplicação do requisito relativo à fundição e ao vazamento, deve ser delegado na Comissão o poder de adotar atos em conformidade com o artigo 290.º do Tratado sobre o Funcionamento da União Europeia para complementar o presente regulamento, estabelecendo regras de execução para a identificação do país de fundição e vazamento do aço utilizado na produção do produto e para alterar o anexo II do presente regulamento. 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w:t>
            </w:r>
            <w:r w:rsidRPr="00AD1AAB">
              <w:rPr>
                <w:vertAlign w:val="superscript"/>
              </w:rPr>
              <w:t>8</w:t>
            </w:r>
            <w:r w:rsidRPr="00AD1AAB">
              <w:t>. Em particular, a fim de assegurar a igualdade de participação na preparação dos atos delegados, o Parlamento Europeu e o Conselho recebem todos os documentos ao mesmo tempo que os peritos dos Estados-Membros, e os respetivos peritos têm sistematicamente acesso às reuniões dos grupos de peritos da Comissão que tratem da preparação dos atos delegados.</w:t>
            </w:r>
          </w:p>
        </w:tc>
        <w:tc>
          <w:tcPr>
            <w:tcW w:w="4876" w:type="dxa"/>
            <w:tcBorders>
              <w:top w:val="nil"/>
              <w:left w:val="nil"/>
              <w:bottom w:val="nil"/>
              <w:right w:val="nil"/>
            </w:tcBorders>
            <w:hideMark/>
          </w:tcPr>
          <w:p w14:paraId="10AFBDE7" w14:textId="77777777" w:rsidR="004C47D0" w:rsidRPr="00AD1AAB" w:rsidRDefault="004C47D0" w:rsidP="00C21EA8">
            <w:pPr>
              <w:pStyle w:val="Normal6a"/>
            </w:pPr>
            <w:r w:rsidRPr="00AD1AAB">
              <w:lastRenderedPageBreak/>
              <w:t>(24)</w:t>
            </w:r>
            <w:r w:rsidRPr="00AD1AAB">
              <w:tab/>
              <w:t xml:space="preserve">A fim de garantir que o nível dos contingentes abertos para as importações na União se adapta à evolução das circunstâncias dos mercados dos produtos abrangidos pelo presente regulamento, bem como de definir as especificações técnicas </w:t>
            </w:r>
            <w:r w:rsidRPr="00AD1AAB">
              <w:lastRenderedPageBreak/>
              <w:t>para a aplicação do requisito relativo à fundição e ao vazamento, deve ser delegado na Comissão o poder de adotar atos em conformidade com o artigo 290.º do Tratado sobre o Funcionamento da União Europeia para complementar o presente regulamento, estabelecendo regras de execução para a identificação do país de fundição e vazamento do aço utilizado na produção do produto e para alterar o anexo II do presente regulamento. 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w:t>
            </w:r>
            <w:r w:rsidRPr="00AD1AAB">
              <w:rPr>
                <w:vertAlign w:val="superscript"/>
              </w:rPr>
              <w:t>8</w:t>
            </w:r>
            <w:r w:rsidRPr="00AD1AAB">
              <w:t xml:space="preserve">. </w:t>
            </w:r>
            <w:r w:rsidRPr="00AD1AAB">
              <w:rPr>
                <w:b/>
                <w:i/>
              </w:rPr>
              <w:t>Além disso, é importante que as indústrias e as cidades e regiões industriais afetadas sejam ouvidas durante os trabalhos preparatórios.</w:t>
            </w:r>
            <w:r w:rsidRPr="00AD1AAB">
              <w:t xml:space="preserve"> Em particular, a fim de assegurar a igualdade de participação na preparação dos atos delegados, o Parlamento Europeu e o Conselho recebem todos os documentos ao mesmo tempo que os peritos dos Estados-Membros, e os respetivos peritos têm sistematicamente acesso às reuniões dos grupos de peritos da Comissão que tratem da preparação dos atos delegados.</w:t>
            </w:r>
          </w:p>
        </w:tc>
      </w:tr>
      <w:tr w:rsidR="004C47D0" w:rsidRPr="00AD1AAB" w14:paraId="0A15CED7" w14:textId="77777777" w:rsidTr="00C21EA8">
        <w:trPr>
          <w:jc w:val="center"/>
        </w:trPr>
        <w:tc>
          <w:tcPr>
            <w:tcW w:w="4876" w:type="dxa"/>
            <w:tcBorders>
              <w:top w:val="nil"/>
              <w:left w:val="nil"/>
              <w:bottom w:val="nil"/>
              <w:right w:val="nil"/>
            </w:tcBorders>
            <w:hideMark/>
          </w:tcPr>
          <w:p w14:paraId="5B781624" w14:textId="77777777" w:rsidR="004C47D0" w:rsidRPr="00AD1AAB" w:rsidRDefault="004C47D0" w:rsidP="00C21EA8">
            <w:pPr>
              <w:pStyle w:val="Normal6a"/>
            </w:pPr>
            <w:r w:rsidRPr="00AD1AAB">
              <w:rPr>
                <w:b/>
                <w:i/>
              </w:rPr>
              <w:lastRenderedPageBreak/>
              <w:t>_________________</w:t>
            </w:r>
          </w:p>
        </w:tc>
        <w:tc>
          <w:tcPr>
            <w:tcW w:w="4876" w:type="dxa"/>
            <w:tcBorders>
              <w:top w:val="nil"/>
              <w:left w:val="nil"/>
              <w:bottom w:val="nil"/>
              <w:right w:val="nil"/>
            </w:tcBorders>
            <w:hideMark/>
          </w:tcPr>
          <w:p w14:paraId="28F64084" w14:textId="77777777" w:rsidR="004C47D0" w:rsidRPr="00AD1AAB" w:rsidRDefault="004C47D0" w:rsidP="00C21EA8">
            <w:pPr>
              <w:pStyle w:val="Normal6a"/>
            </w:pPr>
            <w:r w:rsidRPr="00AD1AAB">
              <w:rPr>
                <w:b/>
                <w:i/>
              </w:rPr>
              <w:t>_________________</w:t>
            </w:r>
          </w:p>
        </w:tc>
      </w:tr>
      <w:tr w:rsidR="004C47D0" w:rsidRPr="00AD1AAB" w14:paraId="7CE6F944" w14:textId="77777777" w:rsidTr="00C21EA8">
        <w:trPr>
          <w:jc w:val="center"/>
        </w:trPr>
        <w:tc>
          <w:tcPr>
            <w:tcW w:w="4876" w:type="dxa"/>
            <w:tcBorders>
              <w:top w:val="nil"/>
              <w:left w:val="nil"/>
              <w:bottom w:val="nil"/>
              <w:right w:val="nil"/>
            </w:tcBorders>
            <w:hideMark/>
          </w:tcPr>
          <w:p w14:paraId="01ACBB24" w14:textId="77777777" w:rsidR="004C47D0" w:rsidRPr="00AD1AAB" w:rsidRDefault="004C47D0" w:rsidP="00C21EA8">
            <w:pPr>
              <w:pStyle w:val="Normal6a"/>
            </w:pPr>
            <w:r w:rsidRPr="00AD1AAB">
              <w:rPr>
                <w:vertAlign w:val="superscript"/>
              </w:rPr>
              <w:t>8</w:t>
            </w:r>
            <w:r w:rsidRPr="00AD1AAB">
              <w:t xml:space="preserve"> JO L 123 de 12.5.2016, p. 1, ELI: http://data.europa.eu/eli/agree_interinstit/2016/512/oj.</w:t>
            </w:r>
          </w:p>
        </w:tc>
        <w:tc>
          <w:tcPr>
            <w:tcW w:w="4876" w:type="dxa"/>
            <w:tcBorders>
              <w:top w:val="nil"/>
              <w:left w:val="nil"/>
              <w:bottom w:val="nil"/>
              <w:right w:val="nil"/>
            </w:tcBorders>
            <w:hideMark/>
          </w:tcPr>
          <w:p w14:paraId="5A940DEC" w14:textId="77777777" w:rsidR="004C47D0" w:rsidRPr="00AD1AAB" w:rsidRDefault="004C47D0" w:rsidP="00C21EA8">
            <w:pPr>
              <w:pStyle w:val="Normal6a"/>
            </w:pPr>
            <w:r w:rsidRPr="00AD1AAB">
              <w:rPr>
                <w:vertAlign w:val="superscript"/>
              </w:rPr>
              <w:t>8</w:t>
            </w:r>
            <w:r w:rsidRPr="00AD1AAB">
              <w:t xml:space="preserve"> JO L 123 de 12.5.2016, p. 1, ELI: http://data.europa.eu/eli/agree_interinstit/2016/512/oj.</w:t>
            </w:r>
          </w:p>
        </w:tc>
      </w:tr>
    </w:tbl>
    <w:p w14:paraId="43F59113" w14:textId="77777777" w:rsidR="004C47D0" w:rsidRPr="00AD1AAB" w:rsidRDefault="004C47D0" w:rsidP="004C47D0"/>
    <w:p w14:paraId="3ECB6AFB" w14:textId="77777777" w:rsidR="004C47D0" w:rsidRPr="00AD1AAB" w:rsidRDefault="004C47D0" w:rsidP="004C47D0">
      <w:pPr>
        <w:pStyle w:val="AmNumberTabs"/>
      </w:pPr>
      <w:r w:rsidRPr="00AD1AAB">
        <w:t>Alteração</w:t>
      </w:r>
      <w:r w:rsidRPr="00AD1AAB">
        <w:tab/>
      </w:r>
      <w:r w:rsidRPr="00AD1AAB">
        <w:tab/>
        <w:t>24</w:t>
      </w:r>
    </w:p>
    <w:p w14:paraId="1CD3FA4D" w14:textId="77777777" w:rsidR="004C47D0" w:rsidRPr="00AD1AAB" w:rsidRDefault="004C47D0" w:rsidP="004C47D0">
      <w:pPr>
        <w:pStyle w:val="AmNumberTabs"/>
      </w:pPr>
      <w:r w:rsidRPr="00AD1AAB">
        <w:t>Proposta de regulamento</w:t>
      </w:r>
    </w:p>
    <w:p w14:paraId="0B360AA8" w14:textId="77777777" w:rsidR="004C47D0" w:rsidRPr="00AD1AAB" w:rsidRDefault="004C47D0" w:rsidP="004C47D0">
      <w:pPr>
        <w:pStyle w:val="NormalBold"/>
      </w:pPr>
      <w:r w:rsidRPr="00AD1AAB">
        <w:t>Considerando 25-A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40E11C2A" w14:textId="77777777" w:rsidTr="00C21EA8">
        <w:trPr>
          <w:trHeight w:val="240"/>
          <w:jc w:val="center"/>
        </w:trPr>
        <w:tc>
          <w:tcPr>
            <w:tcW w:w="9752" w:type="dxa"/>
            <w:gridSpan w:val="2"/>
          </w:tcPr>
          <w:p w14:paraId="334388BA" w14:textId="77777777" w:rsidR="004C47D0" w:rsidRPr="00AD1AAB" w:rsidRDefault="004C47D0" w:rsidP="00C21EA8"/>
        </w:tc>
      </w:tr>
      <w:tr w:rsidR="004C47D0" w:rsidRPr="00AD1AAB" w14:paraId="0B59FC76" w14:textId="77777777" w:rsidTr="00C21EA8">
        <w:trPr>
          <w:trHeight w:val="240"/>
          <w:jc w:val="center"/>
        </w:trPr>
        <w:tc>
          <w:tcPr>
            <w:tcW w:w="4876" w:type="dxa"/>
            <w:hideMark/>
          </w:tcPr>
          <w:p w14:paraId="170253DF" w14:textId="77777777" w:rsidR="004C47D0" w:rsidRPr="00AD1AAB" w:rsidRDefault="004C47D0" w:rsidP="00C21EA8">
            <w:pPr>
              <w:pStyle w:val="AmColumnHeading"/>
            </w:pPr>
            <w:r w:rsidRPr="00AD1AAB">
              <w:t>Texto da Comissão</w:t>
            </w:r>
          </w:p>
        </w:tc>
        <w:tc>
          <w:tcPr>
            <w:tcW w:w="4876" w:type="dxa"/>
            <w:hideMark/>
          </w:tcPr>
          <w:p w14:paraId="4F5858F8" w14:textId="77777777" w:rsidR="004C47D0" w:rsidRPr="00AD1AAB" w:rsidRDefault="004C47D0" w:rsidP="00C21EA8">
            <w:pPr>
              <w:pStyle w:val="AmColumnHeading"/>
            </w:pPr>
            <w:r w:rsidRPr="00AD1AAB">
              <w:t>Alteração</w:t>
            </w:r>
          </w:p>
        </w:tc>
      </w:tr>
      <w:tr w:rsidR="004C47D0" w:rsidRPr="00AD1AAB" w14:paraId="4CD510B0" w14:textId="77777777" w:rsidTr="00C21EA8">
        <w:trPr>
          <w:jc w:val="center"/>
        </w:trPr>
        <w:tc>
          <w:tcPr>
            <w:tcW w:w="4876" w:type="dxa"/>
          </w:tcPr>
          <w:p w14:paraId="1636F098" w14:textId="77777777" w:rsidR="004C47D0" w:rsidRPr="00AD1AAB" w:rsidRDefault="004C47D0" w:rsidP="00C21EA8">
            <w:pPr>
              <w:pStyle w:val="Normal6a"/>
            </w:pPr>
          </w:p>
        </w:tc>
        <w:tc>
          <w:tcPr>
            <w:tcW w:w="4876" w:type="dxa"/>
            <w:hideMark/>
          </w:tcPr>
          <w:p w14:paraId="54B8B3C3" w14:textId="77777777" w:rsidR="004C47D0" w:rsidRPr="00AD1AAB" w:rsidRDefault="004C47D0" w:rsidP="00C21EA8">
            <w:pPr>
              <w:pStyle w:val="Normal6a"/>
              <w:rPr>
                <w:b/>
                <w:bCs/>
                <w:i/>
                <w:iCs/>
              </w:rPr>
            </w:pPr>
            <w:r w:rsidRPr="00AD1AAB">
              <w:rPr>
                <w:b/>
                <w:i/>
              </w:rPr>
              <w:t>(25-A)</w:t>
            </w:r>
            <w:r w:rsidRPr="00AD1AAB">
              <w:tab/>
            </w:r>
            <w:r w:rsidRPr="00AD1AAB">
              <w:rPr>
                <w:b/>
                <w:i/>
              </w:rPr>
              <w:t>Em consonância com o Regulamento (UE) 2025/1153 do Parlamento Europeu e do Conselho</w:t>
            </w:r>
            <w:r w:rsidRPr="00AD1AAB">
              <w:rPr>
                <w:b/>
                <w:i/>
                <w:vertAlign w:val="superscript"/>
              </w:rPr>
              <w:t>1-A</w:t>
            </w:r>
            <w:r w:rsidRPr="00AD1AAB">
              <w:rPr>
                <w:b/>
                <w:i/>
              </w:rPr>
              <w:t xml:space="preserve"> e com o compromisso da União de apoiar a </w:t>
            </w:r>
            <w:r w:rsidRPr="00AD1AAB">
              <w:rPr>
                <w:b/>
                <w:i/>
              </w:rPr>
              <w:lastRenderedPageBreak/>
              <w:t>economia da Ucrânia durante a guerra de agressão em curso por parte da Rússia, e tendo em conta o papel estratégico da Ucrânia na cadeia de abastecimento de aço da União, a Comissão deve velar por que a conceção e a execução da atribuição de contingentes reflitam plenamente o estatuto de país candidato da Ucrânia e a sua importância vital para a estabilidade do mercado do aço da União, preservando simultaneamente a eficácia e a integridade do presente regulamento.</w:t>
            </w:r>
          </w:p>
        </w:tc>
      </w:tr>
      <w:tr w:rsidR="004C47D0" w:rsidRPr="00AD1AAB" w14:paraId="190B13AB" w14:textId="77777777" w:rsidTr="00C21EA8">
        <w:trPr>
          <w:jc w:val="center"/>
        </w:trPr>
        <w:tc>
          <w:tcPr>
            <w:tcW w:w="4876" w:type="dxa"/>
          </w:tcPr>
          <w:p w14:paraId="24EE0967" w14:textId="77777777" w:rsidR="004C47D0" w:rsidRPr="00AD1AAB" w:rsidRDefault="004C47D0" w:rsidP="00C21EA8">
            <w:pPr>
              <w:pStyle w:val="Normal6a"/>
            </w:pPr>
          </w:p>
        </w:tc>
        <w:tc>
          <w:tcPr>
            <w:tcW w:w="4876" w:type="dxa"/>
          </w:tcPr>
          <w:p w14:paraId="5AEB899C" w14:textId="77777777" w:rsidR="004C47D0" w:rsidRPr="00AD1AAB" w:rsidRDefault="004C47D0" w:rsidP="00C21EA8">
            <w:pPr>
              <w:pStyle w:val="Normal6a"/>
              <w:rPr>
                <w:bCs/>
                <w:iCs/>
              </w:rPr>
            </w:pPr>
            <w:r w:rsidRPr="00AD1AAB">
              <w:t>__________</w:t>
            </w:r>
          </w:p>
        </w:tc>
      </w:tr>
      <w:tr w:rsidR="004C47D0" w:rsidRPr="00AD1AAB" w14:paraId="1F2BD7B5" w14:textId="77777777" w:rsidTr="00C21EA8">
        <w:trPr>
          <w:jc w:val="center"/>
        </w:trPr>
        <w:tc>
          <w:tcPr>
            <w:tcW w:w="4876" w:type="dxa"/>
          </w:tcPr>
          <w:p w14:paraId="58FE5379" w14:textId="77777777" w:rsidR="004C47D0" w:rsidRPr="00AD1AAB" w:rsidRDefault="004C47D0" w:rsidP="00C21EA8">
            <w:pPr>
              <w:pStyle w:val="Normal6a"/>
              <w:rPr>
                <w:szCs w:val="24"/>
              </w:rPr>
            </w:pPr>
          </w:p>
        </w:tc>
        <w:tc>
          <w:tcPr>
            <w:tcW w:w="4876" w:type="dxa"/>
          </w:tcPr>
          <w:p w14:paraId="2FD52652" w14:textId="77777777" w:rsidR="004C47D0" w:rsidRPr="00AD1AAB" w:rsidRDefault="004C47D0" w:rsidP="00C21EA8">
            <w:pPr>
              <w:pStyle w:val="Normal6a"/>
              <w:rPr>
                <w:bCs/>
                <w:iCs/>
                <w:szCs w:val="24"/>
              </w:rPr>
            </w:pPr>
            <w:r w:rsidRPr="00AD1AAB">
              <w:rPr>
                <w:b/>
                <w:i/>
                <w:iCs/>
                <w:vertAlign w:val="superscript"/>
              </w:rPr>
              <w:t>1-A</w:t>
            </w:r>
            <w:r w:rsidRPr="00AD1AAB">
              <w:rPr>
                <w:b/>
                <w:i/>
                <w:iCs/>
              </w:rPr>
              <w:t xml:space="preserve"> Regulamento (UE) 2025/1153 do Parlamento Europeu e do Conselho, de 5 de junho de 2025, que suspende determinadas disposições do Regulamento (UE) 2015/478 no que diz respeito às importações de produtos ucranianos para a União (</w:t>
            </w:r>
            <w:r w:rsidRPr="00AD1AAB">
              <w:rPr>
                <w:rStyle w:val="Emphasis"/>
                <w:b/>
                <w:shd w:val="clear" w:color="auto" w:fill="FFFFFF"/>
              </w:rPr>
              <w:t>JO L, 2025/1153, 5.6.2025, ELI: </w:t>
            </w:r>
            <w:hyperlink r:id="rId8" w:tgtFrame="_blank" w:tooltip="Permite aceder ao documento através do seu identificador ELI." w:history="1">
              <w:r w:rsidRPr="00AD1AAB">
                <w:rPr>
                  <w:rStyle w:val="Hyperlink"/>
                  <w:b/>
                  <w:i/>
                </w:rPr>
                <w:t>http://data.europa.eu/eli/reg/2025/1153/oj</w:t>
              </w:r>
            </w:hyperlink>
            <w:r w:rsidRPr="00AD1AAB">
              <w:rPr>
                <w:b/>
                <w:i/>
              </w:rPr>
              <w:t>).</w:t>
            </w:r>
          </w:p>
        </w:tc>
      </w:tr>
    </w:tbl>
    <w:p w14:paraId="6FFEEBE7" w14:textId="77777777" w:rsidR="004C47D0" w:rsidRPr="00AD1AAB" w:rsidRDefault="004C47D0" w:rsidP="004C47D0"/>
    <w:p w14:paraId="21AD031E" w14:textId="77777777" w:rsidR="004C47D0" w:rsidRPr="00AD1AAB" w:rsidRDefault="004C47D0" w:rsidP="004C47D0">
      <w:pPr>
        <w:pStyle w:val="AmNumberTabs"/>
      </w:pPr>
      <w:r w:rsidRPr="00AD1AAB">
        <w:t>Alteração</w:t>
      </w:r>
      <w:r w:rsidRPr="00AD1AAB">
        <w:tab/>
      </w:r>
      <w:r w:rsidRPr="00AD1AAB">
        <w:tab/>
        <w:t>25</w:t>
      </w:r>
    </w:p>
    <w:p w14:paraId="055D55AB" w14:textId="77777777" w:rsidR="004C47D0" w:rsidRPr="00AD1AAB" w:rsidRDefault="004C47D0" w:rsidP="004C47D0">
      <w:pPr>
        <w:pStyle w:val="NormalBold12b"/>
      </w:pPr>
      <w:r w:rsidRPr="00AD1AAB">
        <w:t>Proposta de regulamento</w:t>
      </w:r>
    </w:p>
    <w:p w14:paraId="68AC2456" w14:textId="77777777" w:rsidR="004C47D0" w:rsidRPr="00AD1AAB" w:rsidRDefault="004C47D0" w:rsidP="004C47D0">
      <w:pPr>
        <w:pStyle w:val="NormalBold"/>
      </w:pPr>
      <w:r w:rsidRPr="00AD1AAB">
        <w:t>Considerando 25-B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7D0" w:rsidRPr="00AD1AAB" w14:paraId="69560BBA" w14:textId="77777777" w:rsidTr="00C21EA8">
        <w:trPr>
          <w:trHeight w:val="240"/>
          <w:jc w:val="center"/>
        </w:trPr>
        <w:tc>
          <w:tcPr>
            <w:tcW w:w="9752" w:type="dxa"/>
            <w:gridSpan w:val="2"/>
            <w:tcBorders>
              <w:top w:val="nil"/>
              <w:left w:val="nil"/>
              <w:bottom w:val="nil"/>
              <w:right w:val="nil"/>
            </w:tcBorders>
          </w:tcPr>
          <w:p w14:paraId="2EFADF52" w14:textId="77777777" w:rsidR="004C47D0" w:rsidRPr="00AD1AAB" w:rsidRDefault="004C47D0" w:rsidP="00C21EA8"/>
        </w:tc>
      </w:tr>
      <w:tr w:rsidR="004C47D0" w:rsidRPr="00AD1AAB" w14:paraId="75B84BF3" w14:textId="77777777" w:rsidTr="00C21EA8">
        <w:trPr>
          <w:trHeight w:val="240"/>
          <w:jc w:val="center"/>
        </w:trPr>
        <w:tc>
          <w:tcPr>
            <w:tcW w:w="4876" w:type="dxa"/>
            <w:tcBorders>
              <w:top w:val="nil"/>
              <w:left w:val="nil"/>
              <w:bottom w:val="nil"/>
              <w:right w:val="nil"/>
            </w:tcBorders>
            <w:hideMark/>
          </w:tcPr>
          <w:p w14:paraId="250CCE97" w14:textId="77777777" w:rsidR="004C47D0" w:rsidRPr="00AD1AAB" w:rsidRDefault="004C47D0" w:rsidP="00C21EA8">
            <w:pPr>
              <w:pStyle w:val="AmColumnHeading"/>
            </w:pPr>
            <w:r w:rsidRPr="00AD1AAB">
              <w:t>Texto da Comissão</w:t>
            </w:r>
          </w:p>
        </w:tc>
        <w:tc>
          <w:tcPr>
            <w:tcW w:w="4876" w:type="dxa"/>
            <w:tcBorders>
              <w:top w:val="nil"/>
              <w:left w:val="nil"/>
              <w:bottom w:val="nil"/>
              <w:right w:val="nil"/>
            </w:tcBorders>
            <w:hideMark/>
          </w:tcPr>
          <w:p w14:paraId="775E3F88" w14:textId="77777777" w:rsidR="004C47D0" w:rsidRPr="00AD1AAB" w:rsidRDefault="004C47D0" w:rsidP="00C21EA8">
            <w:pPr>
              <w:pStyle w:val="AmColumnHeading"/>
            </w:pPr>
            <w:r w:rsidRPr="00AD1AAB">
              <w:t>Alteração</w:t>
            </w:r>
          </w:p>
        </w:tc>
      </w:tr>
      <w:tr w:rsidR="004C47D0" w:rsidRPr="00AD1AAB" w14:paraId="26747048" w14:textId="77777777" w:rsidTr="00C21EA8">
        <w:trPr>
          <w:jc w:val="center"/>
        </w:trPr>
        <w:tc>
          <w:tcPr>
            <w:tcW w:w="4876" w:type="dxa"/>
            <w:tcBorders>
              <w:top w:val="nil"/>
              <w:left w:val="nil"/>
              <w:bottom w:val="nil"/>
              <w:right w:val="nil"/>
            </w:tcBorders>
          </w:tcPr>
          <w:p w14:paraId="3A4699BF" w14:textId="77777777" w:rsidR="004C47D0" w:rsidRPr="00AD1AAB" w:rsidRDefault="004C47D0" w:rsidP="00C21EA8">
            <w:pPr>
              <w:pStyle w:val="Normal6a"/>
            </w:pPr>
          </w:p>
        </w:tc>
        <w:tc>
          <w:tcPr>
            <w:tcW w:w="4876" w:type="dxa"/>
            <w:tcBorders>
              <w:top w:val="nil"/>
              <w:left w:val="nil"/>
              <w:bottom w:val="nil"/>
              <w:right w:val="nil"/>
            </w:tcBorders>
            <w:hideMark/>
          </w:tcPr>
          <w:p w14:paraId="41850097" w14:textId="77777777" w:rsidR="004C47D0" w:rsidRPr="00AD1AAB" w:rsidRDefault="004C47D0" w:rsidP="00C21EA8">
            <w:pPr>
              <w:pStyle w:val="Normal6a"/>
            </w:pPr>
            <w:r w:rsidRPr="00AD1AAB">
              <w:rPr>
                <w:b/>
                <w:i/>
              </w:rPr>
              <w:t>(25-B)</w:t>
            </w:r>
            <w:r w:rsidRPr="00AD1AAB">
              <w:tab/>
            </w:r>
            <w:r w:rsidRPr="00AD1AAB">
              <w:rPr>
                <w:b/>
                <w:i/>
              </w:rPr>
              <w:t>Considerando que vários países terceiros adotaram medidas restritivas do comércio que afetam diretamente as exportações de produtos siderúrgicos da União, a Comissão deve ter em conta estas medidas restritivas do comércio.</w:t>
            </w:r>
          </w:p>
        </w:tc>
      </w:tr>
    </w:tbl>
    <w:p w14:paraId="5C044250" w14:textId="77777777" w:rsidR="004C47D0" w:rsidRPr="00AD1AAB" w:rsidRDefault="004C47D0" w:rsidP="004C47D0">
      <w:pPr>
        <w:pStyle w:val="AmJustText"/>
      </w:pPr>
    </w:p>
    <w:p w14:paraId="2A70CDD5" w14:textId="77777777" w:rsidR="004C47D0" w:rsidRPr="00AD1AAB" w:rsidRDefault="004C47D0" w:rsidP="004C47D0"/>
    <w:p w14:paraId="449524E4" w14:textId="77777777" w:rsidR="004C47D0" w:rsidRPr="00AD1AAB" w:rsidRDefault="004C47D0" w:rsidP="004C47D0">
      <w:pPr>
        <w:pStyle w:val="AmNumberTabs"/>
      </w:pPr>
      <w:r w:rsidRPr="00AD1AAB">
        <w:t>Alteração</w:t>
      </w:r>
      <w:r w:rsidRPr="00AD1AAB">
        <w:tab/>
      </w:r>
      <w:r w:rsidRPr="00AD1AAB">
        <w:tab/>
        <w:t>26</w:t>
      </w:r>
    </w:p>
    <w:p w14:paraId="28B527BB" w14:textId="77777777" w:rsidR="004C47D0" w:rsidRPr="00AD1AAB" w:rsidRDefault="004C47D0" w:rsidP="004C47D0">
      <w:pPr>
        <w:pStyle w:val="NormalBold12b"/>
      </w:pPr>
      <w:r w:rsidRPr="00AD1AAB">
        <w:t>Proposta de regulamento</w:t>
      </w:r>
    </w:p>
    <w:p w14:paraId="48C1EFCC" w14:textId="77777777" w:rsidR="004C47D0" w:rsidRPr="00AD1AAB" w:rsidRDefault="004C47D0" w:rsidP="004C47D0">
      <w:pPr>
        <w:pStyle w:val="NormalBold"/>
      </w:pPr>
      <w:r w:rsidRPr="00AD1AAB">
        <w:t>Considerando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0CD847B3" w14:textId="77777777" w:rsidTr="00C21EA8">
        <w:trPr>
          <w:trHeight w:val="240"/>
          <w:jc w:val="center"/>
        </w:trPr>
        <w:tc>
          <w:tcPr>
            <w:tcW w:w="9752" w:type="dxa"/>
            <w:gridSpan w:val="2"/>
          </w:tcPr>
          <w:p w14:paraId="53194E28" w14:textId="77777777" w:rsidR="004C47D0" w:rsidRPr="00AD1AAB" w:rsidRDefault="004C47D0" w:rsidP="00C21EA8"/>
        </w:tc>
      </w:tr>
      <w:tr w:rsidR="004C47D0" w:rsidRPr="00AD1AAB" w14:paraId="01AF3FFF" w14:textId="77777777" w:rsidTr="00C21EA8">
        <w:trPr>
          <w:trHeight w:val="240"/>
          <w:jc w:val="center"/>
        </w:trPr>
        <w:tc>
          <w:tcPr>
            <w:tcW w:w="4876" w:type="dxa"/>
            <w:hideMark/>
          </w:tcPr>
          <w:p w14:paraId="60435878" w14:textId="77777777" w:rsidR="004C47D0" w:rsidRPr="00AD1AAB" w:rsidRDefault="004C47D0" w:rsidP="00C21EA8">
            <w:pPr>
              <w:pStyle w:val="AmColumnHeading"/>
            </w:pPr>
            <w:r w:rsidRPr="00AD1AAB">
              <w:lastRenderedPageBreak/>
              <w:t>Texto da Comissão</w:t>
            </w:r>
          </w:p>
        </w:tc>
        <w:tc>
          <w:tcPr>
            <w:tcW w:w="4876" w:type="dxa"/>
            <w:hideMark/>
          </w:tcPr>
          <w:p w14:paraId="12A5E783" w14:textId="77777777" w:rsidR="004C47D0" w:rsidRPr="00AD1AAB" w:rsidRDefault="004C47D0" w:rsidP="00C21EA8">
            <w:pPr>
              <w:pStyle w:val="AmColumnHeading"/>
            </w:pPr>
            <w:r w:rsidRPr="00AD1AAB">
              <w:t>Alteração</w:t>
            </w:r>
          </w:p>
        </w:tc>
      </w:tr>
      <w:tr w:rsidR="004C47D0" w:rsidRPr="00AD1AAB" w14:paraId="5F5D8ABB" w14:textId="77777777" w:rsidTr="00C21EA8">
        <w:trPr>
          <w:jc w:val="center"/>
        </w:trPr>
        <w:tc>
          <w:tcPr>
            <w:tcW w:w="4876" w:type="dxa"/>
          </w:tcPr>
          <w:p w14:paraId="3B36BDFA" w14:textId="77777777" w:rsidR="004C47D0" w:rsidRPr="00AD1AAB" w:rsidRDefault="004C47D0" w:rsidP="00C21EA8">
            <w:pPr>
              <w:pStyle w:val="Normal6a"/>
            </w:pPr>
            <w:r w:rsidRPr="00AD1AAB">
              <w:t>26.</w:t>
            </w:r>
            <w:r w:rsidRPr="00AD1AAB">
              <w:rPr>
                <w:b/>
                <w:i/>
              </w:rPr>
              <w:tab/>
              <w:t xml:space="preserve"> </w:t>
            </w:r>
            <w:r w:rsidRPr="00AD1AAB">
              <w:t xml:space="preserve">A </w:t>
            </w:r>
            <w:r w:rsidRPr="00AD1AAB">
              <w:rPr>
                <w:b/>
                <w:i/>
              </w:rPr>
              <w:t>Comissão deve avaliar</w:t>
            </w:r>
            <w:r w:rsidRPr="00AD1AAB">
              <w:t xml:space="preserve">, o mais </w:t>
            </w:r>
            <w:r w:rsidRPr="00AD1AAB">
              <w:rPr>
                <w:b/>
                <w:i/>
              </w:rPr>
              <w:t>tardar</w:t>
            </w:r>
            <w:r w:rsidRPr="00AD1AAB">
              <w:t xml:space="preserve"> no prazo de </w:t>
            </w:r>
            <w:r w:rsidRPr="00AD1AAB">
              <w:rPr>
                <w:b/>
                <w:i/>
              </w:rPr>
              <w:t>2 anos a contar da</w:t>
            </w:r>
            <w:r w:rsidRPr="00AD1AAB">
              <w:t xml:space="preserve"> adoção do presente regulamento, a necessidade de ajustar o âmbito dos produtos abrangidos pelo presente regulamento e, se for caso disso, </w:t>
            </w:r>
            <w:r w:rsidRPr="00AD1AAB">
              <w:rPr>
                <w:b/>
                <w:i/>
              </w:rPr>
              <w:t xml:space="preserve">ponderar a possibilidade de </w:t>
            </w:r>
            <w:r w:rsidRPr="00AD1AAB">
              <w:t>apresentar uma proposta legislativa para acrescentar</w:t>
            </w:r>
            <w:r w:rsidRPr="00AD1AAB">
              <w:rPr>
                <w:b/>
                <w:i/>
              </w:rPr>
              <w:t xml:space="preserve"> outros</w:t>
            </w:r>
            <w:r w:rsidRPr="00AD1AAB">
              <w:t xml:space="preserve"> produtos siderúrgicos, incluindo produtos fabricados com aço ou que contenham uma quantidade significativa de aço.</w:t>
            </w:r>
          </w:p>
        </w:tc>
        <w:tc>
          <w:tcPr>
            <w:tcW w:w="4876" w:type="dxa"/>
            <w:hideMark/>
          </w:tcPr>
          <w:p w14:paraId="3E22FD55" w14:textId="118012BD" w:rsidR="004C47D0" w:rsidRPr="00AD1AAB" w:rsidRDefault="004C47D0" w:rsidP="00C21EA8">
            <w:pPr>
              <w:pStyle w:val="Normal6a"/>
              <w:rPr>
                <w:b/>
                <w:i/>
              </w:rPr>
            </w:pPr>
            <w:r w:rsidRPr="00AD1AAB">
              <w:t>26.</w:t>
            </w:r>
            <w:r w:rsidRPr="00AD1AAB">
              <w:tab/>
            </w:r>
            <w:r w:rsidRPr="00AD1AAB">
              <w:rPr>
                <w:b/>
                <w:i/>
              </w:rPr>
              <w:t>A indústria da União de transformação do aço, composta por milhares de PME que transformam aço em bens especializados de elevado valor, reveste-se de uma importância vital para todo o setor siderúrgico da União. À semelhança dos produtores de aço primário da União, a indústria siderúrgica a jusante da União é cada vez mais exposta a importações baratas provenientes de países terceiros, em que os produtores-exportadores beneficiam de subsídios estatais ilegais, de normas ambientais menos rigorosas e de uma eliminação artificial dos custos da energia ou dos fatores de produção. Reconhecendo a urgência desta situação, a Comissão deve determinar,</w:t>
            </w:r>
            <w:r w:rsidRPr="00AD1AAB">
              <w:t xml:space="preserve"> no prazo de </w:t>
            </w:r>
            <w:r w:rsidRPr="00AD1AAB">
              <w:rPr>
                <w:b/>
                <w:i/>
              </w:rPr>
              <w:t>seis meses após a</w:t>
            </w:r>
            <w:r w:rsidRPr="00AD1AAB">
              <w:t xml:space="preserve"> adoção do presente regulamento, a necessidade de ajustar o âmbito dos produtos abrangidos pelo presente regulamento e, se for caso disso, </w:t>
            </w:r>
            <w:r w:rsidRPr="00AD1AAB">
              <w:rPr>
                <w:b/>
                <w:i/>
              </w:rPr>
              <w:t xml:space="preserve">apresentar </w:t>
            </w:r>
            <w:r w:rsidRPr="00AD1AAB">
              <w:t>uma proposta legislativa</w:t>
            </w:r>
            <w:r w:rsidRPr="00AD1AAB">
              <w:rPr>
                <w:b/>
                <w:i/>
              </w:rPr>
              <w:t>, o mais tardar um ano após a adoção do presente regulamento,</w:t>
            </w:r>
            <w:r w:rsidRPr="00AD1AAB">
              <w:t xml:space="preserve"> para acrescentar produtos siderúrgicos, incluindo produtos fabricados com aço ou que contenham uma quantidade significativa de aço. </w:t>
            </w:r>
            <w:r w:rsidRPr="00AD1AAB">
              <w:rPr>
                <w:b/>
                <w:i/>
              </w:rPr>
              <w:t xml:space="preserve">A fim de garantir a eficácia do presente regulamento, é essencial, no âmbito desta avaliação, analisar cuidadosamente se as questões que o presente regulamento procura solucionar estão mesmo a ser resolvidas e não a ser inadvertidamente transferidas para outra fase da cadeia de valor. Essa avaliação deve ter em conta, nomeadamente, as fundições, o impacto potencial da evolução das medidas comerciais mundiais que podem redirecionar os fluxos comerciais para a União e a situação dos setores a jusante cuja competitividade — incluindo a das PME — possa ser prejudicada. Na sequência desta avaliação inicial, a Comissão deve realizar avaliações subsequentes semestralmente, ou antes, caso perturbações significativas do </w:t>
            </w:r>
            <w:r w:rsidRPr="00AD1AAB">
              <w:rPr>
                <w:b/>
                <w:i/>
              </w:rPr>
              <w:lastRenderedPageBreak/>
              <w:t>mercado ou mudanças súbitas nos padrões comerciais mundiais o justifiquem.</w:t>
            </w:r>
            <w:r w:rsidRPr="00AD1AAB">
              <w:t xml:space="preserve"> </w:t>
            </w:r>
          </w:p>
        </w:tc>
      </w:tr>
    </w:tbl>
    <w:p w14:paraId="22A01482" w14:textId="77777777" w:rsidR="004C47D0" w:rsidRPr="00AD1AAB" w:rsidRDefault="004C47D0" w:rsidP="004C47D0"/>
    <w:p w14:paraId="723F7A44" w14:textId="77777777" w:rsidR="004C47D0" w:rsidRPr="00AD1AAB" w:rsidRDefault="004C47D0" w:rsidP="004C47D0">
      <w:pPr>
        <w:pStyle w:val="AmNumberTabs"/>
      </w:pPr>
    </w:p>
    <w:p w14:paraId="08428801" w14:textId="77777777" w:rsidR="004C47D0" w:rsidRPr="00AD1AAB" w:rsidRDefault="004C47D0" w:rsidP="004C47D0">
      <w:pPr>
        <w:pStyle w:val="AmNumberTabs"/>
      </w:pPr>
      <w:r w:rsidRPr="00AD1AAB">
        <w:t>Alteração</w:t>
      </w:r>
      <w:r w:rsidRPr="00AD1AAB">
        <w:tab/>
      </w:r>
      <w:r w:rsidRPr="00AD1AAB">
        <w:tab/>
        <w:t>27</w:t>
      </w:r>
    </w:p>
    <w:p w14:paraId="7B68473B" w14:textId="77777777" w:rsidR="004C47D0" w:rsidRPr="00AD1AAB" w:rsidRDefault="004C47D0" w:rsidP="004C47D0">
      <w:pPr>
        <w:pStyle w:val="NormalBold12b"/>
      </w:pPr>
      <w:r w:rsidRPr="00AD1AAB">
        <w:t>Proposta de regulamento</w:t>
      </w:r>
    </w:p>
    <w:p w14:paraId="6A819D77" w14:textId="77777777" w:rsidR="004C47D0" w:rsidRPr="00AD1AAB" w:rsidRDefault="004C47D0" w:rsidP="004C47D0">
      <w:pPr>
        <w:pStyle w:val="NormalBold"/>
      </w:pPr>
      <w:r w:rsidRPr="00AD1AAB">
        <w:t>Considerando 26-A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7857CB23" w14:textId="77777777" w:rsidTr="00C21EA8">
        <w:trPr>
          <w:trHeight w:val="240"/>
          <w:jc w:val="center"/>
        </w:trPr>
        <w:tc>
          <w:tcPr>
            <w:tcW w:w="9752" w:type="dxa"/>
            <w:gridSpan w:val="2"/>
          </w:tcPr>
          <w:p w14:paraId="0982C1F7" w14:textId="77777777" w:rsidR="004C47D0" w:rsidRPr="00AD1AAB" w:rsidRDefault="004C47D0" w:rsidP="00C21EA8"/>
        </w:tc>
      </w:tr>
      <w:tr w:rsidR="004C47D0" w:rsidRPr="00AD1AAB" w14:paraId="224DBFF9" w14:textId="77777777" w:rsidTr="00C21EA8">
        <w:trPr>
          <w:trHeight w:val="240"/>
          <w:jc w:val="center"/>
        </w:trPr>
        <w:tc>
          <w:tcPr>
            <w:tcW w:w="4876" w:type="dxa"/>
            <w:hideMark/>
          </w:tcPr>
          <w:p w14:paraId="5B18F693" w14:textId="77777777" w:rsidR="004C47D0" w:rsidRPr="00AD1AAB" w:rsidRDefault="004C47D0" w:rsidP="00C21EA8">
            <w:pPr>
              <w:pStyle w:val="AmColumnHeading"/>
            </w:pPr>
            <w:r w:rsidRPr="00AD1AAB">
              <w:t>Texto da Comissão</w:t>
            </w:r>
          </w:p>
        </w:tc>
        <w:tc>
          <w:tcPr>
            <w:tcW w:w="4876" w:type="dxa"/>
            <w:hideMark/>
          </w:tcPr>
          <w:p w14:paraId="67B83ECA" w14:textId="77777777" w:rsidR="004C47D0" w:rsidRPr="00AD1AAB" w:rsidRDefault="004C47D0" w:rsidP="00C21EA8">
            <w:pPr>
              <w:pStyle w:val="AmColumnHeading"/>
            </w:pPr>
            <w:r w:rsidRPr="00AD1AAB">
              <w:t>Alteração</w:t>
            </w:r>
          </w:p>
        </w:tc>
      </w:tr>
      <w:tr w:rsidR="004C47D0" w:rsidRPr="00AD1AAB" w14:paraId="1E2CD61A" w14:textId="77777777" w:rsidTr="00C21EA8">
        <w:trPr>
          <w:jc w:val="center"/>
        </w:trPr>
        <w:tc>
          <w:tcPr>
            <w:tcW w:w="4876" w:type="dxa"/>
          </w:tcPr>
          <w:p w14:paraId="1BCA7F36" w14:textId="77777777" w:rsidR="004C47D0" w:rsidRPr="00AD1AAB" w:rsidRDefault="004C47D0" w:rsidP="00C21EA8">
            <w:pPr>
              <w:pStyle w:val="Normal6a"/>
            </w:pPr>
          </w:p>
        </w:tc>
        <w:tc>
          <w:tcPr>
            <w:tcW w:w="4876" w:type="dxa"/>
            <w:hideMark/>
          </w:tcPr>
          <w:p w14:paraId="427F0698" w14:textId="77777777" w:rsidR="004C47D0" w:rsidRPr="00AD1AAB" w:rsidRDefault="004C47D0" w:rsidP="00C21EA8">
            <w:pPr>
              <w:pStyle w:val="Normal6a"/>
            </w:pPr>
            <w:r w:rsidRPr="00AD1AAB">
              <w:rPr>
                <w:b/>
                <w:i/>
              </w:rPr>
              <w:t>(26-A)</w:t>
            </w:r>
            <w:r w:rsidRPr="00AD1AAB">
              <w:tab/>
            </w:r>
            <w:r w:rsidRPr="00AD1AAB">
              <w:rPr>
                <w:b/>
                <w:i/>
              </w:rPr>
              <w:t>A Comissão deve elaborar um relatório anual sobre a execução do presente regulamento e apresentá-lo ao Parlamento Europeu e ao Conselho. Esse relatório anual deve conter, nomeadamente, informações sobre a utilização e a evolução dos contingentes, bem como sobre a categoria e o volume das importações às quais se aplica um direito de 50 %. O relatório é tornado público.</w:t>
            </w:r>
          </w:p>
        </w:tc>
      </w:tr>
    </w:tbl>
    <w:p w14:paraId="391E77F7" w14:textId="77777777" w:rsidR="004C47D0" w:rsidRPr="00AD1AAB" w:rsidRDefault="004C47D0" w:rsidP="004C47D0"/>
    <w:p w14:paraId="60ED145F" w14:textId="77777777" w:rsidR="004C47D0" w:rsidRPr="00AD1AAB" w:rsidRDefault="004C47D0" w:rsidP="004C47D0">
      <w:pPr>
        <w:pStyle w:val="AmNumberTabs"/>
        <w:rPr>
          <w:rStyle w:val="Normal6Char"/>
        </w:rPr>
      </w:pPr>
      <w:r w:rsidRPr="00AD1AAB">
        <w:t>Alteração</w:t>
      </w:r>
      <w:r w:rsidRPr="00AD1AAB">
        <w:tab/>
      </w:r>
      <w:r w:rsidRPr="00AD1AAB">
        <w:tab/>
        <w:t>28</w:t>
      </w:r>
    </w:p>
    <w:p w14:paraId="023371F5" w14:textId="77777777" w:rsidR="004C47D0" w:rsidRPr="00AD1AAB" w:rsidRDefault="004C47D0" w:rsidP="004C47D0">
      <w:pPr>
        <w:pStyle w:val="AmNumberTabs"/>
        <w:rPr>
          <w:rStyle w:val="Normal6Char"/>
        </w:rPr>
      </w:pPr>
      <w:r w:rsidRPr="00AD1AAB">
        <w:t>Proposta de regulamento</w:t>
      </w:r>
    </w:p>
    <w:p w14:paraId="0AA777A2" w14:textId="77777777" w:rsidR="004C47D0" w:rsidRPr="00AD1AAB" w:rsidRDefault="004C47D0" w:rsidP="004C47D0">
      <w:pPr>
        <w:pStyle w:val="NormalBold"/>
      </w:pPr>
      <w:r w:rsidRPr="00AD1AAB">
        <w:t>Considerando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3ED91639" w14:textId="77777777" w:rsidTr="00C21EA8">
        <w:trPr>
          <w:trHeight w:val="240"/>
          <w:jc w:val="center"/>
        </w:trPr>
        <w:tc>
          <w:tcPr>
            <w:tcW w:w="9752" w:type="dxa"/>
            <w:gridSpan w:val="2"/>
          </w:tcPr>
          <w:p w14:paraId="55A53B19" w14:textId="77777777" w:rsidR="004C47D0" w:rsidRPr="00AD1AAB" w:rsidRDefault="004C47D0" w:rsidP="00C21EA8"/>
        </w:tc>
      </w:tr>
      <w:tr w:rsidR="004C47D0" w:rsidRPr="00AD1AAB" w14:paraId="324AA834" w14:textId="77777777" w:rsidTr="00C21EA8">
        <w:trPr>
          <w:trHeight w:val="240"/>
          <w:jc w:val="center"/>
        </w:trPr>
        <w:tc>
          <w:tcPr>
            <w:tcW w:w="4876" w:type="dxa"/>
            <w:hideMark/>
          </w:tcPr>
          <w:p w14:paraId="293665B2" w14:textId="77777777" w:rsidR="004C47D0" w:rsidRPr="00AD1AAB" w:rsidRDefault="004C47D0" w:rsidP="00C21EA8">
            <w:pPr>
              <w:pStyle w:val="AmColumnHeading"/>
            </w:pPr>
            <w:r w:rsidRPr="00AD1AAB">
              <w:t>Texto da Comissão</w:t>
            </w:r>
          </w:p>
        </w:tc>
        <w:tc>
          <w:tcPr>
            <w:tcW w:w="4876" w:type="dxa"/>
            <w:hideMark/>
          </w:tcPr>
          <w:p w14:paraId="26E8211A" w14:textId="77777777" w:rsidR="004C47D0" w:rsidRPr="00AD1AAB" w:rsidRDefault="004C47D0" w:rsidP="00C21EA8">
            <w:pPr>
              <w:pStyle w:val="AmColumnHeading"/>
            </w:pPr>
            <w:r w:rsidRPr="00AD1AAB">
              <w:t>Alteração</w:t>
            </w:r>
          </w:p>
        </w:tc>
      </w:tr>
      <w:tr w:rsidR="004C47D0" w:rsidRPr="00AD1AAB" w14:paraId="5D02FAC2" w14:textId="77777777" w:rsidTr="00C21EA8">
        <w:trPr>
          <w:jc w:val="center"/>
        </w:trPr>
        <w:tc>
          <w:tcPr>
            <w:tcW w:w="4876" w:type="dxa"/>
          </w:tcPr>
          <w:p w14:paraId="7523B0D9" w14:textId="77777777" w:rsidR="004C47D0" w:rsidRPr="00AD1AAB" w:rsidRDefault="004C47D0" w:rsidP="00C21EA8">
            <w:pPr>
              <w:pStyle w:val="Normal6a"/>
            </w:pPr>
            <w:r w:rsidRPr="00AD1AAB">
              <w:t>(27)</w:t>
            </w:r>
            <w:r w:rsidRPr="00AD1AAB">
              <w:rPr>
                <w:b/>
                <w:i/>
              </w:rPr>
              <w:tab/>
            </w:r>
            <w:r w:rsidRPr="00AD1AAB">
              <w:t xml:space="preserve">Antes de </w:t>
            </w:r>
            <w:r w:rsidRPr="00AD1AAB">
              <w:rPr>
                <w:b/>
                <w:i/>
              </w:rPr>
              <w:t>1</w:t>
            </w:r>
            <w:r w:rsidRPr="00AD1AAB">
              <w:t xml:space="preserve"> de </w:t>
            </w:r>
            <w:r w:rsidRPr="00AD1AAB">
              <w:rPr>
                <w:b/>
                <w:i/>
              </w:rPr>
              <w:t>julho</w:t>
            </w:r>
            <w:r w:rsidRPr="00AD1AAB">
              <w:t xml:space="preserve"> de </w:t>
            </w:r>
            <w:r w:rsidRPr="00AD1AAB">
              <w:rPr>
                <w:b/>
                <w:i/>
              </w:rPr>
              <w:t>2031</w:t>
            </w:r>
            <w:r w:rsidRPr="00AD1AAB">
              <w:t xml:space="preserve"> e, posteriormente, de </w:t>
            </w:r>
            <w:r w:rsidRPr="00AD1AAB">
              <w:rPr>
                <w:b/>
                <w:i/>
              </w:rPr>
              <w:t>cinco</w:t>
            </w:r>
            <w:r w:rsidRPr="00AD1AAB">
              <w:t xml:space="preserve"> em </w:t>
            </w:r>
            <w:r w:rsidRPr="00AD1AAB">
              <w:rPr>
                <w:b/>
                <w:i/>
              </w:rPr>
              <w:t>cinco</w:t>
            </w:r>
            <w:r w:rsidRPr="00AD1AAB">
              <w:t xml:space="preserve"> anos, a Comissão deve avaliar a evolução dos principais parâmetros que justificaram a adoção do presente regulamento, incluindo a evolução e as tendências da sobrecapacidade a nível mundial, assim como os seus efeitos no mercado do aço. A Comissão deve igualmente rever a situação das medidas restritivas do comércio de produtos siderúrgicos adotadas por países terceiros e as implicações e os efeitos que têm, ou são suscetíveis de ter, em termos de risco de desvio dos fluxos comerciais para o mercado da União. A Comissão </w:t>
            </w:r>
            <w:r w:rsidRPr="00AD1AAB">
              <w:lastRenderedPageBreak/>
              <w:t xml:space="preserve">deve ainda analisar a situação relativa à existência de políticas e práticas que não respeitam o mercado em países terceiros e o seu impacto no mercado siderúrgico da União. A Comissão deve também avaliar a evolução dos resultados económicos da indústria siderúrgica da União, bem como a evolução dos seus </w:t>
            </w:r>
            <w:r w:rsidRPr="00AD1AAB">
              <w:rPr>
                <w:b/>
                <w:i/>
              </w:rPr>
              <w:t>projetos</w:t>
            </w:r>
            <w:r w:rsidRPr="00AD1AAB">
              <w:t xml:space="preserve"> de descarbonização,</w:t>
            </w:r>
          </w:p>
        </w:tc>
        <w:tc>
          <w:tcPr>
            <w:tcW w:w="4876" w:type="dxa"/>
            <w:hideMark/>
          </w:tcPr>
          <w:p w14:paraId="75446C7D" w14:textId="795B9E5E" w:rsidR="004C47D0" w:rsidRPr="00AD1AAB" w:rsidRDefault="004C47D0" w:rsidP="00C21EA8">
            <w:pPr>
              <w:pStyle w:val="Normal6a"/>
            </w:pPr>
            <w:r w:rsidRPr="00AD1AAB">
              <w:lastRenderedPageBreak/>
              <w:t>(27)</w:t>
            </w:r>
            <w:r w:rsidRPr="00AD1AAB">
              <w:rPr>
                <w:b/>
                <w:i/>
              </w:rPr>
              <w:tab/>
            </w:r>
            <w:r w:rsidRPr="00AD1AAB">
              <w:t xml:space="preserve">Antes de </w:t>
            </w:r>
            <w:r w:rsidRPr="00AD1AAB">
              <w:rPr>
                <w:b/>
                <w:i/>
              </w:rPr>
              <w:t>31</w:t>
            </w:r>
            <w:r w:rsidRPr="00AD1AAB">
              <w:t xml:space="preserve"> de </w:t>
            </w:r>
            <w:r w:rsidRPr="00AD1AAB">
              <w:rPr>
                <w:b/>
                <w:i/>
              </w:rPr>
              <w:t>dezembro</w:t>
            </w:r>
            <w:r w:rsidRPr="00AD1AAB">
              <w:t xml:space="preserve"> de </w:t>
            </w:r>
            <w:r w:rsidRPr="00AD1AAB">
              <w:rPr>
                <w:b/>
                <w:i/>
              </w:rPr>
              <w:t>2028</w:t>
            </w:r>
            <w:r w:rsidRPr="00AD1AAB">
              <w:t xml:space="preserve"> e, posteriormente, de </w:t>
            </w:r>
            <w:r w:rsidRPr="00AD1AAB">
              <w:rPr>
                <w:b/>
                <w:i/>
              </w:rPr>
              <w:t>três</w:t>
            </w:r>
            <w:r w:rsidRPr="00AD1AAB">
              <w:t xml:space="preserve"> em </w:t>
            </w:r>
            <w:r w:rsidRPr="00AD1AAB">
              <w:rPr>
                <w:b/>
                <w:i/>
              </w:rPr>
              <w:t>três</w:t>
            </w:r>
            <w:r w:rsidRPr="00AD1AAB">
              <w:t xml:space="preserve"> anos, a Comissão deve avaliar a evolução dos principais parâmetros que justificaram a adoção do presente regulamento, incluindo a evolução e as tendências da sobrecapacidade a nível mundial, assim como os seus efeitos no mercado do aço</w:t>
            </w:r>
            <w:r w:rsidRPr="00AD1AAB">
              <w:rPr>
                <w:b/>
                <w:i/>
              </w:rPr>
              <w:t xml:space="preserve"> e nas cadeias de valor a jusante</w:t>
            </w:r>
            <w:r w:rsidRPr="00AD1AAB">
              <w:t xml:space="preserve">. A Comissão deve igualmente rever a situação das medidas restritivas do comércio de produtos siderúrgicos adotadas por países terceiros e as implicações e os efeitos que têm, ou são suscetíveis de ter, em termos de risco de desvio dos fluxos comerciais </w:t>
            </w:r>
            <w:r w:rsidRPr="00AD1AAB">
              <w:lastRenderedPageBreak/>
              <w:t xml:space="preserve">para o mercado da União. A Comissão deve ainda analisar a situação relativa à existência de políticas e práticas que não respeitam o mercado em países terceiros e o seu impacto no mercado siderúrgico da União. A Comissão deve também avaliar a evolução </w:t>
            </w:r>
            <w:r w:rsidRPr="00AD1AAB">
              <w:rPr>
                <w:b/>
                <w:i/>
              </w:rPr>
              <w:t xml:space="preserve">da competitividade global da União e </w:t>
            </w:r>
            <w:r w:rsidRPr="00AD1AAB">
              <w:t xml:space="preserve">dos resultados económicos da indústria siderúrgica da União, </w:t>
            </w:r>
            <w:r w:rsidRPr="00AD1AAB">
              <w:rPr>
                <w:b/>
                <w:i/>
              </w:rPr>
              <w:t xml:space="preserve">incluindo o nível dos preços e a utilização das capacidades, </w:t>
            </w:r>
            <w:r w:rsidRPr="00AD1AAB">
              <w:t xml:space="preserve">bem como a </w:t>
            </w:r>
            <w:r w:rsidRPr="00AD1AAB">
              <w:rPr>
                <w:b/>
                <w:i/>
              </w:rPr>
              <w:t xml:space="preserve">trajetória da descarbonização do setor siderúrgico da União e a </w:t>
            </w:r>
            <w:r w:rsidRPr="00AD1AAB">
              <w:t xml:space="preserve">evolução dos seus </w:t>
            </w:r>
            <w:r w:rsidRPr="00AD1AAB">
              <w:rPr>
                <w:b/>
                <w:i/>
              </w:rPr>
              <w:t>objetivos</w:t>
            </w:r>
            <w:r w:rsidRPr="00AD1AAB">
              <w:t xml:space="preserve"> de descarbonização</w:t>
            </w:r>
            <w:r w:rsidRPr="00AD1AAB">
              <w:rPr>
                <w:b/>
                <w:i/>
              </w:rPr>
              <w:t>. Para este efeito</w:t>
            </w:r>
            <w:r w:rsidRPr="00AD1AAB">
              <w:t>,</w:t>
            </w:r>
            <w:r w:rsidRPr="00AD1AAB">
              <w:rPr>
                <w:b/>
                <w:i/>
              </w:rPr>
              <w:t xml:space="preserve"> a Comissão deve realizar uma avaliação de impacto estruturada, em diálogo com todo o ecossistema siderúrgico, incluindo o segmento a jusante. Essas avaliações devem incluir as reações aos debates multilaterais, nomeadamente no Comité do Aço da OCDE e no Fórum Mundial sobre a Capacidade Siderúrgica Excedentária,</w:t>
            </w:r>
          </w:p>
        </w:tc>
      </w:tr>
    </w:tbl>
    <w:p w14:paraId="565ACE59" w14:textId="77777777" w:rsidR="004C47D0" w:rsidRPr="00AD1AAB" w:rsidRDefault="004C47D0" w:rsidP="004C47D0"/>
    <w:p w14:paraId="74AB1F6B" w14:textId="77777777" w:rsidR="004C47D0" w:rsidRPr="00AD1AAB" w:rsidRDefault="004C47D0" w:rsidP="004C47D0">
      <w:pPr>
        <w:pStyle w:val="AmNumberTabs"/>
      </w:pPr>
      <w:r w:rsidRPr="00AD1AAB">
        <w:t>Alteração</w:t>
      </w:r>
      <w:r w:rsidRPr="00AD1AAB">
        <w:tab/>
      </w:r>
      <w:r w:rsidRPr="00AD1AAB">
        <w:tab/>
        <w:t>29</w:t>
      </w:r>
    </w:p>
    <w:p w14:paraId="63E14C12" w14:textId="77777777" w:rsidR="004C47D0" w:rsidRPr="00AD1AAB" w:rsidRDefault="004C47D0" w:rsidP="004C47D0">
      <w:pPr>
        <w:pStyle w:val="NormalBold12b"/>
      </w:pPr>
      <w:r w:rsidRPr="00AD1AAB">
        <w:t>Proposta de regulamento</w:t>
      </w:r>
    </w:p>
    <w:p w14:paraId="553046A6" w14:textId="77777777" w:rsidR="004C47D0" w:rsidRPr="00AD1AAB" w:rsidRDefault="004C47D0" w:rsidP="004C47D0">
      <w:pPr>
        <w:pStyle w:val="NormalBold"/>
      </w:pPr>
      <w:r w:rsidRPr="00AD1AAB">
        <w:t>Artigo 2 – n.º 4-A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52F1F9DC" w14:textId="77777777" w:rsidTr="00C21EA8">
        <w:trPr>
          <w:trHeight w:val="240"/>
          <w:jc w:val="center"/>
        </w:trPr>
        <w:tc>
          <w:tcPr>
            <w:tcW w:w="9752" w:type="dxa"/>
            <w:gridSpan w:val="2"/>
          </w:tcPr>
          <w:p w14:paraId="38132EAA" w14:textId="77777777" w:rsidR="004C47D0" w:rsidRPr="00AD1AAB" w:rsidRDefault="004C47D0" w:rsidP="00C21EA8"/>
        </w:tc>
      </w:tr>
      <w:tr w:rsidR="004C47D0" w:rsidRPr="00AD1AAB" w14:paraId="6CE82901" w14:textId="77777777" w:rsidTr="00C21EA8">
        <w:trPr>
          <w:trHeight w:val="240"/>
          <w:jc w:val="center"/>
        </w:trPr>
        <w:tc>
          <w:tcPr>
            <w:tcW w:w="4876" w:type="dxa"/>
            <w:hideMark/>
          </w:tcPr>
          <w:p w14:paraId="280B5F6A" w14:textId="77777777" w:rsidR="004C47D0" w:rsidRPr="00AD1AAB" w:rsidRDefault="004C47D0" w:rsidP="00C21EA8">
            <w:pPr>
              <w:pStyle w:val="AmColumnHeading"/>
            </w:pPr>
            <w:r w:rsidRPr="00AD1AAB">
              <w:t>Texto da Comissão</w:t>
            </w:r>
          </w:p>
        </w:tc>
        <w:tc>
          <w:tcPr>
            <w:tcW w:w="4876" w:type="dxa"/>
            <w:hideMark/>
          </w:tcPr>
          <w:p w14:paraId="57582DF6" w14:textId="77777777" w:rsidR="004C47D0" w:rsidRPr="00AD1AAB" w:rsidRDefault="004C47D0" w:rsidP="00C21EA8">
            <w:pPr>
              <w:pStyle w:val="AmColumnHeading"/>
            </w:pPr>
            <w:r w:rsidRPr="00AD1AAB">
              <w:t>Alteração</w:t>
            </w:r>
          </w:p>
        </w:tc>
      </w:tr>
      <w:tr w:rsidR="004C47D0" w:rsidRPr="00AD1AAB" w14:paraId="5EBC879F" w14:textId="77777777" w:rsidTr="00C21EA8">
        <w:trPr>
          <w:jc w:val="center"/>
        </w:trPr>
        <w:tc>
          <w:tcPr>
            <w:tcW w:w="4876" w:type="dxa"/>
          </w:tcPr>
          <w:p w14:paraId="217A081F" w14:textId="77777777" w:rsidR="004C47D0" w:rsidRPr="00AD1AAB" w:rsidRDefault="004C47D0" w:rsidP="00C21EA8">
            <w:pPr>
              <w:pStyle w:val="Normal6a"/>
            </w:pPr>
          </w:p>
        </w:tc>
        <w:tc>
          <w:tcPr>
            <w:tcW w:w="4876" w:type="dxa"/>
            <w:hideMark/>
          </w:tcPr>
          <w:p w14:paraId="6196515F" w14:textId="77777777" w:rsidR="004C47D0" w:rsidRPr="00AD1AAB" w:rsidRDefault="004C47D0" w:rsidP="00C21EA8">
            <w:pPr>
              <w:pStyle w:val="Normal6a"/>
            </w:pPr>
            <w:r w:rsidRPr="00AD1AAB">
              <w:rPr>
                <w:b/>
                <w:i/>
              </w:rPr>
              <w:t>4-A.</w:t>
            </w:r>
            <w:r w:rsidRPr="00AD1AAB">
              <w:tab/>
            </w:r>
            <w:r w:rsidRPr="00AD1AAB">
              <w:rPr>
                <w:b/>
                <w:i/>
              </w:rPr>
              <w:t>As medidas ao abrigo do presente regulamento devem ser aplicadas em conformidade com as regras da OMC e não devem restringir o comércio além do estritamente necessário para fazer face aos efeitos negativos da sobrecapacidade mundial resultante de condições de mercado desleais.</w:t>
            </w:r>
          </w:p>
        </w:tc>
      </w:tr>
    </w:tbl>
    <w:p w14:paraId="01ABBE00" w14:textId="77777777" w:rsidR="004C47D0" w:rsidRPr="00AD1AAB" w:rsidRDefault="004C47D0" w:rsidP="004C47D0"/>
    <w:p w14:paraId="34A4B44F" w14:textId="77777777" w:rsidR="004C47D0" w:rsidRPr="00AD1AAB" w:rsidRDefault="004C47D0" w:rsidP="004C47D0">
      <w:pPr>
        <w:pStyle w:val="AmNumberTabs"/>
      </w:pPr>
      <w:r w:rsidRPr="00AD1AAB">
        <w:t>Alteração</w:t>
      </w:r>
      <w:r w:rsidRPr="00AD1AAB">
        <w:tab/>
      </w:r>
      <w:r w:rsidRPr="00AD1AAB">
        <w:tab/>
        <w:t>30</w:t>
      </w:r>
    </w:p>
    <w:p w14:paraId="2DA5F7EB" w14:textId="77777777" w:rsidR="004C47D0" w:rsidRPr="00AD1AAB" w:rsidRDefault="004C47D0" w:rsidP="004C47D0">
      <w:pPr>
        <w:pStyle w:val="NormalBold12b"/>
      </w:pPr>
      <w:r w:rsidRPr="00AD1AAB">
        <w:t>Proposta de regulamento</w:t>
      </w:r>
    </w:p>
    <w:p w14:paraId="5324CC36" w14:textId="77777777" w:rsidR="004C47D0" w:rsidRPr="00AD1AAB" w:rsidRDefault="004C47D0" w:rsidP="004C47D0">
      <w:pPr>
        <w:pStyle w:val="NormalBold"/>
      </w:pPr>
      <w:r w:rsidRPr="00AD1AAB">
        <w:t>Artigo 3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32C6C146" w14:textId="77777777" w:rsidTr="00C21EA8">
        <w:trPr>
          <w:trHeight w:val="240"/>
          <w:jc w:val="center"/>
        </w:trPr>
        <w:tc>
          <w:tcPr>
            <w:tcW w:w="9752" w:type="dxa"/>
            <w:gridSpan w:val="2"/>
          </w:tcPr>
          <w:p w14:paraId="45BB054A" w14:textId="77777777" w:rsidR="004C47D0" w:rsidRPr="00AD1AAB" w:rsidRDefault="004C47D0" w:rsidP="00C21EA8"/>
        </w:tc>
      </w:tr>
      <w:tr w:rsidR="004C47D0" w:rsidRPr="00AD1AAB" w14:paraId="5F18AAFF" w14:textId="77777777" w:rsidTr="00C21EA8">
        <w:trPr>
          <w:trHeight w:val="240"/>
          <w:jc w:val="center"/>
        </w:trPr>
        <w:tc>
          <w:tcPr>
            <w:tcW w:w="4876" w:type="dxa"/>
            <w:hideMark/>
          </w:tcPr>
          <w:p w14:paraId="0DF168A9" w14:textId="77777777" w:rsidR="004C47D0" w:rsidRPr="00AD1AAB" w:rsidRDefault="004C47D0" w:rsidP="00C21EA8">
            <w:pPr>
              <w:pStyle w:val="AmColumnHeading"/>
            </w:pPr>
            <w:r w:rsidRPr="00AD1AAB">
              <w:t>Texto da Comissão</w:t>
            </w:r>
          </w:p>
        </w:tc>
        <w:tc>
          <w:tcPr>
            <w:tcW w:w="4876" w:type="dxa"/>
            <w:hideMark/>
          </w:tcPr>
          <w:p w14:paraId="0148C0CA" w14:textId="77777777" w:rsidR="004C47D0" w:rsidRPr="00AD1AAB" w:rsidRDefault="004C47D0" w:rsidP="00C21EA8">
            <w:pPr>
              <w:pStyle w:val="AmColumnHeading"/>
            </w:pPr>
            <w:r w:rsidRPr="00AD1AAB">
              <w:t>Alteração</w:t>
            </w:r>
          </w:p>
        </w:tc>
      </w:tr>
      <w:tr w:rsidR="004C47D0" w:rsidRPr="00AD1AAB" w14:paraId="4EFA8E99" w14:textId="77777777" w:rsidTr="00C21EA8">
        <w:trPr>
          <w:jc w:val="center"/>
        </w:trPr>
        <w:tc>
          <w:tcPr>
            <w:tcW w:w="4876" w:type="dxa"/>
          </w:tcPr>
          <w:p w14:paraId="5064D985" w14:textId="77777777" w:rsidR="004C47D0" w:rsidRPr="00AD1AAB" w:rsidRDefault="004C47D0" w:rsidP="00C21EA8">
            <w:pPr>
              <w:pStyle w:val="Normal6a"/>
            </w:pPr>
            <w:r w:rsidRPr="00AD1AAB">
              <w:lastRenderedPageBreak/>
              <w:t>2.</w:t>
            </w:r>
            <w:r w:rsidRPr="00AD1AAB">
              <w:tab/>
              <w:t>Aquando da importação, os importadores devem apresentar elementos de prova adequados</w:t>
            </w:r>
            <w:r w:rsidRPr="00AD1AAB">
              <w:rPr>
                <w:b/>
                <w:i/>
              </w:rPr>
              <w:t>, por exemplo</w:t>
            </w:r>
            <w:r w:rsidRPr="00AD1AAB">
              <w:t xml:space="preserve"> </w:t>
            </w:r>
            <w:r w:rsidRPr="00AD1AAB">
              <w:rPr>
                <w:b/>
                <w:bCs/>
                <w:i/>
                <w:iCs/>
              </w:rPr>
              <w:t xml:space="preserve">um certificado da </w:t>
            </w:r>
            <w:proofErr w:type="spellStart"/>
            <w:r w:rsidRPr="00AD1AAB">
              <w:rPr>
                <w:b/>
                <w:bCs/>
                <w:i/>
                <w:iCs/>
              </w:rPr>
              <w:t>aciaria</w:t>
            </w:r>
            <w:proofErr w:type="spellEnd"/>
            <w:r w:rsidRPr="00AD1AAB">
              <w:rPr>
                <w:b/>
                <w:bCs/>
                <w:i/>
                <w:iCs/>
              </w:rPr>
              <w:t xml:space="preserve"> que confirme</w:t>
            </w:r>
            <w:r w:rsidRPr="00AD1AAB">
              <w:t xml:space="preserve"> o país de «fundição e vazamento» do aço utilizado na produção do produto.</w:t>
            </w:r>
          </w:p>
        </w:tc>
        <w:tc>
          <w:tcPr>
            <w:tcW w:w="4876" w:type="dxa"/>
            <w:hideMark/>
          </w:tcPr>
          <w:p w14:paraId="47F9A34D" w14:textId="77777777" w:rsidR="004C47D0" w:rsidRPr="00AD1AAB" w:rsidRDefault="004C47D0" w:rsidP="00C21EA8">
            <w:pPr>
              <w:pStyle w:val="Normal6a"/>
            </w:pPr>
            <w:r w:rsidRPr="00AD1AAB">
              <w:t>2.</w:t>
            </w:r>
            <w:r w:rsidRPr="00AD1AAB">
              <w:tab/>
              <w:t xml:space="preserve">Aquando da importação, os importadores devem apresentar elementos de prova </w:t>
            </w:r>
            <w:r w:rsidRPr="00AD1AAB">
              <w:rPr>
                <w:b/>
                <w:i/>
              </w:rPr>
              <w:t xml:space="preserve">verificáveis </w:t>
            </w:r>
            <w:r w:rsidRPr="00AD1AAB">
              <w:t>adequados</w:t>
            </w:r>
            <w:r w:rsidRPr="00AD1AAB">
              <w:rPr>
                <w:b/>
                <w:i/>
              </w:rPr>
              <w:t xml:space="preserve"> que comprovem </w:t>
            </w:r>
            <w:r w:rsidRPr="00AD1AAB">
              <w:t>o país de «fundição e vazamento» do aço utilizado na produção do produto.</w:t>
            </w:r>
            <w:r w:rsidRPr="00AD1AAB">
              <w:rPr>
                <w:b/>
                <w:i/>
              </w:rPr>
              <w:t xml:space="preserve"> Esses elementos de prova devem incluir um certificado da </w:t>
            </w:r>
            <w:proofErr w:type="spellStart"/>
            <w:r w:rsidRPr="00AD1AAB">
              <w:rPr>
                <w:b/>
                <w:i/>
              </w:rPr>
              <w:t>aciaria</w:t>
            </w:r>
            <w:proofErr w:type="spellEnd"/>
            <w:r w:rsidRPr="00AD1AAB">
              <w:rPr>
                <w:b/>
                <w:i/>
              </w:rPr>
              <w:t xml:space="preserve"> emitido pelo produtor de aço inicial que identifique o número de calor correspondente e contenha os dados técnicos e de produção necessários para rastrear a origem do aço.</w:t>
            </w:r>
          </w:p>
        </w:tc>
      </w:tr>
    </w:tbl>
    <w:p w14:paraId="7D3D6450" w14:textId="77777777" w:rsidR="004C47D0" w:rsidRPr="00AD1AAB" w:rsidRDefault="004C47D0" w:rsidP="004C47D0"/>
    <w:p w14:paraId="373E3E02" w14:textId="77777777" w:rsidR="004C47D0" w:rsidRPr="00AD1AAB" w:rsidRDefault="004C47D0" w:rsidP="004C47D0">
      <w:pPr>
        <w:pStyle w:val="AmNumberTabs"/>
      </w:pPr>
      <w:r w:rsidRPr="00AD1AAB">
        <w:t>Alteração</w:t>
      </w:r>
      <w:r w:rsidRPr="00AD1AAB">
        <w:tab/>
      </w:r>
      <w:r w:rsidRPr="00AD1AAB">
        <w:tab/>
        <w:t>31</w:t>
      </w:r>
    </w:p>
    <w:p w14:paraId="69DDB0C2" w14:textId="77777777" w:rsidR="004C47D0" w:rsidRPr="00AD1AAB" w:rsidRDefault="004C47D0" w:rsidP="004C47D0">
      <w:pPr>
        <w:pStyle w:val="NormalBold12b"/>
      </w:pPr>
      <w:r w:rsidRPr="00AD1AAB">
        <w:t>Proposta de regulamento</w:t>
      </w:r>
    </w:p>
    <w:p w14:paraId="78D3011A" w14:textId="77777777" w:rsidR="004C47D0" w:rsidRPr="00AD1AAB" w:rsidRDefault="004C47D0" w:rsidP="004C47D0">
      <w:pPr>
        <w:pStyle w:val="NormalBold"/>
      </w:pPr>
      <w:r w:rsidRPr="00AD1AAB">
        <w:t>Artigo 3 – n.º 2-A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56876DDC" w14:textId="77777777" w:rsidTr="00C21EA8">
        <w:trPr>
          <w:trHeight w:val="240"/>
          <w:jc w:val="center"/>
        </w:trPr>
        <w:tc>
          <w:tcPr>
            <w:tcW w:w="9752" w:type="dxa"/>
            <w:gridSpan w:val="2"/>
          </w:tcPr>
          <w:p w14:paraId="51DE4199" w14:textId="77777777" w:rsidR="004C47D0" w:rsidRPr="00AD1AAB" w:rsidRDefault="004C47D0" w:rsidP="00C21EA8"/>
        </w:tc>
      </w:tr>
      <w:tr w:rsidR="004C47D0" w:rsidRPr="00AD1AAB" w14:paraId="41DA0B42" w14:textId="77777777" w:rsidTr="00C21EA8">
        <w:trPr>
          <w:trHeight w:val="240"/>
          <w:jc w:val="center"/>
        </w:trPr>
        <w:tc>
          <w:tcPr>
            <w:tcW w:w="4876" w:type="dxa"/>
            <w:hideMark/>
          </w:tcPr>
          <w:p w14:paraId="248E849D" w14:textId="77777777" w:rsidR="004C47D0" w:rsidRPr="00AD1AAB" w:rsidRDefault="004C47D0" w:rsidP="00C21EA8">
            <w:pPr>
              <w:pStyle w:val="AmColumnHeading"/>
            </w:pPr>
            <w:r w:rsidRPr="00AD1AAB">
              <w:t>Texto da Comissão</w:t>
            </w:r>
          </w:p>
        </w:tc>
        <w:tc>
          <w:tcPr>
            <w:tcW w:w="4876" w:type="dxa"/>
            <w:hideMark/>
          </w:tcPr>
          <w:p w14:paraId="0A823FE6" w14:textId="77777777" w:rsidR="004C47D0" w:rsidRPr="00AD1AAB" w:rsidRDefault="004C47D0" w:rsidP="00C21EA8">
            <w:pPr>
              <w:pStyle w:val="AmColumnHeading"/>
            </w:pPr>
            <w:r w:rsidRPr="00AD1AAB">
              <w:t>Alteração</w:t>
            </w:r>
          </w:p>
        </w:tc>
      </w:tr>
      <w:tr w:rsidR="004C47D0" w:rsidRPr="00AD1AAB" w14:paraId="70F62A40" w14:textId="77777777" w:rsidTr="00C21EA8">
        <w:trPr>
          <w:jc w:val="center"/>
        </w:trPr>
        <w:tc>
          <w:tcPr>
            <w:tcW w:w="4876" w:type="dxa"/>
          </w:tcPr>
          <w:p w14:paraId="64EEBF5C" w14:textId="77777777" w:rsidR="004C47D0" w:rsidRPr="00AD1AAB" w:rsidRDefault="004C47D0" w:rsidP="00C21EA8">
            <w:pPr>
              <w:pStyle w:val="Normal6a"/>
            </w:pPr>
          </w:p>
        </w:tc>
        <w:tc>
          <w:tcPr>
            <w:tcW w:w="4876" w:type="dxa"/>
            <w:hideMark/>
          </w:tcPr>
          <w:p w14:paraId="36302B34" w14:textId="77777777" w:rsidR="004C47D0" w:rsidRPr="00AD1AAB" w:rsidRDefault="004C47D0" w:rsidP="00C21EA8">
            <w:pPr>
              <w:pStyle w:val="Normal6a"/>
              <w:rPr>
                <w:b/>
                <w:bCs/>
                <w:i/>
                <w:iCs/>
              </w:rPr>
            </w:pPr>
            <w:r w:rsidRPr="00AD1AAB">
              <w:rPr>
                <w:b/>
                <w:i/>
              </w:rPr>
              <w:t>2-A.</w:t>
            </w:r>
            <w:r w:rsidRPr="00AD1AAB">
              <w:rPr>
                <w:b/>
                <w:i/>
              </w:rPr>
              <w:tab/>
              <w:t>As importações de produtos nos quais tenha sido utilizado aço fundido e vazado na Federação da Rússia ou na Bielorrússia devem ser estritamente proibidas de entrar no mercado da União e não devem, em circunstância alguma, beneficiar de contingentes pautais.  Todos esses produtos devem ser automaticamente proibidos nas fronteiras externas da União.</w:t>
            </w:r>
          </w:p>
        </w:tc>
      </w:tr>
    </w:tbl>
    <w:p w14:paraId="2EBFDA94" w14:textId="77777777" w:rsidR="004C47D0" w:rsidRPr="00AD1AAB" w:rsidRDefault="004C47D0" w:rsidP="004C47D0"/>
    <w:p w14:paraId="11312707" w14:textId="77777777" w:rsidR="004C47D0" w:rsidRPr="00AD1AAB" w:rsidRDefault="004C47D0" w:rsidP="004C47D0">
      <w:pPr>
        <w:pStyle w:val="AmNumberTabs"/>
      </w:pPr>
      <w:r w:rsidRPr="00AD1AAB">
        <w:t>Alteração</w:t>
      </w:r>
      <w:r w:rsidRPr="00AD1AAB">
        <w:tab/>
      </w:r>
      <w:r w:rsidRPr="00AD1AAB">
        <w:tab/>
        <w:t>32</w:t>
      </w:r>
    </w:p>
    <w:p w14:paraId="25B2E10E" w14:textId="77777777" w:rsidR="004C47D0" w:rsidRPr="00AD1AAB" w:rsidRDefault="004C47D0" w:rsidP="004C47D0">
      <w:pPr>
        <w:pStyle w:val="NormalBold12b"/>
      </w:pPr>
      <w:r w:rsidRPr="00AD1AAB">
        <w:t>Proposta de regulamento</w:t>
      </w:r>
    </w:p>
    <w:p w14:paraId="5A70A1B0" w14:textId="77777777" w:rsidR="004C47D0" w:rsidRPr="00AD1AAB" w:rsidRDefault="004C47D0" w:rsidP="004C47D0">
      <w:pPr>
        <w:pStyle w:val="NormalBold"/>
      </w:pPr>
      <w:r w:rsidRPr="00AD1AAB">
        <w:t>Artigo 3 – n.º 2-B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14C10FBC" w14:textId="77777777" w:rsidTr="00C21EA8">
        <w:trPr>
          <w:trHeight w:val="240"/>
          <w:jc w:val="center"/>
        </w:trPr>
        <w:tc>
          <w:tcPr>
            <w:tcW w:w="9752" w:type="dxa"/>
            <w:gridSpan w:val="2"/>
          </w:tcPr>
          <w:p w14:paraId="2DF7C158" w14:textId="77777777" w:rsidR="004C47D0" w:rsidRPr="00AD1AAB" w:rsidRDefault="004C47D0" w:rsidP="00C21EA8"/>
        </w:tc>
      </w:tr>
      <w:tr w:rsidR="004C47D0" w:rsidRPr="00AD1AAB" w14:paraId="5D113731" w14:textId="77777777" w:rsidTr="00C21EA8">
        <w:trPr>
          <w:trHeight w:val="240"/>
          <w:jc w:val="center"/>
        </w:trPr>
        <w:tc>
          <w:tcPr>
            <w:tcW w:w="4876" w:type="dxa"/>
            <w:hideMark/>
          </w:tcPr>
          <w:p w14:paraId="4D854CB4" w14:textId="77777777" w:rsidR="004C47D0" w:rsidRPr="00AD1AAB" w:rsidRDefault="004C47D0" w:rsidP="00C21EA8">
            <w:pPr>
              <w:pStyle w:val="AmColumnHeading"/>
            </w:pPr>
            <w:r w:rsidRPr="00AD1AAB">
              <w:t>Texto da Comissão</w:t>
            </w:r>
          </w:p>
        </w:tc>
        <w:tc>
          <w:tcPr>
            <w:tcW w:w="4876" w:type="dxa"/>
            <w:hideMark/>
          </w:tcPr>
          <w:p w14:paraId="0DDC7215" w14:textId="77777777" w:rsidR="004C47D0" w:rsidRPr="00AD1AAB" w:rsidRDefault="004C47D0" w:rsidP="00C21EA8">
            <w:pPr>
              <w:pStyle w:val="AmColumnHeading"/>
            </w:pPr>
            <w:r w:rsidRPr="00AD1AAB">
              <w:t>Alteração</w:t>
            </w:r>
          </w:p>
        </w:tc>
      </w:tr>
      <w:tr w:rsidR="004C47D0" w:rsidRPr="00AD1AAB" w14:paraId="2ACBD30A" w14:textId="77777777" w:rsidTr="00C21EA8">
        <w:trPr>
          <w:jc w:val="center"/>
        </w:trPr>
        <w:tc>
          <w:tcPr>
            <w:tcW w:w="4876" w:type="dxa"/>
          </w:tcPr>
          <w:p w14:paraId="787F290A" w14:textId="77777777" w:rsidR="004C47D0" w:rsidRPr="00AD1AAB" w:rsidRDefault="004C47D0" w:rsidP="00C21EA8">
            <w:pPr>
              <w:pStyle w:val="Normal6a"/>
            </w:pPr>
          </w:p>
        </w:tc>
        <w:tc>
          <w:tcPr>
            <w:tcW w:w="4876" w:type="dxa"/>
            <w:hideMark/>
          </w:tcPr>
          <w:p w14:paraId="41566775" w14:textId="77777777" w:rsidR="004C47D0" w:rsidRPr="00AD1AAB" w:rsidRDefault="004C47D0" w:rsidP="00C21EA8">
            <w:pPr>
              <w:pStyle w:val="Normal6a"/>
              <w:rPr>
                <w:b/>
                <w:bCs/>
                <w:i/>
                <w:iCs/>
              </w:rPr>
            </w:pPr>
            <w:r w:rsidRPr="00AD1AAB">
              <w:rPr>
                <w:b/>
                <w:i/>
              </w:rPr>
              <w:t>2-B.</w:t>
            </w:r>
            <w:r w:rsidRPr="00AD1AAB">
              <w:rPr>
                <w:b/>
                <w:i/>
              </w:rPr>
              <w:tab/>
              <w:t>O país de «fundição e vazamento» é aplicável à determinação do país de atribuição dos contingentes pautais nos termos do artigo 4.º.</w:t>
            </w:r>
          </w:p>
        </w:tc>
      </w:tr>
    </w:tbl>
    <w:p w14:paraId="686BF0CF" w14:textId="77777777" w:rsidR="004C47D0" w:rsidRPr="00AD1AAB" w:rsidRDefault="004C47D0" w:rsidP="004C47D0"/>
    <w:p w14:paraId="10022EA9" w14:textId="77777777" w:rsidR="004C47D0" w:rsidRPr="00AD1AAB" w:rsidRDefault="004C47D0" w:rsidP="004C47D0">
      <w:pPr>
        <w:pStyle w:val="AmNumberTabs"/>
      </w:pPr>
    </w:p>
    <w:p w14:paraId="3EC4CDBB" w14:textId="77777777" w:rsidR="004C47D0" w:rsidRPr="00AD1AAB" w:rsidRDefault="004C47D0" w:rsidP="004C47D0">
      <w:pPr>
        <w:pStyle w:val="AmNumberTabs"/>
      </w:pPr>
      <w:r w:rsidRPr="00AD1AAB">
        <w:t>Alteração</w:t>
      </w:r>
      <w:r w:rsidRPr="00AD1AAB">
        <w:tab/>
      </w:r>
      <w:r w:rsidRPr="00AD1AAB">
        <w:tab/>
        <w:t>33</w:t>
      </w:r>
    </w:p>
    <w:p w14:paraId="1F154B96" w14:textId="77777777" w:rsidR="004C47D0" w:rsidRPr="00AD1AAB" w:rsidRDefault="004C47D0" w:rsidP="004C47D0">
      <w:pPr>
        <w:pStyle w:val="NormalBold12b"/>
      </w:pPr>
      <w:r w:rsidRPr="00AD1AAB">
        <w:lastRenderedPageBreak/>
        <w:t>Proposta de regulamento</w:t>
      </w:r>
    </w:p>
    <w:p w14:paraId="0F018C5E" w14:textId="77777777" w:rsidR="004C47D0" w:rsidRPr="00AD1AAB" w:rsidRDefault="004C47D0" w:rsidP="004C47D0">
      <w:pPr>
        <w:pStyle w:val="NormalBold"/>
      </w:pPr>
      <w:r w:rsidRPr="00AD1AAB">
        <w:t>Artigo 3 – n.º 2-C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4DAD83C8" w14:textId="77777777" w:rsidTr="00C21EA8">
        <w:trPr>
          <w:trHeight w:val="240"/>
          <w:jc w:val="center"/>
        </w:trPr>
        <w:tc>
          <w:tcPr>
            <w:tcW w:w="9752" w:type="dxa"/>
            <w:gridSpan w:val="2"/>
          </w:tcPr>
          <w:p w14:paraId="4972A194" w14:textId="77777777" w:rsidR="004C47D0" w:rsidRPr="00AD1AAB" w:rsidRDefault="004C47D0" w:rsidP="00C21EA8"/>
        </w:tc>
      </w:tr>
      <w:tr w:rsidR="004C47D0" w:rsidRPr="00AD1AAB" w14:paraId="55A37865" w14:textId="77777777" w:rsidTr="00C21EA8">
        <w:trPr>
          <w:trHeight w:val="240"/>
          <w:jc w:val="center"/>
        </w:trPr>
        <w:tc>
          <w:tcPr>
            <w:tcW w:w="4876" w:type="dxa"/>
            <w:hideMark/>
          </w:tcPr>
          <w:p w14:paraId="14A56168" w14:textId="77777777" w:rsidR="004C47D0" w:rsidRPr="00AD1AAB" w:rsidRDefault="004C47D0" w:rsidP="00C21EA8">
            <w:pPr>
              <w:pStyle w:val="AmColumnHeading"/>
            </w:pPr>
            <w:r w:rsidRPr="00AD1AAB">
              <w:t>Texto da Comissão</w:t>
            </w:r>
          </w:p>
        </w:tc>
        <w:tc>
          <w:tcPr>
            <w:tcW w:w="4876" w:type="dxa"/>
            <w:hideMark/>
          </w:tcPr>
          <w:p w14:paraId="27968CC7" w14:textId="77777777" w:rsidR="004C47D0" w:rsidRPr="00AD1AAB" w:rsidRDefault="004C47D0" w:rsidP="00C21EA8">
            <w:pPr>
              <w:pStyle w:val="AmColumnHeading"/>
            </w:pPr>
            <w:r w:rsidRPr="00AD1AAB">
              <w:t>Alteração</w:t>
            </w:r>
          </w:p>
        </w:tc>
      </w:tr>
      <w:tr w:rsidR="004C47D0" w:rsidRPr="00AD1AAB" w14:paraId="5C25A9C2" w14:textId="77777777" w:rsidTr="00C21EA8">
        <w:trPr>
          <w:jc w:val="center"/>
        </w:trPr>
        <w:tc>
          <w:tcPr>
            <w:tcW w:w="4876" w:type="dxa"/>
          </w:tcPr>
          <w:p w14:paraId="7B4EAD2E" w14:textId="77777777" w:rsidR="004C47D0" w:rsidRPr="00AD1AAB" w:rsidRDefault="004C47D0" w:rsidP="00C21EA8">
            <w:pPr>
              <w:pStyle w:val="Normal6a"/>
            </w:pPr>
          </w:p>
        </w:tc>
        <w:tc>
          <w:tcPr>
            <w:tcW w:w="4876" w:type="dxa"/>
            <w:hideMark/>
          </w:tcPr>
          <w:p w14:paraId="1456AC88" w14:textId="77777777" w:rsidR="004C47D0" w:rsidRPr="00AD1AAB" w:rsidRDefault="004C47D0" w:rsidP="00C21EA8">
            <w:pPr>
              <w:pStyle w:val="Normal6a"/>
            </w:pPr>
            <w:r w:rsidRPr="00AD1AAB">
              <w:rPr>
                <w:b/>
                <w:i/>
              </w:rPr>
              <w:t>2-C.</w:t>
            </w:r>
            <w:r w:rsidRPr="00AD1AAB">
              <w:tab/>
            </w:r>
            <w:r w:rsidRPr="00AD1AAB">
              <w:rPr>
                <w:b/>
                <w:i/>
              </w:rPr>
              <w:t>A Comissão pode adotar orientações sobre a forma de apresentação dos elementos de prova adequados com o objetivo de limitar os encargos administrativos e facilitar o cumprimento das normas por parte das PME.</w:t>
            </w:r>
          </w:p>
        </w:tc>
      </w:tr>
    </w:tbl>
    <w:p w14:paraId="2BEE54D7" w14:textId="77777777" w:rsidR="004C47D0" w:rsidRPr="00AD1AAB" w:rsidRDefault="004C47D0" w:rsidP="004C47D0"/>
    <w:p w14:paraId="71397C04" w14:textId="77777777" w:rsidR="004C47D0" w:rsidRPr="00AD1AAB" w:rsidRDefault="004C47D0" w:rsidP="004C47D0">
      <w:pPr>
        <w:pStyle w:val="AmNumberTabs"/>
      </w:pPr>
      <w:r w:rsidRPr="00AD1AAB">
        <w:t>Alteração</w:t>
      </w:r>
      <w:r w:rsidRPr="00AD1AAB">
        <w:tab/>
      </w:r>
      <w:r w:rsidRPr="00AD1AAB">
        <w:tab/>
        <w:t>34</w:t>
      </w:r>
    </w:p>
    <w:p w14:paraId="4557A355" w14:textId="77777777" w:rsidR="004C47D0" w:rsidRPr="00AD1AAB" w:rsidRDefault="004C47D0" w:rsidP="004C47D0">
      <w:pPr>
        <w:pStyle w:val="NormalBold12b"/>
      </w:pPr>
      <w:r w:rsidRPr="00AD1AAB">
        <w:t>Proposta de regulamento</w:t>
      </w:r>
    </w:p>
    <w:p w14:paraId="4E21D3B6" w14:textId="77777777" w:rsidR="004C47D0" w:rsidRPr="00AD1AAB" w:rsidRDefault="004C47D0" w:rsidP="004C47D0">
      <w:pPr>
        <w:pStyle w:val="NormalBold"/>
      </w:pPr>
      <w:r w:rsidRPr="00AD1AAB">
        <w:t>Artigo 4 – n.º 1 – parágrafo 1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2D890199" w14:textId="77777777" w:rsidTr="00C21EA8">
        <w:trPr>
          <w:trHeight w:val="240"/>
          <w:jc w:val="center"/>
        </w:trPr>
        <w:tc>
          <w:tcPr>
            <w:tcW w:w="9752" w:type="dxa"/>
            <w:gridSpan w:val="2"/>
          </w:tcPr>
          <w:p w14:paraId="02C3D32C" w14:textId="77777777" w:rsidR="004C47D0" w:rsidRPr="00AD1AAB" w:rsidRDefault="004C47D0" w:rsidP="00C21EA8"/>
        </w:tc>
      </w:tr>
      <w:tr w:rsidR="004C47D0" w:rsidRPr="00AD1AAB" w14:paraId="3431E950" w14:textId="77777777" w:rsidTr="00C21EA8">
        <w:trPr>
          <w:trHeight w:val="240"/>
          <w:jc w:val="center"/>
        </w:trPr>
        <w:tc>
          <w:tcPr>
            <w:tcW w:w="4876" w:type="dxa"/>
            <w:hideMark/>
          </w:tcPr>
          <w:p w14:paraId="7C0F106A" w14:textId="77777777" w:rsidR="004C47D0" w:rsidRPr="00AD1AAB" w:rsidRDefault="004C47D0" w:rsidP="00C21EA8">
            <w:pPr>
              <w:pStyle w:val="AmColumnHeading"/>
            </w:pPr>
            <w:r w:rsidRPr="00AD1AAB">
              <w:t>Texto da Comissão</w:t>
            </w:r>
          </w:p>
        </w:tc>
        <w:tc>
          <w:tcPr>
            <w:tcW w:w="4876" w:type="dxa"/>
            <w:hideMark/>
          </w:tcPr>
          <w:p w14:paraId="68F5AE70" w14:textId="77777777" w:rsidR="004C47D0" w:rsidRPr="00AD1AAB" w:rsidRDefault="004C47D0" w:rsidP="00C21EA8">
            <w:pPr>
              <w:pStyle w:val="AmColumnHeading"/>
            </w:pPr>
            <w:r w:rsidRPr="00AD1AAB">
              <w:t>Alteração</w:t>
            </w:r>
          </w:p>
        </w:tc>
      </w:tr>
      <w:tr w:rsidR="004C47D0" w:rsidRPr="00AD1AAB" w14:paraId="7A5B1BBA" w14:textId="77777777" w:rsidTr="00C21EA8">
        <w:trPr>
          <w:jc w:val="center"/>
        </w:trPr>
        <w:tc>
          <w:tcPr>
            <w:tcW w:w="4876" w:type="dxa"/>
          </w:tcPr>
          <w:p w14:paraId="79D067BE" w14:textId="77777777" w:rsidR="004C47D0" w:rsidRPr="00AD1AAB" w:rsidRDefault="004C47D0" w:rsidP="00C21EA8">
            <w:pPr>
              <w:pStyle w:val="Normal6a"/>
            </w:pPr>
            <w:r w:rsidRPr="00AD1AAB">
              <w:t>a)</w:t>
            </w:r>
            <w:r w:rsidRPr="00AD1AAB">
              <w:tab/>
              <w:t xml:space="preserve">Contingentes pautais a níveis </w:t>
            </w:r>
            <w:r w:rsidRPr="00AD1AAB">
              <w:rPr>
                <w:b/>
                <w:i/>
              </w:rPr>
              <w:t>equivalentes</w:t>
            </w:r>
            <w:r w:rsidRPr="00AD1AAB">
              <w:t xml:space="preserve"> à parte de mercado das importações prevalecente no mercado do aço da União em 2013, antes do impacto da sobrecapacidade mundial no mercado da União;</w:t>
            </w:r>
          </w:p>
        </w:tc>
        <w:tc>
          <w:tcPr>
            <w:tcW w:w="4876" w:type="dxa"/>
            <w:hideMark/>
          </w:tcPr>
          <w:p w14:paraId="4B28E161" w14:textId="49822694" w:rsidR="004C47D0" w:rsidRPr="00AD1AAB" w:rsidRDefault="004C47D0" w:rsidP="00C21EA8">
            <w:pPr>
              <w:pStyle w:val="Normal6a"/>
            </w:pPr>
            <w:r w:rsidRPr="00AD1AAB">
              <w:t>a)</w:t>
            </w:r>
            <w:r w:rsidR="00DC42F4">
              <w:tab/>
            </w:r>
            <w:r w:rsidRPr="00AD1AAB">
              <w:t xml:space="preserve">Contingentes pautais a níveis </w:t>
            </w:r>
            <w:r w:rsidRPr="00AD1AAB">
              <w:rPr>
                <w:b/>
                <w:i/>
              </w:rPr>
              <w:t>iguais</w:t>
            </w:r>
            <w:r w:rsidRPr="00AD1AAB">
              <w:t xml:space="preserve"> à parte de mercado das importações prevalecente no mercado do aço da União em 2013, antes do impacto da sobrecapacidade mundial no mercado da União;</w:t>
            </w:r>
            <w:r w:rsidRPr="00AD1AAB">
              <w:rPr>
                <w:b/>
                <w:i/>
              </w:rPr>
              <w:t xml:space="preserve"> </w:t>
            </w:r>
          </w:p>
        </w:tc>
      </w:tr>
    </w:tbl>
    <w:p w14:paraId="1443B871" w14:textId="77777777" w:rsidR="004C47D0" w:rsidRPr="00AD1AAB" w:rsidRDefault="004C47D0" w:rsidP="004C47D0"/>
    <w:p w14:paraId="050782EC" w14:textId="77777777" w:rsidR="004C47D0" w:rsidRPr="00AD1AAB" w:rsidRDefault="004C47D0" w:rsidP="004C47D0">
      <w:pPr>
        <w:pStyle w:val="AmNumberTabs"/>
      </w:pPr>
      <w:r w:rsidRPr="00AD1AAB">
        <w:t>Alteração</w:t>
      </w:r>
      <w:r w:rsidRPr="00AD1AAB">
        <w:tab/>
      </w:r>
      <w:r w:rsidRPr="00AD1AAB">
        <w:tab/>
        <w:t>35</w:t>
      </w:r>
    </w:p>
    <w:p w14:paraId="0C36503C" w14:textId="77777777" w:rsidR="004C47D0" w:rsidRPr="00AD1AAB" w:rsidRDefault="004C47D0" w:rsidP="004C47D0">
      <w:pPr>
        <w:pStyle w:val="NormalBold12b"/>
      </w:pPr>
      <w:r w:rsidRPr="00AD1AAB">
        <w:t>Proposta de regulamento</w:t>
      </w:r>
    </w:p>
    <w:p w14:paraId="1AB0BFA0" w14:textId="77777777" w:rsidR="004C47D0" w:rsidRPr="00AD1AAB" w:rsidRDefault="004C47D0" w:rsidP="004C47D0">
      <w:pPr>
        <w:pStyle w:val="NormalBold"/>
      </w:pPr>
      <w:r w:rsidRPr="00AD1AAB">
        <w:t xml:space="preserve">Artigo 4 – n.º 1 – parágrafo 1 – alínea </w:t>
      </w:r>
      <w:proofErr w:type="spellStart"/>
      <w:r w:rsidRPr="00AD1AAB">
        <w:t>c-A</w:t>
      </w:r>
      <w:proofErr w:type="spellEnd"/>
      <w:r w:rsidRPr="00AD1AAB">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6079E13D" w14:textId="77777777" w:rsidTr="00C21EA8">
        <w:trPr>
          <w:trHeight w:val="240"/>
          <w:jc w:val="center"/>
        </w:trPr>
        <w:tc>
          <w:tcPr>
            <w:tcW w:w="9752" w:type="dxa"/>
            <w:gridSpan w:val="2"/>
          </w:tcPr>
          <w:p w14:paraId="09B42EF3" w14:textId="77777777" w:rsidR="004C47D0" w:rsidRPr="00AD1AAB" w:rsidRDefault="004C47D0" w:rsidP="00C21EA8"/>
        </w:tc>
      </w:tr>
      <w:tr w:rsidR="004C47D0" w:rsidRPr="00AD1AAB" w14:paraId="4BB88ADE" w14:textId="77777777" w:rsidTr="00C21EA8">
        <w:trPr>
          <w:trHeight w:val="240"/>
          <w:jc w:val="center"/>
        </w:trPr>
        <w:tc>
          <w:tcPr>
            <w:tcW w:w="4876" w:type="dxa"/>
            <w:hideMark/>
          </w:tcPr>
          <w:p w14:paraId="3EC2CD82" w14:textId="77777777" w:rsidR="004C47D0" w:rsidRPr="00AD1AAB" w:rsidRDefault="004C47D0" w:rsidP="00C21EA8">
            <w:pPr>
              <w:pStyle w:val="AmColumnHeading"/>
            </w:pPr>
            <w:r w:rsidRPr="00AD1AAB">
              <w:t>Texto da Comissão</w:t>
            </w:r>
          </w:p>
        </w:tc>
        <w:tc>
          <w:tcPr>
            <w:tcW w:w="4876" w:type="dxa"/>
            <w:hideMark/>
          </w:tcPr>
          <w:p w14:paraId="5252C0BA" w14:textId="77777777" w:rsidR="004C47D0" w:rsidRPr="00AD1AAB" w:rsidRDefault="004C47D0" w:rsidP="00C21EA8">
            <w:pPr>
              <w:pStyle w:val="AmColumnHeading"/>
            </w:pPr>
            <w:r w:rsidRPr="00AD1AAB">
              <w:t>Alteração</w:t>
            </w:r>
          </w:p>
        </w:tc>
      </w:tr>
      <w:tr w:rsidR="004C47D0" w:rsidRPr="00AD1AAB" w14:paraId="6DA1A1E5" w14:textId="77777777" w:rsidTr="00C21EA8">
        <w:trPr>
          <w:jc w:val="center"/>
        </w:trPr>
        <w:tc>
          <w:tcPr>
            <w:tcW w:w="4876" w:type="dxa"/>
          </w:tcPr>
          <w:p w14:paraId="01B444B0" w14:textId="77777777" w:rsidR="004C47D0" w:rsidRPr="00AD1AAB" w:rsidRDefault="004C47D0" w:rsidP="00C21EA8">
            <w:pPr>
              <w:pStyle w:val="Normal6a"/>
            </w:pPr>
          </w:p>
        </w:tc>
        <w:tc>
          <w:tcPr>
            <w:tcW w:w="4876" w:type="dxa"/>
            <w:hideMark/>
          </w:tcPr>
          <w:p w14:paraId="7BBBC5D6" w14:textId="77777777" w:rsidR="004C47D0" w:rsidRPr="00AD1AAB" w:rsidRDefault="004C47D0" w:rsidP="00C21EA8">
            <w:pPr>
              <w:pStyle w:val="Normal6a"/>
            </w:pPr>
            <w:proofErr w:type="spellStart"/>
            <w:r w:rsidRPr="00AD1AAB">
              <w:rPr>
                <w:b/>
                <w:i/>
              </w:rPr>
              <w:t>c-A</w:t>
            </w:r>
            <w:proofErr w:type="spellEnd"/>
            <w:r w:rsidRPr="00AD1AAB">
              <w:rPr>
                <w:b/>
                <w:i/>
              </w:rPr>
              <w:t>)</w:t>
            </w:r>
            <w:r w:rsidRPr="00AD1AAB">
              <w:rPr>
                <w:b/>
                <w:i/>
              </w:rPr>
              <w:tab/>
              <w:t xml:space="preserve">O nível dos direitos aduaneiros aplicados por um país terceiro aos produtos siderúrgicos da União; </w:t>
            </w:r>
          </w:p>
        </w:tc>
      </w:tr>
    </w:tbl>
    <w:p w14:paraId="6CCCC866" w14:textId="77777777" w:rsidR="004C47D0" w:rsidRPr="00AD1AAB" w:rsidRDefault="004C47D0" w:rsidP="004C47D0"/>
    <w:p w14:paraId="0730D4CA" w14:textId="77777777" w:rsidR="004C47D0" w:rsidRPr="00AD1AAB" w:rsidRDefault="004C47D0" w:rsidP="004C47D0">
      <w:pPr>
        <w:pStyle w:val="AmNumberTabs"/>
      </w:pPr>
      <w:r w:rsidRPr="00AD1AAB">
        <w:t>Alteração</w:t>
      </w:r>
      <w:r w:rsidRPr="00AD1AAB">
        <w:tab/>
      </w:r>
      <w:r w:rsidRPr="00AD1AAB">
        <w:tab/>
        <w:t>36</w:t>
      </w:r>
    </w:p>
    <w:p w14:paraId="775FF3DD" w14:textId="77777777" w:rsidR="004C47D0" w:rsidRPr="00AD1AAB" w:rsidRDefault="004C47D0" w:rsidP="004C47D0">
      <w:pPr>
        <w:pStyle w:val="NormalBold12b"/>
      </w:pPr>
      <w:r w:rsidRPr="00AD1AAB">
        <w:t>Proposta de regulamento</w:t>
      </w:r>
    </w:p>
    <w:p w14:paraId="371B651D" w14:textId="77777777" w:rsidR="004C47D0" w:rsidRPr="00AD1AAB" w:rsidRDefault="004C47D0" w:rsidP="004C47D0">
      <w:pPr>
        <w:pStyle w:val="NormalBold"/>
      </w:pPr>
      <w:r w:rsidRPr="00AD1AAB">
        <w:t xml:space="preserve">Artigo 4 – n.º 1 – parágrafo 1 – alínea </w:t>
      </w:r>
      <w:proofErr w:type="spellStart"/>
      <w:r w:rsidRPr="00AD1AAB">
        <w:t>c-B</w:t>
      </w:r>
      <w:proofErr w:type="spellEnd"/>
      <w:r w:rsidRPr="00AD1AAB">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562D334E" w14:textId="77777777" w:rsidTr="00C21EA8">
        <w:trPr>
          <w:trHeight w:val="240"/>
          <w:jc w:val="center"/>
        </w:trPr>
        <w:tc>
          <w:tcPr>
            <w:tcW w:w="9752" w:type="dxa"/>
            <w:gridSpan w:val="2"/>
          </w:tcPr>
          <w:p w14:paraId="3102DEE1" w14:textId="77777777" w:rsidR="004C47D0" w:rsidRPr="00AD1AAB" w:rsidRDefault="004C47D0" w:rsidP="00C21EA8"/>
        </w:tc>
      </w:tr>
      <w:tr w:rsidR="004C47D0" w:rsidRPr="00AD1AAB" w14:paraId="5B7915EF" w14:textId="77777777" w:rsidTr="00C21EA8">
        <w:trPr>
          <w:trHeight w:val="240"/>
          <w:jc w:val="center"/>
        </w:trPr>
        <w:tc>
          <w:tcPr>
            <w:tcW w:w="4876" w:type="dxa"/>
            <w:hideMark/>
          </w:tcPr>
          <w:p w14:paraId="1F1621D0" w14:textId="77777777" w:rsidR="004C47D0" w:rsidRPr="00AD1AAB" w:rsidRDefault="004C47D0" w:rsidP="00C21EA8">
            <w:pPr>
              <w:pStyle w:val="AmColumnHeading"/>
            </w:pPr>
            <w:r w:rsidRPr="00AD1AAB">
              <w:t>Texto da Comissão</w:t>
            </w:r>
          </w:p>
        </w:tc>
        <w:tc>
          <w:tcPr>
            <w:tcW w:w="4876" w:type="dxa"/>
            <w:hideMark/>
          </w:tcPr>
          <w:p w14:paraId="2F1BE04F" w14:textId="77777777" w:rsidR="004C47D0" w:rsidRPr="00AD1AAB" w:rsidRDefault="004C47D0" w:rsidP="00C21EA8">
            <w:pPr>
              <w:pStyle w:val="AmColumnHeading"/>
            </w:pPr>
            <w:r w:rsidRPr="00AD1AAB">
              <w:t>Alteração</w:t>
            </w:r>
          </w:p>
        </w:tc>
      </w:tr>
      <w:tr w:rsidR="004C47D0" w:rsidRPr="00AD1AAB" w14:paraId="3BAAECE5" w14:textId="77777777" w:rsidTr="00C21EA8">
        <w:trPr>
          <w:jc w:val="center"/>
        </w:trPr>
        <w:tc>
          <w:tcPr>
            <w:tcW w:w="4876" w:type="dxa"/>
          </w:tcPr>
          <w:p w14:paraId="4F4B467E" w14:textId="77777777" w:rsidR="004C47D0" w:rsidRPr="00AD1AAB" w:rsidRDefault="004C47D0" w:rsidP="00C21EA8">
            <w:pPr>
              <w:pStyle w:val="Normal6a"/>
            </w:pPr>
          </w:p>
        </w:tc>
        <w:tc>
          <w:tcPr>
            <w:tcW w:w="4876" w:type="dxa"/>
            <w:hideMark/>
          </w:tcPr>
          <w:p w14:paraId="15DC335B" w14:textId="77777777" w:rsidR="004C47D0" w:rsidRPr="00AD1AAB" w:rsidRDefault="004C47D0" w:rsidP="00C21EA8">
            <w:pPr>
              <w:pStyle w:val="Normal6a"/>
            </w:pPr>
            <w:proofErr w:type="spellStart"/>
            <w:r w:rsidRPr="00AD1AAB">
              <w:rPr>
                <w:b/>
                <w:i/>
              </w:rPr>
              <w:t>c-B</w:t>
            </w:r>
            <w:proofErr w:type="spellEnd"/>
            <w:r w:rsidRPr="00AD1AAB">
              <w:rPr>
                <w:b/>
                <w:i/>
              </w:rPr>
              <w:t>)</w:t>
            </w:r>
            <w:r w:rsidRPr="00AD1AAB">
              <w:rPr>
                <w:b/>
                <w:i/>
              </w:rPr>
              <w:tab/>
              <w:t xml:space="preserve">Se um país terceiro cumpre os seus compromissos ao abrigo de acordos de </w:t>
            </w:r>
            <w:r w:rsidRPr="00AD1AAB">
              <w:rPr>
                <w:b/>
                <w:i/>
              </w:rPr>
              <w:lastRenderedPageBreak/>
              <w:t>comércio livre celebrados com a União, no que diz respeito às convenções da OIT e aos acordos multilaterais no domínio do ambiente;</w:t>
            </w:r>
          </w:p>
        </w:tc>
      </w:tr>
    </w:tbl>
    <w:p w14:paraId="274EE7EE" w14:textId="77777777" w:rsidR="004C47D0" w:rsidRPr="00AD1AAB" w:rsidRDefault="004C47D0" w:rsidP="004C47D0"/>
    <w:p w14:paraId="19246E07" w14:textId="77777777" w:rsidR="004C47D0" w:rsidRPr="00AD1AAB" w:rsidRDefault="004C47D0" w:rsidP="004C47D0">
      <w:pPr>
        <w:pStyle w:val="AmNumberTabs"/>
      </w:pPr>
      <w:r w:rsidRPr="00AD1AAB">
        <w:t>Alteração</w:t>
      </w:r>
      <w:r w:rsidRPr="00AD1AAB">
        <w:tab/>
      </w:r>
      <w:r w:rsidRPr="00AD1AAB">
        <w:tab/>
        <w:t>37</w:t>
      </w:r>
    </w:p>
    <w:p w14:paraId="259DD0D8" w14:textId="77777777" w:rsidR="004C47D0" w:rsidRPr="00AD1AAB" w:rsidRDefault="004C47D0" w:rsidP="004C47D0">
      <w:pPr>
        <w:pStyle w:val="NormalBold12b"/>
      </w:pPr>
      <w:r w:rsidRPr="00AD1AAB">
        <w:t>Proposta de regulamento</w:t>
      </w:r>
    </w:p>
    <w:p w14:paraId="3261C131" w14:textId="77777777" w:rsidR="004C47D0" w:rsidRPr="00AD1AAB" w:rsidRDefault="004C47D0" w:rsidP="004C47D0">
      <w:pPr>
        <w:pStyle w:val="NormalBold"/>
      </w:pPr>
      <w:r w:rsidRPr="00AD1AAB">
        <w:t>Artigo 4 – n.º 1 – parágrafo 1 – alínea h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274CDA4A" w14:textId="77777777" w:rsidTr="00C21EA8">
        <w:trPr>
          <w:trHeight w:val="240"/>
          <w:jc w:val="center"/>
        </w:trPr>
        <w:tc>
          <w:tcPr>
            <w:tcW w:w="9752" w:type="dxa"/>
            <w:gridSpan w:val="2"/>
          </w:tcPr>
          <w:p w14:paraId="6B3D3CA8" w14:textId="77777777" w:rsidR="004C47D0" w:rsidRPr="00AD1AAB" w:rsidRDefault="004C47D0" w:rsidP="00C21EA8"/>
        </w:tc>
      </w:tr>
      <w:tr w:rsidR="004C47D0" w:rsidRPr="00AD1AAB" w14:paraId="044869D1" w14:textId="77777777" w:rsidTr="00C21EA8">
        <w:trPr>
          <w:trHeight w:val="240"/>
          <w:jc w:val="center"/>
        </w:trPr>
        <w:tc>
          <w:tcPr>
            <w:tcW w:w="4876" w:type="dxa"/>
            <w:hideMark/>
          </w:tcPr>
          <w:p w14:paraId="4A5F1A08" w14:textId="77777777" w:rsidR="004C47D0" w:rsidRPr="00AD1AAB" w:rsidRDefault="004C47D0" w:rsidP="00C21EA8">
            <w:pPr>
              <w:pStyle w:val="AmColumnHeading"/>
            </w:pPr>
            <w:r w:rsidRPr="00AD1AAB">
              <w:t>Texto da Comissão</w:t>
            </w:r>
          </w:p>
        </w:tc>
        <w:tc>
          <w:tcPr>
            <w:tcW w:w="4876" w:type="dxa"/>
            <w:hideMark/>
          </w:tcPr>
          <w:p w14:paraId="3D7673E2" w14:textId="77777777" w:rsidR="004C47D0" w:rsidRPr="00AD1AAB" w:rsidRDefault="004C47D0" w:rsidP="00C21EA8">
            <w:pPr>
              <w:pStyle w:val="AmColumnHeading"/>
            </w:pPr>
            <w:r w:rsidRPr="00AD1AAB">
              <w:t>Alteração</w:t>
            </w:r>
          </w:p>
        </w:tc>
      </w:tr>
      <w:tr w:rsidR="004C47D0" w:rsidRPr="00AD1AAB" w14:paraId="5956A520" w14:textId="77777777" w:rsidTr="00C21EA8">
        <w:trPr>
          <w:jc w:val="center"/>
        </w:trPr>
        <w:tc>
          <w:tcPr>
            <w:tcW w:w="4876" w:type="dxa"/>
          </w:tcPr>
          <w:p w14:paraId="691019B1" w14:textId="77777777" w:rsidR="004C47D0" w:rsidRPr="00AD1AAB" w:rsidRDefault="004C47D0" w:rsidP="00C21EA8">
            <w:pPr>
              <w:pStyle w:val="Normal6a"/>
            </w:pPr>
          </w:p>
        </w:tc>
        <w:tc>
          <w:tcPr>
            <w:tcW w:w="4876" w:type="dxa"/>
            <w:hideMark/>
          </w:tcPr>
          <w:p w14:paraId="29B67FEE" w14:textId="77777777" w:rsidR="004C47D0" w:rsidRPr="00AD1AAB" w:rsidRDefault="004C47D0" w:rsidP="00C21EA8">
            <w:pPr>
              <w:pStyle w:val="Normal6a"/>
            </w:pPr>
            <w:r w:rsidRPr="00AD1AAB">
              <w:rPr>
                <w:b/>
                <w:i/>
              </w:rPr>
              <w:t>h)</w:t>
            </w:r>
            <w:r w:rsidRPr="00AD1AAB">
              <w:rPr>
                <w:b/>
                <w:i/>
              </w:rPr>
              <w:tab/>
              <w:t>A existência de medidas unilaterais da União que suspendam a aplicação de salvaguardas em benefício de um país terceiro, no que se refere a produtos abrangidos pelo âmbito de aplicação do presente regulamento.</w:t>
            </w:r>
          </w:p>
        </w:tc>
      </w:tr>
    </w:tbl>
    <w:p w14:paraId="6C09AA65" w14:textId="77777777" w:rsidR="004C47D0" w:rsidRPr="00AD1AAB" w:rsidRDefault="004C47D0" w:rsidP="004C47D0"/>
    <w:p w14:paraId="49DAC280" w14:textId="77777777" w:rsidR="004C47D0" w:rsidRPr="00AD1AAB" w:rsidRDefault="004C47D0" w:rsidP="004C47D0">
      <w:pPr>
        <w:pStyle w:val="AmNumberTabs"/>
      </w:pPr>
      <w:r w:rsidRPr="00AD1AAB">
        <w:t>Alteração</w:t>
      </w:r>
      <w:r w:rsidRPr="00AD1AAB">
        <w:tab/>
      </w:r>
      <w:r w:rsidRPr="00AD1AAB">
        <w:tab/>
        <w:t>38</w:t>
      </w:r>
    </w:p>
    <w:p w14:paraId="68649239" w14:textId="77777777" w:rsidR="004C47D0" w:rsidRPr="00AD1AAB" w:rsidRDefault="004C47D0" w:rsidP="004C47D0">
      <w:pPr>
        <w:pStyle w:val="NormalBold12b"/>
      </w:pPr>
      <w:r w:rsidRPr="00AD1AAB">
        <w:t>Proposta de regulamento</w:t>
      </w:r>
    </w:p>
    <w:p w14:paraId="754A79DB" w14:textId="77777777" w:rsidR="004C47D0" w:rsidRPr="00AD1AAB" w:rsidRDefault="004C47D0" w:rsidP="004C47D0">
      <w:pPr>
        <w:pStyle w:val="NormalBold"/>
      </w:pPr>
      <w:r w:rsidRPr="00AD1AAB">
        <w:t>Artigo 4 – n.º 1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22DF2A5D" w14:textId="77777777" w:rsidTr="00C21EA8">
        <w:trPr>
          <w:trHeight w:val="240"/>
          <w:jc w:val="center"/>
        </w:trPr>
        <w:tc>
          <w:tcPr>
            <w:tcW w:w="9752" w:type="dxa"/>
            <w:gridSpan w:val="2"/>
          </w:tcPr>
          <w:p w14:paraId="4531CF01" w14:textId="77777777" w:rsidR="004C47D0" w:rsidRPr="00AD1AAB" w:rsidRDefault="004C47D0" w:rsidP="00C21EA8"/>
        </w:tc>
      </w:tr>
      <w:tr w:rsidR="004C47D0" w:rsidRPr="00AD1AAB" w14:paraId="0338E3B2" w14:textId="77777777" w:rsidTr="00C21EA8">
        <w:trPr>
          <w:trHeight w:val="240"/>
          <w:jc w:val="center"/>
        </w:trPr>
        <w:tc>
          <w:tcPr>
            <w:tcW w:w="4876" w:type="dxa"/>
            <w:hideMark/>
          </w:tcPr>
          <w:p w14:paraId="6668F2D2" w14:textId="77777777" w:rsidR="004C47D0" w:rsidRPr="00AD1AAB" w:rsidRDefault="004C47D0" w:rsidP="00C21EA8">
            <w:pPr>
              <w:pStyle w:val="AmColumnHeading"/>
            </w:pPr>
            <w:r w:rsidRPr="00AD1AAB">
              <w:t>Texto da Comissão</w:t>
            </w:r>
          </w:p>
        </w:tc>
        <w:tc>
          <w:tcPr>
            <w:tcW w:w="4876" w:type="dxa"/>
            <w:hideMark/>
          </w:tcPr>
          <w:p w14:paraId="6338559A" w14:textId="77777777" w:rsidR="004C47D0" w:rsidRPr="00AD1AAB" w:rsidRDefault="004C47D0" w:rsidP="00C21EA8">
            <w:pPr>
              <w:pStyle w:val="AmColumnHeading"/>
            </w:pPr>
            <w:r w:rsidRPr="00AD1AAB">
              <w:t>Alteração</w:t>
            </w:r>
          </w:p>
        </w:tc>
      </w:tr>
      <w:tr w:rsidR="004C47D0" w:rsidRPr="00AD1AAB" w14:paraId="3BACCD1A" w14:textId="77777777" w:rsidTr="00C21EA8">
        <w:trPr>
          <w:jc w:val="center"/>
        </w:trPr>
        <w:tc>
          <w:tcPr>
            <w:tcW w:w="4876" w:type="dxa"/>
          </w:tcPr>
          <w:p w14:paraId="3883C29C" w14:textId="77777777" w:rsidR="004C47D0" w:rsidRPr="00AD1AAB" w:rsidRDefault="004C47D0" w:rsidP="00C21EA8">
            <w:pPr>
              <w:pStyle w:val="Normal6a"/>
            </w:pPr>
            <w:r w:rsidRPr="00AD1AAB">
              <w:t>Os referidos atos de execução são adotados pelo procedimento a que se refere o artigo 5.º, n.º 2.</w:t>
            </w:r>
          </w:p>
        </w:tc>
        <w:tc>
          <w:tcPr>
            <w:tcW w:w="4876" w:type="dxa"/>
            <w:hideMark/>
          </w:tcPr>
          <w:p w14:paraId="31CDB530" w14:textId="77777777" w:rsidR="004C47D0" w:rsidRPr="00AD1AAB" w:rsidRDefault="004C47D0" w:rsidP="00C21EA8">
            <w:pPr>
              <w:pStyle w:val="Normal6a"/>
            </w:pPr>
            <w:r w:rsidRPr="00AD1AAB">
              <w:t xml:space="preserve">Os referidos atos de execução são adotados pelo procedimento a que se refere o artigo 5.º, n.º 2. </w:t>
            </w:r>
            <w:r w:rsidRPr="00AD1AAB">
              <w:rPr>
                <w:b/>
                <w:i/>
              </w:rPr>
              <w:t xml:space="preserve">O primeiro desses atos de execução deve ser adotado e aplicado até 30 de junho de 2026.  </w:t>
            </w:r>
          </w:p>
        </w:tc>
      </w:tr>
    </w:tbl>
    <w:p w14:paraId="6F45300A" w14:textId="77777777" w:rsidR="004C47D0" w:rsidRPr="00AD1AAB" w:rsidRDefault="004C47D0" w:rsidP="004C47D0"/>
    <w:p w14:paraId="4C50E86B" w14:textId="77777777" w:rsidR="004C47D0" w:rsidRPr="00AD1AAB" w:rsidRDefault="004C47D0" w:rsidP="004C47D0">
      <w:pPr>
        <w:pStyle w:val="AmNumberTabs"/>
      </w:pPr>
      <w:r w:rsidRPr="00AD1AAB">
        <w:t>Alteração</w:t>
      </w:r>
      <w:r w:rsidRPr="00AD1AAB">
        <w:tab/>
      </w:r>
      <w:r w:rsidRPr="00AD1AAB">
        <w:tab/>
        <w:t>39</w:t>
      </w:r>
    </w:p>
    <w:p w14:paraId="56F12337" w14:textId="77777777" w:rsidR="004C47D0" w:rsidRPr="00AD1AAB" w:rsidRDefault="004C47D0" w:rsidP="004C47D0">
      <w:pPr>
        <w:pStyle w:val="NormalBold12b"/>
      </w:pPr>
      <w:r w:rsidRPr="00AD1AAB">
        <w:t>Proposta de regulamento</w:t>
      </w:r>
    </w:p>
    <w:p w14:paraId="7BE0E6B8" w14:textId="77777777" w:rsidR="004C47D0" w:rsidRPr="00AD1AAB" w:rsidRDefault="004C47D0" w:rsidP="004C47D0">
      <w:pPr>
        <w:pStyle w:val="NormalBold"/>
      </w:pPr>
      <w:r w:rsidRPr="00AD1AAB">
        <w:t>Artigo 4 – n.º 2-A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6473ECF4" w14:textId="77777777" w:rsidTr="00C21EA8">
        <w:trPr>
          <w:trHeight w:val="240"/>
          <w:jc w:val="center"/>
        </w:trPr>
        <w:tc>
          <w:tcPr>
            <w:tcW w:w="9752" w:type="dxa"/>
            <w:gridSpan w:val="2"/>
          </w:tcPr>
          <w:p w14:paraId="7E0016B4" w14:textId="77777777" w:rsidR="004C47D0" w:rsidRPr="00AD1AAB" w:rsidRDefault="004C47D0" w:rsidP="00C21EA8"/>
        </w:tc>
      </w:tr>
      <w:tr w:rsidR="004C47D0" w:rsidRPr="00AD1AAB" w14:paraId="3219BEAB" w14:textId="77777777" w:rsidTr="00C21EA8">
        <w:trPr>
          <w:trHeight w:val="240"/>
          <w:jc w:val="center"/>
        </w:trPr>
        <w:tc>
          <w:tcPr>
            <w:tcW w:w="4876" w:type="dxa"/>
            <w:hideMark/>
          </w:tcPr>
          <w:p w14:paraId="4E562654" w14:textId="77777777" w:rsidR="004C47D0" w:rsidRPr="00AD1AAB" w:rsidRDefault="004C47D0" w:rsidP="00C21EA8">
            <w:pPr>
              <w:pStyle w:val="AmColumnHeading"/>
            </w:pPr>
            <w:r w:rsidRPr="00AD1AAB">
              <w:t>Texto da Comissão</w:t>
            </w:r>
          </w:p>
        </w:tc>
        <w:tc>
          <w:tcPr>
            <w:tcW w:w="4876" w:type="dxa"/>
            <w:hideMark/>
          </w:tcPr>
          <w:p w14:paraId="5A094E9D" w14:textId="77777777" w:rsidR="004C47D0" w:rsidRPr="00AD1AAB" w:rsidRDefault="004C47D0" w:rsidP="00C21EA8">
            <w:pPr>
              <w:pStyle w:val="AmColumnHeading"/>
            </w:pPr>
            <w:r w:rsidRPr="00AD1AAB">
              <w:t>Alteração</w:t>
            </w:r>
          </w:p>
        </w:tc>
      </w:tr>
      <w:tr w:rsidR="004C47D0" w:rsidRPr="00AD1AAB" w14:paraId="792D630F" w14:textId="77777777" w:rsidTr="00C21EA8">
        <w:trPr>
          <w:jc w:val="center"/>
        </w:trPr>
        <w:tc>
          <w:tcPr>
            <w:tcW w:w="4876" w:type="dxa"/>
          </w:tcPr>
          <w:p w14:paraId="20B47399" w14:textId="77777777" w:rsidR="004C47D0" w:rsidRPr="00AD1AAB" w:rsidRDefault="004C47D0" w:rsidP="00C21EA8">
            <w:pPr>
              <w:pStyle w:val="Normal6a"/>
            </w:pPr>
          </w:p>
        </w:tc>
        <w:tc>
          <w:tcPr>
            <w:tcW w:w="4876" w:type="dxa"/>
            <w:hideMark/>
          </w:tcPr>
          <w:p w14:paraId="45C38761" w14:textId="210EEAD0" w:rsidR="004C47D0" w:rsidRPr="00AD1AAB" w:rsidRDefault="004C47D0" w:rsidP="00C21EA8">
            <w:pPr>
              <w:pStyle w:val="Normal6a"/>
            </w:pPr>
            <w:r w:rsidRPr="00AD1AAB">
              <w:rPr>
                <w:b/>
                <w:i/>
              </w:rPr>
              <w:t>2-A.</w:t>
            </w:r>
            <w:r w:rsidRPr="00AD1AAB">
              <w:rPr>
                <w:b/>
                <w:i/>
              </w:rPr>
              <w:tab/>
              <w:t xml:space="preserve">A Comissão deve informar imediata e plenamente o Parlamento Europeu sobre as negociações com países terceiros ao abrigo do artigo XXVIII do GATT e garantir que o Parlamento Europeu tenha acesso aos documentos pertinentes. A Comissão deve publicar regularmente </w:t>
            </w:r>
            <w:r w:rsidRPr="00AD1AAB">
              <w:rPr>
                <w:b/>
                <w:i/>
              </w:rPr>
              <w:lastRenderedPageBreak/>
              <w:t>informações sobre essas negociações.</w:t>
            </w:r>
          </w:p>
        </w:tc>
      </w:tr>
    </w:tbl>
    <w:p w14:paraId="5D3E39F2" w14:textId="77777777" w:rsidR="004C47D0" w:rsidRPr="00AD1AAB" w:rsidRDefault="004C47D0" w:rsidP="004C47D0"/>
    <w:p w14:paraId="3741F0BA" w14:textId="77777777" w:rsidR="004C47D0" w:rsidRPr="00AD1AAB" w:rsidRDefault="004C47D0" w:rsidP="004C47D0">
      <w:pPr>
        <w:pStyle w:val="AmNumberTabs"/>
      </w:pPr>
    </w:p>
    <w:p w14:paraId="77BCD40D" w14:textId="77777777" w:rsidR="004C47D0" w:rsidRPr="00AD1AAB" w:rsidRDefault="004C47D0" w:rsidP="004C47D0">
      <w:pPr>
        <w:pStyle w:val="AmNumberTabs"/>
      </w:pPr>
      <w:r w:rsidRPr="00AD1AAB">
        <w:t>Alteração</w:t>
      </w:r>
      <w:r w:rsidRPr="00AD1AAB">
        <w:tab/>
      </w:r>
      <w:r w:rsidRPr="00AD1AAB">
        <w:tab/>
        <w:t>40</w:t>
      </w:r>
    </w:p>
    <w:p w14:paraId="221FF7AD" w14:textId="77777777" w:rsidR="004C47D0" w:rsidRPr="00AD1AAB" w:rsidRDefault="004C47D0" w:rsidP="004C47D0">
      <w:pPr>
        <w:pStyle w:val="NormalBold12b"/>
      </w:pPr>
      <w:r w:rsidRPr="00AD1AAB">
        <w:t>Proposta de regulamento</w:t>
      </w:r>
    </w:p>
    <w:p w14:paraId="3F6D728D" w14:textId="77777777" w:rsidR="004C47D0" w:rsidRPr="00AD1AAB" w:rsidRDefault="004C47D0" w:rsidP="004C47D0">
      <w:pPr>
        <w:pStyle w:val="NormalBold"/>
      </w:pPr>
      <w:r w:rsidRPr="00AD1AAB">
        <w:t xml:space="preserve">Artigo 6 – n.º 1 – alínea </w:t>
      </w:r>
      <w:proofErr w:type="spellStart"/>
      <w:r w:rsidRPr="00AD1AAB">
        <w:t>c-A</w:t>
      </w:r>
      <w:proofErr w:type="spellEnd"/>
      <w:r w:rsidRPr="00AD1AAB">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2A4EC226" w14:textId="77777777" w:rsidTr="00C21EA8">
        <w:trPr>
          <w:trHeight w:val="240"/>
          <w:jc w:val="center"/>
        </w:trPr>
        <w:tc>
          <w:tcPr>
            <w:tcW w:w="9752" w:type="dxa"/>
            <w:gridSpan w:val="2"/>
          </w:tcPr>
          <w:p w14:paraId="64D068BB" w14:textId="77777777" w:rsidR="004C47D0" w:rsidRPr="00AD1AAB" w:rsidRDefault="004C47D0" w:rsidP="00C21EA8"/>
        </w:tc>
      </w:tr>
      <w:tr w:rsidR="004C47D0" w:rsidRPr="00AD1AAB" w14:paraId="35E979D8" w14:textId="77777777" w:rsidTr="00C21EA8">
        <w:trPr>
          <w:trHeight w:val="240"/>
          <w:jc w:val="center"/>
        </w:trPr>
        <w:tc>
          <w:tcPr>
            <w:tcW w:w="4876" w:type="dxa"/>
            <w:hideMark/>
          </w:tcPr>
          <w:p w14:paraId="2A7AFB15" w14:textId="77777777" w:rsidR="004C47D0" w:rsidRPr="00AD1AAB" w:rsidRDefault="004C47D0" w:rsidP="00C21EA8">
            <w:pPr>
              <w:pStyle w:val="AmColumnHeading"/>
            </w:pPr>
            <w:r w:rsidRPr="00AD1AAB">
              <w:t>Texto da Comissão</w:t>
            </w:r>
          </w:p>
        </w:tc>
        <w:tc>
          <w:tcPr>
            <w:tcW w:w="4876" w:type="dxa"/>
            <w:hideMark/>
          </w:tcPr>
          <w:p w14:paraId="4AFF0ED9" w14:textId="77777777" w:rsidR="004C47D0" w:rsidRPr="00AD1AAB" w:rsidRDefault="004C47D0" w:rsidP="00C21EA8">
            <w:pPr>
              <w:pStyle w:val="AmColumnHeading"/>
            </w:pPr>
            <w:r w:rsidRPr="00AD1AAB">
              <w:t>Alteração</w:t>
            </w:r>
          </w:p>
        </w:tc>
      </w:tr>
      <w:tr w:rsidR="004C47D0" w:rsidRPr="00AD1AAB" w14:paraId="643880F3" w14:textId="77777777" w:rsidTr="00C21EA8">
        <w:trPr>
          <w:jc w:val="center"/>
        </w:trPr>
        <w:tc>
          <w:tcPr>
            <w:tcW w:w="4876" w:type="dxa"/>
          </w:tcPr>
          <w:p w14:paraId="58F4133B" w14:textId="77777777" w:rsidR="004C47D0" w:rsidRPr="00AD1AAB" w:rsidRDefault="004C47D0" w:rsidP="00C21EA8">
            <w:pPr>
              <w:pStyle w:val="Normal6a"/>
            </w:pPr>
          </w:p>
        </w:tc>
        <w:tc>
          <w:tcPr>
            <w:tcW w:w="4876" w:type="dxa"/>
            <w:hideMark/>
          </w:tcPr>
          <w:p w14:paraId="2692AE61" w14:textId="1AF28C17" w:rsidR="004C47D0" w:rsidRPr="00AD1AAB" w:rsidRDefault="004C47D0" w:rsidP="00C21EA8">
            <w:pPr>
              <w:pStyle w:val="Normal6a"/>
              <w:rPr>
                <w:b/>
                <w:bCs/>
                <w:i/>
                <w:iCs/>
              </w:rPr>
            </w:pPr>
            <w:proofErr w:type="spellStart"/>
            <w:r w:rsidRPr="00AD1AAB">
              <w:rPr>
                <w:b/>
                <w:i/>
              </w:rPr>
              <w:t>c-A</w:t>
            </w:r>
            <w:proofErr w:type="spellEnd"/>
            <w:r w:rsidRPr="00AD1AAB">
              <w:rPr>
                <w:b/>
                <w:i/>
              </w:rPr>
              <w:t>)</w:t>
            </w:r>
            <w:r w:rsidRPr="00AD1AAB">
              <w:rPr>
                <w:b/>
                <w:i/>
              </w:rPr>
              <w:tab/>
              <w:t>A trajetória de descarbonização do setor siderúrgico na União;</w:t>
            </w:r>
          </w:p>
        </w:tc>
      </w:tr>
    </w:tbl>
    <w:p w14:paraId="66B7CF94" w14:textId="77777777" w:rsidR="004C47D0" w:rsidRPr="00AD1AAB" w:rsidRDefault="004C47D0" w:rsidP="004C47D0"/>
    <w:p w14:paraId="34A350C9" w14:textId="77777777" w:rsidR="004C47D0" w:rsidRPr="00AD1AAB" w:rsidRDefault="004C47D0" w:rsidP="004C47D0">
      <w:pPr>
        <w:pStyle w:val="AmNumberTabs"/>
      </w:pPr>
      <w:r w:rsidRPr="00AD1AAB">
        <w:t>Alteração</w:t>
      </w:r>
      <w:r w:rsidRPr="00AD1AAB">
        <w:tab/>
      </w:r>
      <w:r w:rsidRPr="00AD1AAB">
        <w:tab/>
        <w:t>41</w:t>
      </w:r>
    </w:p>
    <w:p w14:paraId="785EF7B2" w14:textId="77777777" w:rsidR="004C47D0" w:rsidRPr="00AD1AAB" w:rsidRDefault="004C47D0" w:rsidP="004C47D0">
      <w:pPr>
        <w:pStyle w:val="NormalBold12b"/>
      </w:pPr>
      <w:r w:rsidRPr="00AD1AAB">
        <w:t>Proposta de regulamento</w:t>
      </w:r>
    </w:p>
    <w:p w14:paraId="6E516F35" w14:textId="77777777" w:rsidR="004C47D0" w:rsidRPr="00AD1AAB" w:rsidRDefault="004C47D0" w:rsidP="004C47D0">
      <w:pPr>
        <w:pStyle w:val="NormalBold"/>
      </w:pPr>
      <w:r w:rsidRPr="00AD1AAB">
        <w:t>Artigo 6 – n.º 1 – alínea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19076969" w14:textId="77777777" w:rsidTr="00C21EA8">
        <w:trPr>
          <w:trHeight w:val="240"/>
          <w:jc w:val="center"/>
        </w:trPr>
        <w:tc>
          <w:tcPr>
            <w:tcW w:w="9752" w:type="dxa"/>
            <w:gridSpan w:val="2"/>
          </w:tcPr>
          <w:p w14:paraId="452434B9" w14:textId="77777777" w:rsidR="004C47D0" w:rsidRPr="00AD1AAB" w:rsidRDefault="004C47D0" w:rsidP="00C21EA8"/>
        </w:tc>
      </w:tr>
      <w:tr w:rsidR="004C47D0" w:rsidRPr="00AD1AAB" w14:paraId="7EF6E9ED" w14:textId="77777777" w:rsidTr="00C21EA8">
        <w:trPr>
          <w:trHeight w:val="240"/>
          <w:jc w:val="center"/>
        </w:trPr>
        <w:tc>
          <w:tcPr>
            <w:tcW w:w="4876" w:type="dxa"/>
            <w:hideMark/>
          </w:tcPr>
          <w:p w14:paraId="4C63B091" w14:textId="77777777" w:rsidR="004C47D0" w:rsidRPr="00AD1AAB" w:rsidRDefault="004C47D0" w:rsidP="00C21EA8">
            <w:pPr>
              <w:pStyle w:val="AmColumnHeading"/>
            </w:pPr>
            <w:r w:rsidRPr="00AD1AAB">
              <w:t>Texto da Comissão</w:t>
            </w:r>
          </w:p>
        </w:tc>
        <w:tc>
          <w:tcPr>
            <w:tcW w:w="4876" w:type="dxa"/>
            <w:hideMark/>
          </w:tcPr>
          <w:p w14:paraId="27799932" w14:textId="77777777" w:rsidR="004C47D0" w:rsidRPr="00AD1AAB" w:rsidRDefault="004C47D0" w:rsidP="00C21EA8">
            <w:pPr>
              <w:pStyle w:val="AmColumnHeading"/>
            </w:pPr>
            <w:r w:rsidRPr="00AD1AAB">
              <w:t>Alteração</w:t>
            </w:r>
          </w:p>
        </w:tc>
      </w:tr>
      <w:tr w:rsidR="004C47D0" w:rsidRPr="00AD1AAB" w14:paraId="16C5AC2E" w14:textId="77777777" w:rsidTr="00C21EA8">
        <w:trPr>
          <w:jc w:val="center"/>
        </w:trPr>
        <w:tc>
          <w:tcPr>
            <w:tcW w:w="4876" w:type="dxa"/>
          </w:tcPr>
          <w:p w14:paraId="61793656" w14:textId="77777777" w:rsidR="004C47D0" w:rsidRPr="00AD1AAB" w:rsidRDefault="004C47D0" w:rsidP="00C21EA8">
            <w:pPr>
              <w:pStyle w:val="Normal6a"/>
            </w:pPr>
            <w:r w:rsidRPr="00AD1AAB">
              <w:t>e)</w:t>
            </w:r>
            <w:r w:rsidRPr="00AD1AAB">
              <w:rPr>
                <w:b/>
                <w:i/>
              </w:rPr>
              <w:tab/>
            </w:r>
            <w:r w:rsidRPr="00AD1AAB">
              <w:t>Possíveis problemas de disponibilidade do aprovisionamento de determinadas categorias do produto;</w:t>
            </w:r>
          </w:p>
        </w:tc>
        <w:tc>
          <w:tcPr>
            <w:tcW w:w="4876" w:type="dxa"/>
            <w:hideMark/>
          </w:tcPr>
          <w:p w14:paraId="02266A39" w14:textId="65F50AF9" w:rsidR="004C47D0" w:rsidRPr="00AD1AAB" w:rsidRDefault="004C47D0" w:rsidP="00C21EA8">
            <w:pPr>
              <w:pStyle w:val="Normal6a"/>
              <w:rPr>
                <w:b/>
                <w:bCs/>
                <w:i/>
                <w:iCs/>
              </w:rPr>
            </w:pPr>
            <w:r w:rsidRPr="00AD1AAB">
              <w:t>e)</w:t>
            </w:r>
            <w:r w:rsidRPr="00AD1AAB">
              <w:rPr>
                <w:b/>
                <w:i/>
              </w:rPr>
              <w:tab/>
            </w:r>
            <w:r w:rsidRPr="00AD1AAB">
              <w:t>Possíveis problemas de disponibilidade do aprovisionamento de determinadas categorias do produto</w:t>
            </w:r>
            <w:r w:rsidRPr="00AD1AAB">
              <w:rPr>
                <w:b/>
                <w:i/>
              </w:rPr>
              <w:t xml:space="preserve"> e o seu impacto nas cadeias de valor a jusante</w:t>
            </w:r>
            <w:r w:rsidRPr="00AD1AAB">
              <w:t>;</w:t>
            </w:r>
          </w:p>
        </w:tc>
      </w:tr>
    </w:tbl>
    <w:p w14:paraId="386B1F47" w14:textId="77777777" w:rsidR="004C47D0" w:rsidRPr="00AD1AAB" w:rsidRDefault="004C47D0" w:rsidP="004C47D0"/>
    <w:p w14:paraId="009BCAFA" w14:textId="77777777" w:rsidR="004C47D0" w:rsidRPr="00AD1AAB" w:rsidRDefault="004C47D0" w:rsidP="004C47D0">
      <w:pPr>
        <w:pStyle w:val="AmNumberTabs"/>
      </w:pPr>
      <w:r w:rsidRPr="00AD1AAB">
        <w:t>Alteração</w:t>
      </w:r>
      <w:r w:rsidRPr="00AD1AAB">
        <w:tab/>
      </w:r>
      <w:r w:rsidRPr="00AD1AAB">
        <w:tab/>
        <w:t>42</w:t>
      </w:r>
    </w:p>
    <w:p w14:paraId="73C686AC" w14:textId="77777777" w:rsidR="004C47D0" w:rsidRPr="00AD1AAB" w:rsidRDefault="004C47D0" w:rsidP="004C47D0">
      <w:pPr>
        <w:pStyle w:val="NormalBold12b"/>
      </w:pPr>
      <w:r w:rsidRPr="00AD1AAB">
        <w:t>Proposta de regulamento</w:t>
      </w:r>
    </w:p>
    <w:p w14:paraId="22297AFC" w14:textId="77777777" w:rsidR="004C47D0" w:rsidRPr="00AD1AAB" w:rsidRDefault="004C47D0" w:rsidP="004C47D0">
      <w:pPr>
        <w:pStyle w:val="NormalBold"/>
      </w:pPr>
      <w:r w:rsidRPr="00AD1AAB">
        <w:t xml:space="preserve">Artigo 6 – n.º 1 – alínea </w:t>
      </w:r>
      <w:proofErr w:type="spellStart"/>
      <w:r w:rsidRPr="00AD1AAB">
        <w:t>e-A</w:t>
      </w:r>
      <w:proofErr w:type="spellEnd"/>
      <w:r w:rsidRPr="00AD1AAB">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73AF65D4" w14:textId="77777777" w:rsidTr="00C21EA8">
        <w:trPr>
          <w:trHeight w:val="240"/>
          <w:jc w:val="center"/>
        </w:trPr>
        <w:tc>
          <w:tcPr>
            <w:tcW w:w="9752" w:type="dxa"/>
            <w:gridSpan w:val="2"/>
          </w:tcPr>
          <w:p w14:paraId="2C5FD65D" w14:textId="77777777" w:rsidR="004C47D0" w:rsidRPr="00AD1AAB" w:rsidRDefault="004C47D0" w:rsidP="00C21EA8"/>
        </w:tc>
      </w:tr>
      <w:tr w:rsidR="004C47D0" w:rsidRPr="00AD1AAB" w14:paraId="34017626" w14:textId="77777777" w:rsidTr="00C21EA8">
        <w:trPr>
          <w:trHeight w:val="240"/>
          <w:jc w:val="center"/>
        </w:trPr>
        <w:tc>
          <w:tcPr>
            <w:tcW w:w="4876" w:type="dxa"/>
            <w:hideMark/>
          </w:tcPr>
          <w:p w14:paraId="2AE27120" w14:textId="77777777" w:rsidR="004C47D0" w:rsidRPr="00AD1AAB" w:rsidRDefault="004C47D0" w:rsidP="00C21EA8">
            <w:pPr>
              <w:pStyle w:val="AmColumnHeading"/>
            </w:pPr>
            <w:r w:rsidRPr="00AD1AAB">
              <w:t>Texto da Comissão</w:t>
            </w:r>
          </w:p>
        </w:tc>
        <w:tc>
          <w:tcPr>
            <w:tcW w:w="4876" w:type="dxa"/>
            <w:hideMark/>
          </w:tcPr>
          <w:p w14:paraId="4C1A9CE2" w14:textId="77777777" w:rsidR="004C47D0" w:rsidRPr="00AD1AAB" w:rsidRDefault="004C47D0" w:rsidP="00C21EA8">
            <w:pPr>
              <w:pStyle w:val="AmColumnHeading"/>
            </w:pPr>
            <w:r w:rsidRPr="00AD1AAB">
              <w:t>Alteração</w:t>
            </w:r>
          </w:p>
        </w:tc>
      </w:tr>
      <w:tr w:rsidR="004C47D0" w:rsidRPr="00AD1AAB" w14:paraId="3D5B9894" w14:textId="77777777" w:rsidTr="00C21EA8">
        <w:trPr>
          <w:jc w:val="center"/>
        </w:trPr>
        <w:tc>
          <w:tcPr>
            <w:tcW w:w="4876" w:type="dxa"/>
          </w:tcPr>
          <w:p w14:paraId="371E66CC" w14:textId="77777777" w:rsidR="004C47D0" w:rsidRPr="00AD1AAB" w:rsidRDefault="004C47D0" w:rsidP="00C21EA8">
            <w:pPr>
              <w:pStyle w:val="Normal6a"/>
            </w:pPr>
          </w:p>
        </w:tc>
        <w:tc>
          <w:tcPr>
            <w:tcW w:w="4876" w:type="dxa"/>
            <w:hideMark/>
          </w:tcPr>
          <w:p w14:paraId="245A7588" w14:textId="04B2E148" w:rsidR="004C47D0" w:rsidRPr="00AD1AAB" w:rsidRDefault="004C47D0" w:rsidP="00C21EA8">
            <w:pPr>
              <w:pStyle w:val="Normal6a"/>
            </w:pPr>
            <w:proofErr w:type="spellStart"/>
            <w:r w:rsidRPr="00AD1AAB">
              <w:rPr>
                <w:b/>
                <w:i/>
              </w:rPr>
              <w:t>e-A</w:t>
            </w:r>
            <w:proofErr w:type="spellEnd"/>
            <w:r w:rsidRPr="00AD1AAB">
              <w:rPr>
                <w:b/>
                <w:i/>
              </w:rPr>
              <w:t>)</w:t>
            </w:r>
            <w:r w:rsidRPr="00AD1AAB">
              <w:rPr>
                <w:b/>
                <w:i/>
              </w:rPr>
              <w:tab/>
              <w:t>Os interesses essenciais da União, em particular a política comum de segurança e da defesa da União;</w:t>
            </w:r>
          </w:p>
        </w:tc>
      </w:tr>
    </w:tbl>
    <w:p w14:paraId="7DF94C1D" w14:textId="77777777" w:rsidR="004C47D0" w:rsidRPr="00AD1AAB" w:rsidRDefault="004C47D0" w:rsidP="004C47D0"/>
    <w:p w14:paraId="5FE9F962" w14:textId="77777777" w:rsidR="004C47D0" w:rsidRPr="00AD1AAB" w:rsidRDefault="004C47D0" w:rsidP="004C47D0">
      <w:pPr>
        <w:pStyle w:val="AmNumberTabs"/>
      </w:pPr>
      <w:r w:rsidRPr="00AD1AAB">
        <w:t>Alteração</w:t>
      </w:r>
      <w:r w:rsidRPr="00AD1AAB">
        <w:tab/>
      </w:r>
      <w:r w:rsidRPr="00AD1AAB">
        <w:tab/>
        <w:t>43</w:t>
      </w:r>
    </w:p>
    <w:p w14:paraId="2E110064" w14:textId="77777777" w:rsidR="004C47D0" w:rsidRPr="00AD1AAB" w:rsidRDefault="004C47D0" w:rsidP="004C47D0">
      <w:pPr>
        <w:pStyle w:val="NormalBold12b"/>
      </w:pPr>
      <w:r w:rsidRPr="00AD1AAB">
        <w:t>Proposta de regulamento</w:t>
      </w:r>
    </w:p>
    <w:p w14:paraId="5D48C35C" w14:textId="77777777" w:rsidR="004C47D0" w:rsidRPr="00AD1AAB" w:rsidRDefault="004C47D0" w:rsidP="004C47D0">
      <w:pPr>
        <w:pStyle w:val="NormalBold"/>
      </w:pPr>
      <w:r w:rsidRPr="00AD1AAB">
        <w:t>Artigo 6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5C2DA114" w14:textId="77777777" w:rsidTr="00C21EA8">
        <w:trPr>
          <w:trHeight w:val="240"/>
          <w:jc w:val="center"/>
        </w:trPr>
        <w:tc>
          <w:tcPr>
            <w:tcW w:w="9752" w:type="dxa"/>
            <w:gridSpan w:val="2"/>
          </w:tcPr>
          <w:p w14:paraId="4B7B81C1" w14:textId="77777777" w:rsidR="004C47D0" w:rsidRPr="00AD1AAB" w:rsidRDefault="004C47D0" w:rsidP="00C21EA8"/>
        </w:tc>
      </w:tr>
      <w:tr w:rsidR="004C47D0" w:rsidRPr="00AD1AAB" w14:paraId="3708354C" w14:textId="77777777" w:rsidTr="00C21EA8">
        <w:trPr>
          <w:trHeight w:val="240"/>
          <w:jc w:val="center"/>
        </w:trPr>
        <w:tc>
          <w:tcPr>
            <w:tcW w:w="4876" w:type="dxa"/>
            <w:hideMark/>
          </w:tcPr>
          <w:p w14:paraId="5D895F8B" w14:textId="77777777" w:rsidR="004C47D0" w:rsidRPr="00AD1AAB" w:rsidRDefault="004C47D0" w:rsidP="00C21EA8">
            <w:pPr>
              <w:pStyle w:val="AmColumnHeading"/>
            </w:pPr>
            <w:r w:rsidRPr="00AD1AAB">
              <w:t>Texto da Comissão</w:t>
            </w:r>
          </w:p>
        </w:tc>
        <w:tc>
          <w:tcPr>
            <w:tcW w:w="4876" w:type="dxa"/>
            <w:hideMark/>
          </w:tcPr>
          <w:p w14:paraId="7A234B2F" w14:textId="77777777" w:rsidR="004C47D0" w:rsidRPr="00AD1AAB" w:rsidRDefault="004C47D0" w:rsidP="00C21EA8">
            <w:pPr>
              <w:pStyle w:val="AmColumnHeading"/>
            </w:pPr>
            <w:r w:rsidRPr="00AD1AAB">
              <w:t>Alteração</w:t>
            </w:r>
          </w:p>
        </w:tc>
      </w:tr>
      <w:tr w:rsidR="004C47D0" w:rsidRPr="00AD1AAB" w14:paraId="42B1D81A" w14:textId="77777777" w:rsidTr="00C21EA8">
        <w:trPr>
          <w:jc w:val="center"/>
        </w:trPr>
        <w:tc>
          <w:tcPr>
            <w:tcW w:w="4876" w:type="dxa"/>
          </w:tcPr>
          <w:p w14:paraId="50F17BC0" w14:textId="77777777" w:rsidR="004C47D0" w:rsidRPr="00AD1AAB" w:rsidRDefault="004C47D0" w:rsidP="00C21EA8">
            <w:pPr>
              <w:pStyle w:val="Normal6a"/>
            </w:pPr>
            <w:r w:rsidRPr="00AD1AAB">
              <w:t>2.</w:t>
            </w:r>
            <w:r w:rsidRPr="00AD1AAB">
              <w:tab/>
            </w:r>
            <w:r w:rsidRPr="00AD1AAB">
              <w:rPr>
                <w:b/>
                <w:i/>
              </w:rPr>
              <w:t xml:space="preserve"> </w:t>
            </w:r>
            <w:r w:rsidRPr="00AD1AAB">
              <w:t xml:space="preserve">A Comissão fica habilitada a adotar </w:t>
            </w:r>
            <w:r w:rsidRPr="00AD1AAB">
              <w:lastRenderedPageBreak/>
              <w:t>atos delegados em conformidade com o artigo 7.º para complementar o presente regulamento, estabelecendo regras de execução para a aplicação do artigo 3.º</w:t>
            </w:r>
            <w:r w:rsidRPr="00AD1AAB">
              <w:rPr>
                <w:b/>
                <w:i/>
              </w:rPr>
              <w:t>.</w:t>
            </w:r>
          </w:p>
        </w:tc>
        <w:tc>
          <w:tcPr>
            <w:tcW w:w="4876" w:type="dxa"/>
            <w:hideMark/>
          </w:tcPr>
          <w:p w14:paraId="5B25581B" w14:textId="5452E861" w:rsidR="004C47D0" w:rsidRPr="00AD1AAB" w:rsidRDefault="004C47D0" w:rsidP="00C21EA8">
            <w:pPr>
              <w:pStyle w:val="Normal6a"/>
            </w:pPr>
            <w:r w:rsidRPr="00AD1AAB">
              <w:lastRenderedPageBreak/>
              <w:t>2.</w:t>
            </w:r>
            <w:r w:rsidRPr="00AD1AAB">
              <w:rPr>
                <w:b/>
                <w:i/>
              </w:rPr>
              <w:tab/>
            </w:r>
            <w:r w:rsidRPr="00AD1AAB">
              <w:t xml:space="preserve">A Comissão fica habilitada a adotar </w:t>
            </w:r>
            <w:r w:rsidRPr="00AD1AAB">
              <w:lastRenderedPageBreak/>
              <w:t xml:space="preserve">atos delegados em conformidade com o artigo 7.º para complementar o presente regulamento, estabelecendo regras </w:t>
            </w:r>
            <w:r w:rsidRPr="00AD1AAB">
              <w:rPr>
                <w:b/>
                <w:i/>
              </w:rPr>
              <w:t xml:space="preserve">e modalidades </w:t>
            </w:r>
            <w:r w:rsidRPr="00AD1AAB">
              <w:t>de execução para a aplicação do artigo 3.º</w:t>
            </w:r>
            <w:r w:rsidRPr="00AD1AAB">
              <w:rPr>
                <w:b/>
                <w:i/>
              </w:rPr>
              <w:t>, e em particular:</w:t>
            </w:r>
          </w:p>
        </w:tc>
      </w:tr>
    </w:tbl>
    <w:p w14:paraId="3BBC448C" w14:textId="77777777" w:rsidR="004C47D0" w:rsidRPr="00AD1AAB" w:rsidRDefault="004C47D0" w:rsidP="004C47D0"/>
    <w:p w14:paraId="409E864D" w14:textId="77777777" w:rsidR="004C47D0" w:rsidRPr="00AD1AAB" w:rsidRDefault="004C47D0" w:rsidP="004C47D0">
      <w:pPr>
        <w:pStyle w:val="AmNumberTabs"/>
      </w:pPr>
      <w:r w:rsidRPr="00AD1AAB">
        <w:t>Alteração</w:t>
      </w:r>
      <w:r w:rsidRPr="00AD1AAB">
        <w:tab/>
      </w:r>
      <w:r w:rsidRPr="00AD1AAB">
        <w:tab/>
        <w:t>44</w:t>
      </w:r>
    </w:p>
    <w:p w14:paraId="1C9310D7" w14:textId="77777777" w:rsidR="004C47D0" w:rsidRPr="00AD1AAB" w:rsidRDefault="004C47D0" w:rsidP="004C47D0">
      <w:pPr>
        <w:pStyle w:val="NormalBold12b"/>
      </w:pPr>
      <w:r w:rsidRPr="00AD1AAB">
        <w:t>Proposta de regulamento</w:t>
      </w:r>
    </w:p>
    <w:p w14:paraId="50F9CBEA" w14:textId="77777777" w:rsidR="004C47D0" w:rsidRPr="00AD1AAB" w:rsidRDefault="004C47D0" w:rsidP="004C47D0">
      <w:pPr>
        <w:pStyle w:val="NormalBold"/>
      </w:pPr>
      <w:r w:rsidRPr="00AD1AAB">
        <w:t>Artigo 6 – n.º 2 – parágrafo 1 – alínea 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0E870208" w14:textId="77777777" w:rsidTr="00C21EA8">
        <w:trPr>
          <w:trHeight w:val="240"/>
          <w:jc w:val="center"/>
        </w:trPr>
        <w:tc>
          <w:tcPr>
            <w:tcW w:w="9752" w:type="dxa"/>
            <w:gridSpan w:val="2"/>
          </w:tcPr>
          <w:p w14:paraId="1A10B89C" w14:textId="77777777" w:rsidR="004C47D0" w:rsidRPr="00AD1AAB" w:rsidRDefault="004C47D0" w:rsidP="00C21EA8"/>
        </w:tc>
      </w:tr>
      <w:tr w:rsidR="004C47D0" w:rsidRPr="00AD1AAB" w14:paraId="35AB03A0" w14:textId="77777777" w:rsidTr="00C21EA8">
        <w:trPr>
          <w:trHeight w:val="240"/>
          <w:jc w:val="center"/>
        </w:trPr>
        <w:tc>
          <w:tcPr>
            <w:tcW w:w="4876" w:type="dxa"/>
            <w:hideMark/>
          </w:tcPr>
          <w:p w14:paraId="6C6599B6" w14:textId="77777777" w:rsidR="004C47D0" w:rsidRPr="00AD1AAB" w:rsidRDefault="004C47D0" w:rsidP="00C21EA8">
            <w:pPr>
              <w:pStyle w:val="AmColumnHeading"/>
            </w:pPr>
            <w:r w:rsidRPr="00AD1AAB">
              <w:t>Texto da Comissão</w:t>
            </w:r>
          </w:p>
        </w:tc>
        <w:tc>
          <w:tcPr>
            <w:tcW w:w="4876" w:type="dxa"/>
            <w:hideMark/>
          </w:tcPr>
          <w:p w14:paraId="10C6CCC9" w14:textId="77777777" w:rsidR="004C47D0" w:rsidRPr="00AD1AAB" w:rsidRDefault="004C47D0" w:rsidP="00C21EA8">
            <w:pPr>
              <w:pStyle w:val="AmColumnHeading"/>
            </w:pPr>
            <w:r w:rsidRPr="00AD1AAB">
              <w:t>Alteração</w:t>
            </w:r>
          </w:p>
        </w:tc>
      </w:tr>
      <w:tr w:rsidR="004C47D0" w:rsidRPr="00AD1AAB" w14:paraId="15947557" w14:textId="77777777" w:rsidTr="00C21EA8">
        <w:trPr>
          <w:jc w:val="center"/>
        </w:trPr>
        <w:tc>
          <w:tcPr>
            <w:tcW w:w="4876" w:type="dxa"/>
          </w:tcPr>
          <w:p w14:paraId="7CB6EB56" w14:textId="77777777" w:rsidR="004C47D0" w:rsidRPr="00AD1AAB" w:rsidRDefault="004C47D0" w:rsidP="00C21EA8">
            <w:pPr>
              <w:pStyle w:val="Normal6a"/>
            </w:pPr>
          </w:p>
        </w:tc>
        <w:tc>
          <w:tcPr>
            <w:tcW w:w="4876" w:type="dxa"/>
            <w:hideMark/>
          </w:tcPr>
          <w:p w14:paraId="106F36C2" w14:textId="77777777" w:rsidR="004C47D0" w:rsidRPr="00AD1AAB" w:rsidRDefault="004C47D0" w:rsidP="00C21EA8">
            <w:pPr>
              <w:pStyle w:val="Normal6a"/>
              <w:rPr>
                <w:b/>
                <w:bCs/>
                <w:i/>
                <w:iCs/>
              </w:rPr>
            </w:pPr>
            <w:r w:rsidRPr="00AD1AAB">
              <w:rPr>
                <w:b/>
                <w:i/>
              </w:rPr>
              <w:t>a)</w:t>
            </w:r>
            <w:r w:rsidRPr="00AD1AAB">
              <w:rPr>
                <w:b/>
                <w:i/>
              </w:rPr>
              <w:tab/>
              <w:t>Regras e modalidades para os elementos de prova adequados referidos no artigo 3.º, n.º 2, que comprovem o país de «fundição e vazamento» do aço utilizado na produção do produto.</w:t>
            </w:r>
          </w:p>
        </w:tc>
      </w:tr>
    </w:tbl>
    <w:p w14:paraId="7B663B4E" w14:textId="77777777" w:rsidR="004C47D0" w:rsidRPr="00AD1AAB" w:rsidRDefault="004C47D0" w:rsidP="004C47D0"/>
    <w:p w14:paraId="1BFE2217" w14:textId="77777777" w:rsidR="004C47D0" w:rsidRPr="00AD1AAB" w:rsidRDefault="004C47D0" w:rsidP="004C47D0">
      <w:pPr>
        <w:pStyle w:val="AmNumberTabs"/>
      </w:pPr>
      <w:r w:rsidRPr="00AD1AAB">
        <w:t>Alteração</w:t>
      </w:r>
      <w:r w:rsidRPr="00AD1AAB">
        <w:tab/>
      </w:r>
      <w:r w:rsidRPr="00AD1AAB">
        <w:tab/>
        <w:t>45</w:t>
      </w:r>
    </w:p>
    <w:p w14:paraId="7F6E7E7B" w14:textId="77777777" w:rsidR="004C47D0" w:rsidRPr="00AD1AAB" w:rsidRDefault="004C47D0" w:rsidP="004C47D0">
      <w:pPr>
        <w:pStyle w:val="NormalBold12b"/>
      </w:pPr>
      <w:r w:rsidRPr="00AD1AAB">
        <w:t>Proposta de regulamento</w:t>
      </w:r>
    </w:p>
    <w:p w14:paraId="4CF72261" w14:textId="77777777" w:rsidR="004C47D0" w:rsidRPr="00AD1AAB" w:rsidRDefault="004C47D0" w:rsidP="004C47D0">
      <w:pPr>
        <w:pStyle w:val="NormalBold"/>
      </w:pPr>
      <w:r w:rsidRPr="00AD1AAB">
        <w:t>Artigo 6 – n.º 2 – parágrafo 1 – alínea b (nova)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44657F1C" w14:textId="77777777" w:rsidTr="00C21EA8">
        <w:trPr>
          <w:trHeight w:val="240"/>
          <w:jc w:val="center"/>
        </w:trPr>
        <w:tc>
          <w:tcPr>
            <w:tcW w:w="9752" w:type="dxa"/>
            <w:gridSpan w:val="2"/>
          </w:tcPr>
          <w:p w14:paraId="3FEEBA15" w14:textId="77777777" w:rsidR="004C47D0" w:rsidRPr="00AD1AAB" w:rsidRDefault="004C47D0" w:rsidP="00C21EA8"/>
        </w:tc>
      </w:tr>
      <w:tr w:rsidR="004C47D0" w:rsidRPr="00AD1AAB" w14:paraId="63AE1144" w14:textId="77777777" w:rsidTr="00C21EA8">
        <w:trPr>
          <w:trHeight w:val="240"/>
          <w:jc w:val="center"/>
        </w:trPr>
        <w:tc>
          <w:tcPr>
            <w:tcW w:w="4876" w:type="dxa"/>
            <w:hideMark/>
          </w:tcPr>
          <w:p w14:paraId="04CA39F4" w14:textId="77777777" w:rsidR="004C47D0" w:rsidRPr="00AD1AAB" w:rsidRDefault="004C47D0" w:rsidP="00C21EA8">
            <w:pPr>
              <w:pStyle w:val="AmColumnHeading"/>
            </w:pPr>
            <w:r w:rsidRPr="00AD1AAB">
              <w:t>Texto da Comissão</w:t>
            </w:r>
          </w:p>
        </w:tc>
        <w:tc>
          <w:tcPr>
            <w:tcW w:w="4876" w:type="dxa"/>
            <w:hideMark/>
          </w:tcPr>
          <w:p w14:paraId="5D1E04E1" w14:textId="77777777" w:rsidR="004C47D0" w:rsidRPr="00AD1AAB" w:rsidRDefault="004C47D0" w:rsidP="00C21EA8">
            <w:pPr>
              <w:pStyle w:val="AmColumnHeading"/>
            </w:pPr>
            <w:r w:rsidRPr="00AD1AAB">
              <w:t>Alteração</w:t>
            </w:r>
          </w:p>
        </w:tc>
      </w:tr>
      <w:tr w:rsidR="004C47D0" w:rsidRPr="00AD1AAB" w14:paraId="486BD71F" w14:textId="77777777" w:rsidTr="00C21EA8">
        <w:trPr>
          <w:jc w:val="center"/>
        </w:trPr>
        <w:tc>
          <w:tcPr>
            <w:tcW w:w="4876" w:type="dxa"/>
          </w:tcPr>
          <w:p w14:paraId="27D93C44" w14:textId="77777777" w:rsidR="004C47D0" w:rsidRPr="00AD1AAB" w:rsidRDefault="004C47D0" w:rsidP="00C21EA8">
            <w:pPr>
              <w:pStyle w:val="Normal6a"/>
              <w:ind w:left="116"/>
            </w:pPr>
          </w:p>
        </w:tc>
        <w:tc>
          <w:tcPr>
            <w:tcW w:w="4876" w:type="dxa"/>
            <w:hideMark/>
          </w:tcPr>
          <w:p w14:paraId="53E9B905" w14:textId="77777777" w:rsidR="004C47D0" w:rsidRPr="00AD1AAB" w:rsidRDefault="004C47D0" w:rsidP="00C21EA8">
            <w:pPr>
              <w:pStyle w:val="Normal6a"/>
              <w:rPr>
                <w:b/>
                <w:bCs/>
                <w:i/>
                <w:iCs/>
              </w:rPr>
            </w:pPr>
            <w:r w:rsidRPr="00AD1AAB">
              <w:rPr>
                <w:b/>
                <w:i/>
              </w:rPr>
              <w:t>b)</w:t>
            </w:r>
            <w:r w:rsidRPr="00AD1AAB">
              <w:rPr>
                <w:b/>
                <w:i/>
              </w:rPr>
              <w:tab/>
              <w:t xml:space="preserve">Regras pormenorizadas para garantir a autenticidade e a rastreabilidade dos certificados de </w:t>
            </w:r>
            <w:proofErr w:type="spellStart"/>
            <w:r w:rsidRPr="00AD1AAB">
              <w:rPr>
                <w:b/>
                <w:i/>
              </w:rPr>
              <w:t>aciaria</w:t>
            </w:r>
            <w:proofErr w:type="spellEnd"/>
            <w:r w:rsidRPr="00AD1AAB">
              <w:rPr>
                <w:b/>
                <w:i/>
              </w:rPr>
              <w:t xml:space="preserve"> referidos no artigo 3.º, n.º 2, incluindo, se for caso disso, a utilização de sistemas de verificação digital, números de identificação únicos ou outros mecanismos de controlo para prevenir a falsificação ou a utilização abusiva, tendo simultaneamente em conta a situação específica das pequenas e médias empresas (PME) e evitando encargos administrativos desproporcionados. </w:t>
            </w:r>
          </w:p>
        </w:tc>
      </w:tr>
    </w:tbl>
    <w:p w14:paraId="6C28A616" w14:textId="77777777" w:rsidR="004C47D0" w:rsidRPr="00AD1AAB" w:rsidRDefault="004C47D0" w:rsidP="004C47D0"/>
    <w:p w14:paraId="6E78946C" w14:textId="77777777" w:rsidR="004C47D0" w:rsidRPr="00AD1AAB" w:rsidRDefault="004C47D0" w:rsidP="004C47D0">
      <w:pPr>
        <w:pStyle w:val="AmNumberTabs"/>
      </w:pPr>
      <w:r w:rsidRPr="00AD1AAB">
        <w:t>Alteração</w:t>
      </w:r>
      <w:r w:rsidRPr="00AD1AAB">
        <w:tab/>
      </w:r>
      <w:r w:rsidRPr="00AD1AAB">
        <w:tab/>
        <w:t>46</w:t>
      </w:r>
    </w:p>
    <w:p w14:paraId="22E2EBF2" w14:textId="77777777" w:rsidR="004C47D0" w:rsidRPr="00AD1AAB" w:rsidRDefault="004C47D0" w:rsidP="004C47D0">
      <w:pPr>
        <w:pStyle w:val="NormalBold12b"/>
      </w:pPr>
      <w:r w:rsidRPr="00AD1AAB">
        <w:t>Proposta de regulamento</w:t>
      </w:r>
    </w:p>
    <w:p w14:paraId="76826E5D" w14:textId="77777777" w:rsidR="004C47D0" w:rsidRPr="00AD1AAB" w:rsidRDefault="004C47D0" w:rsidP="004C47D0">
      <w:pPr>
        <w:pStyle w:val="NormalBold"/>
      </w:pPr>
      <w:r w:rsidRPr="00AD1AAB">
        <w:t>Artigo 6 – n.º 2 – parágrafo 1-A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5C92928D" w14:textId="77777777" w:rsidTr="00C21EA8">
        <w:trPr>
          <w:trHeight w:val="240"/>
          <w:jc w:val="center"/>
        </w:trPr>
        <w:tc>
          <w:tcPr>
            <w:tcW w:w="9752" w:type="dxa"/>
            <w:gridSpan w:val="2"/>
          </w:tcPr>
          <w:p w14:paraId="04D0E29F" w14:textId="77777777" w:rsidR="004C47D0" w:rsidRPr="00AD1AAB" w:rsidRDefault="004C47D0" w:rsidP="00C21EA8"/>
        </w:tc>
      </w:tr>
      <w:tr w:rsidR="004C47D0" w:rsidRPr="00AD1AAB" w14:paraId="6DDBA21F" w14:textId="77777777" w:rsidTr="00C21EA8">
        <w:trPr>
          <w:trHeight w:val="240"/>
          <w:jc w:val="center"/>
        </w:trPr>
        <w:tc>
          <w:tcPr>
            <w:tcW w:w="4876" w:type="dxa"/>
            <w:hideMark/>
          </w:tcPr>
          <w:p w14:paraId="7E0D0C2D" w14:textId="77777777" w:rsidR="004C47D0" w:rsidRPr="00AD1AAB" w:rsidRDefault="004C47D0" w:rsidP="00C21EA8">
            <w:pPr>
              <w:pStyle w:val="AmColumnHeading"/>
            </w:pPr>
            <w:r w:rsidRPr="00AD1AAB">
              <w:lastRenderedPageBreak/>
              <w:t>Texto da Comissão</w:t>
            </w:r>
          </w:p>
        </w:tc>
        <w:tc>
          <w:tcPr>
            <w:tcW w:w="4876" w:type="dxa"/>
            <w:hideMark/>
          </w:tcPr>
          <w:p w14:paraId="55991C33" w14:textId="77777777" w:rsidR="004C47D0" w:rsidRPr="00AD1AAB" w:rsidRDefault="004C47D0" w:rsidP="00C21EA8">
            <w:pPr>
              <w:pStyle w:val="AmColumnHeading"/>
            </w:pPr>
            <w:r w:rsidRPr="00AD1AAB">
              <w:t>Alteração</w:t>
            </w:r>
          </w:p>
        </w:tc>
      </w:tr>
      <w:tr w:rsidR="004C47D0" w:rsidRPr="00AD1AAB" w14:paraId="01408923" w14:textId="77777777" w:rsidTr="00C21EA8">
        <w:trPr>
          <w:jc w:val="center"/>
        </w:trPr>
        <w:tc>
          <w:tcPr>
            <w:tcW w:w="4876" w:type="dxa"/>
          </w:tcPr>
          <w:p w14:paraId="1DE7780C" w14:textId="77777777" w:rsidR="004C47D0" w:rsidRPr="00AD1AAB" w:rsidRDefault="004C47D0" w:rsidP="00C21EA8">
            <w:pPr>
              <w:pStyle w:val="Normal6a"/>
              <w:ind w:left="116"/>
            </w:pPr>
          </w:p>
        </w:tc>
        <w:tc>
          <w:tcPr>
            <w:tcW w:w="4876" w:type="dxa"/>
          </w:tcPr>
          <w:p w14:paraId="53F536B4" w14:textId="77777777" w:rsidR="004C47D0" w:rsidRPr="00AD1AAB" w:rsidRDefault="004C47D0" w:rsidP="00C21EA8">
            <w:pPr>
              <w:pStyle w:val="Normal6a"/>
              <w:rPr>
                <w:b/>
                <w:bCs/>
                <w:i/>
                <w:iCs/>
              </w:rPr>
            </w:pPr>
            <w:r w:rsidRPr="00AD1AAB">
              <w:rPr>
                <w:b/>
                <w:i/>
              </w:rPr>
              <w:t>O primeiro dos atos delegados a que se refere o primeiro parágrafo é adotado até 1 de outubro de 2026.</w:t>
            </w:r>
          </w:p>
        </w:tc>
      </w:tr>
    </w:tbl>
    <w:p w14:paraId="23D9ACDA" w14:textId="77777777" w:rsidR="004C47D0" w:rsidRPr="00AD1AAB" w:rsidRDefault="004C47D0" w:rsidP="004C47D0"/>
    <w:p w14:paraId="70C8F651" w14:textId="77777777" w:rsidR="004C47D0" w:rsidRPr="00AD1AAB" w:rsidRDefault="004C47D0" w:rsidP="004C47D0">
      <w:pPr>
        <w:pStyle w:val="AmNumberTabs"/>
      </w:pPr>
      <w:r w:rsidRPr="00AD1AAB">
        <w:t>Alteração</w:t>
      </w:r>
      <w:r w:rsidRPr="00AD1AAB">
        <w:tab/>
      </w:r>
      <w:r w:rsidRPr="00AD1AAB">
        <w:tab/>
        <w:t>47</w:t>
      </w:r>
    </w:p>
    <w:p w14:paraId="689E85EF" w14:textId="77777777" w:rsidR="004C47D0" w:rsidRPr="00AD1AAB" w:rsidRDefault="004C47D0" w:rsidP="004C47D0">
      <w:pPr>
        <w:pStyle w:val="NormalBold"/>
      </w:pPr>
      <w:r w:rsidRPr="00AD1AAB">
        <w:t>Proposta de regulamento</w:t>
      </w:r>
    </w:p>
    <w:p w14:paraId="248517D7" w14:textId="77777777" w:rsidR="004C47D0" w:rsidRPr="00AD1AAB" w:rsidRDefault="004C47D0" w:rsidP="004C47D0">
      <w:pPr>
        <w:pStyle w:val="NormalBold"/>
      </w:pPr>
      <w:r w:rsidRPr="00AD1AAB">
        <w:t>Artigo 7 – n.º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47D0" w:rsidRPr="00AD1AAB" w14:paraId="3D4C2E3D" w14:textId="77777777" w:rsidTr="00C21EA8">
        <w:trPr>
          <w:trHeight w:val="240"/>
          <w:jc w:val="center"/>
        </w:trPr>
        <w:tc>
          <w:tcPr>
            <w:tcW w:w="9752" w:type="dxa"/>
            <w:gridSpan w:val="2"/>
            <w:tcBorders>
              <w:top w:val="nil"/>
              <w:left w:val="nil"/>
              <w:bottom w:val="nil"/>
              <w:right w:val="nil"/>
            </w:tcBorders>
          </w:tcPr>
          <w:p w14:paraId="20F049CE" w14:textId="77777777" w:rsidR="004C47D0" w:rsidRPr="00AD1AAB" w:rsidRDefault="004C47D0" w:rsidP="00C21EA8"/>
        </w:tc>
      </w:tr>
      <w:tr w:rsidR="004C47D0" w:rsidRPr="00AD1AAB" w14:paraId="63080E35" w14:textId="77777777" w:rsidTr="00C21EA8">
        <w:trPr>
          <w:trHeight w:val="240"/>
          <w:jc w:val="center"/>
        </w:trPr>
        <w:tc>
          <w:tcPr>
            <w:tcW w:w="4876" w:type="dxa"/>
            <w:tcBorders>
              <w:top w:val="nil"/>
              <w:left w:val="nil"/>
              <w:bottom w:val="nil"/>
              <w:right w:val="nil"/>
            </w:tcBorders>
            <w:hideMark/>
          </w:tcPr>
          <w:p w14:paraId="2E96C229" w14:textId="77777777" w:rsidR="004C47D0" w:rsidRPr="00AD1AAB" w:rsidRDefault="004C47D0" w:rsidP="00C21EA8">
            <w:pPr>
              <w:pStyle w:val="AmColumnHeading"/>
            </w:pPr>
            <w:r w:rsidRPr="00AD1AAB">
              <w:t>Texto da Comissão</w:t>
            </w:r>
          </w:p>
        </w:tc>
        <w:tc>
          <w:tcPr>
            <w:tcW w:w="4876" w:type="dxa"/>
            <w:tcBorders>
              <w:top w:val="nil"/>
              <w:left w:val="nil"/>
              <w:bottom w:val="nil"/>
              <w:right w:val="nil"/>
            </w:tcBorders>
            <w:hideMark/>
          </w:tcPr>
          <w:p w14:paraId="68A37D3A" w14:textId="77777777" w:rsidR="004C47D0" w:rsidRPr="00AD1AAB" w:rsidRDefault="004C47D0" w:rsidP="00C21EA8">
            <w:pPr>
              <w:pStyle w:val="AmColumnHeading"/>
            </w:pPr>
            <w:r w:rsidRPr="00AD1AAB">
              <w:t>Alteração</w:t>
            </w:r>
          </w:p>
        </w:tc>
      </w:tr>
      <w:tr w:rsidR="004C47D0" w:rsidRPr="00AD1AAB" w14:paraId="768FFE52" w14:textId="77777777" w:rsidTr="00C21EA8">
        <w:trPr>
          <w:jc w:val="center"/>
        </w:trPr>
        <w:tc>
          <w:tcPr>
            <w:tcW w:w="4876" w:type="dxa"/>
            <w:tcBorders>
              <w:top w:val="nil"/>
              <w:left w:val="nil"/>
              <w:bottom w:val="nil"/>
              <w:right w:val="nil"/>
            </w:tcBorders>
            <w:hideMark/>
          </w:tcPr>
          <w:p w14:paraId="4715F5EC" w14:textId="77777777" w:rsidR="004C47D0" w:rsidRPr="00AD1AAB" w:rsidRDefault="004C47D0" w:rsidP="00C21EA8">
            <w:pPr>
              <w:pStyle w:val="Normal6a"/>
            </w:pPr>
            <w:r w:rsidRPr="00AD1AAB">
              <w:t>2.</w:t>
            </w:r>
            <w:r w:rsidRPr="00AD1AAB">
              <w:tab/>
              <w:t xml:space="preserve">O poder de adotar atos delegados a que se refere o artigo 6.º é conferido à Comissão por um período </w:t>
            </w:r>
            <w:r w:rsidRPr="00AD1AAB">
              <w:rPr>
                <w:b/>
                <w:i/>
              </w:rPr>
              <w:t>indeterminado</w:t>
            </w:r>
            <w:r w:rsidRPr="00AD1AAB">
              <w:t>, a contar de [Serviço das Publicações: inserir a data de entrada em vigor do presente regulamento].</w:t>
            </w:r>
          </w:p>
        </w:tc>
        <w:tc>
          <w:tcPr>
            <w:tcW w:w="4876" w:type="dxa"/>
            <w:tcBorders>
              <w:top w:val="nil"/>
              <w:left w:val="nil"/>
              <w:bottom w:val="nil"/>
              <w:right w:val="nil"/>
            </w:tcBorders>
            <w:hideMark/>
          </w:tcPr>
          <w:p w14:paraId="30884370" w14:textId="77777777" w:rsidR="004C47D0" w:rsidRPr="00AD1AAB" w:rsidRDefault="004C47D0" w:rsidP="00C21EA8">
            <w:pPr>
              <w:pStyle w:val="Normal6a"/>
            </w:pPr>
            <w:r w:rsidRPr="00AD1AAB">
              <w:t>2.</w:t>
            </w:r>
            <w:r w:rsidRPr="00AD1AAB">
              <w:tab/>
              <w:t xml:space="preserve">O poder de adotar atos delegados a que se refere o artigo 6.º é conferido à Comissão por um período </w:t>
            </w:r>
            <w:r w:rsidRPr="00AD1AAB">
              <w:rPr>
                <w:b/>
                <w:i/>
              </w:rPr>
              <w:t>de cinco anos</w:t>
            </w:r>
            <w:r w:rsidRPr="00AD1AAB">
              <w:t xml:space="preserve">, a contar de [Serviço das Publicações: inserir a data de entrada em vigor do presente regulamento]. </w:t>
            </w:r>
            <w:r w:rsidRPr="00AD1AAB">
              <w:rPr>
                <w:b/>
                <w:i/>
              </w:rPr>
              <w:t>A delegação de poderes é tacitamente prorrogada por períodos de igual duração, salvo se o Parlamento Europeu ou o Conselho a tal se opuserem pelo menos três meses antes do final de cada prazo.</w:t>
            </w:r>
          </w:p>
        </w:tc>
      </w:tr>
    </w:tbl>
    <w:p w14:paraId="0D1C7971" w14:textId="77777777" w:rsidR="004C47D0" w:rsidRPr="00AD1AAB" w:rsidRDefault="004C47D0" w:rsidP="004C47D0"/>
    <w:p w14:paraId="186B9C06" w14:textId="77777777" w:rsidR="004C47D0" w:rsidRPr="00AD1AAB" w:rsidRDefault="004C47D0" w:rsidP="004C47D0">
      <w:pPr>
        <w:pStyle w:val="AmNumberTabs"/>
      </w:pPr>
      <w:r w:rsidRPr="00AD1AAB">
        <w:t>Alteração</w:t>
      </w:r>
      <w:r w:rsidRPr="00AD1AAB">
        <w:tab/>
      </w:r>
      <w:r w:rsidRPr="00AD1AAB">
        <w:tab/>
        <w:t>48</w:t>
      </w:r>
    </w:p>
    <w:p w14:paraId="734D5FF4" w14:textId="77777777" w:rsidR="004C47D0" w:rsidRPr="00AD1AAB" w:rsidRDefault="004C47D0" w:rsidP="004C47D0">
      <w:pPr>
        <w:pStyle w:val="NormalBold12b"/>
        <w:spacing w:before="0"/>
      </w:pPr>
      <w:r w:rsidRPr="00AD1AAB">
        <w:t>Proposta de regulamento</w:t>
      </w:r>
    </w:p>
    <w:p w14:paraId="7A67024E" w14:textId="77777777" w:rsidR="004C47D0" w:rsidRPr="00AD1AAB" w:rsidRDefault="004C47D0" w:rsidP="004C47D0">
      <w:pPr>
        <w:pStyle w:val="NormalBold"/>
      </w:pPr>
      <w:r w:rsidRPr="00AD1AAB">
        <w:t>Artigo 9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4437AF00" w14:textId="77777777" w:rsidTr="00C21EA8">
        <w:trPr>
          <w:trHeight w:val="240"/>
          <w:jc w:val="center"/>
        </w:trPr>
        <w:tc>
          <w:tcPr>
            <w:tcW w:w="9752" w:type="dxa"/>
            <w:gridSpan w:val="2"/>
          </w:tcPr>
          <w:p w14:paraId="5CD0757A" w14:textId="77777777" w:rsidR="004C47D0" w:rsidRPr="00AD1AAB" w:rsidRDefault="004C47D0" w:rsidP="00C21EA8"/>
        </w:tc>
      </w:tr>
      <w:tr w:rsidR="004C47D0" w:rsidRPr="00AD1AAB" w14:paraId="129FF371" w14:textId="77777777" w:rsidTr="00C21EA8">
        <w:trPr>
          <w:trHeight w:val="240"/>
          <w:jc w:val="center"/>
        </w:trPr>
        <w:tc>
          <w:tcPr>
            <w:tcW w:w="4876" w:type="dxa"/>
            <w:hideMark/>
          </w:tcPr>
          <w:p w14:paraId="27415922" w14:textId="77777777" w:rsidR="004C47D0" w:rsidRPr="00AD1AAB" w:rsidRDefault="004C47D0" w:rsidP="00C21EA8">
            <w:pPr>
              <w:pStyle w:val="AmColumnHeading"/>
            </w:pPr>
            <w:r w:rsidRPr="00AD1AAB">
              <w:t>Texto da Comissão</w:t>
            </w:r>
          </w:p>
        </w:tc>
        <w:tc>
          <w:tcPr>
            <w:tcW w:w="4876" w:type="dxa"/>
            <w:hideMark/>
          </w:tcPr>
          <w:p w14:paraId="110547CB" w14:textId="77777777" w:rsidR="004C47D0" w:rsidRPr="00AD1AAB" w:rsidRDefault="004C47D0" w:rsidP="00C21EA8">
            <w:pPr>
              <w:pStyle w:val="AmColumnHeading"/>
            </w:pPr>
            <w:r w:rsidRPr="00AD1AAB">
              <w:t>Alteração</w:t>
            </w:r>
          </w:p>
        </w:tc>
      </w:tr>
      <w:tr w:rsidR="004C47D0" w:rsidRPr="00AD1AAB" w14:paraId="70EEDFA7" w14:textId="77777777" w:rsidTr="00C21EA8">
        <w:trPr>
          <w:jc w:val="center"/>
        </w:trPr>
        <w:tc>
          <w:tcPr>
            <w:tcW w:w="4876" w:type="dxa"/>
          </w:tcPr>
          <w:p w14:paraId="1D4AEE79" w14:textId="77777777" w:rsidR="004C47D0" w:rsidRPr="00AD1AAB" w:rsidRDefault="004C47D0" w:rsidP="00C21EA8">
            <w:pPr>
              <w:pStyle w:val="Normal6a"/>
            </w:pPr>
            <w:r w:rsidRPr="00AD1AAB">
              <w:t>1.</w:t>
            </w:r>
            <w:r w:rsidRPr="00AD1AAB">
              <w:tab/>
              <w:t>Até</w:t>
            </w:r>
            <w:r w:rsidRPr="00AD1AAB">
              <w:rPr>
                <w:b/>
                <w:i/>
              </w:rPr>
              <w:t xml:space="preserve"> [Serviço das Publicações:</w:t>
            </w:r>
            <w:r w:rsidRPr="00AD1AAB">
              <w:t xml:space="preserve"> </w:t>
            </w:r>
            <w:r w:rsidRPr="00AD1AAB">
              <w:rPr>
                <w:b/>
                <w:i/>
              </w:rPr>
              <w:t>inserir a</w:t>
            </w:r>
            <w:r w:rsidRPr="00AD1AAB">
              <w:t xml:space="preserve"> data </w:t>
            </w:r>
            <w:r w:rsidRPr="00AD1AAB">
              <w:rPr>
                <w:b/>
                <w:i/>
              </w:rPr>
              <w:t>correspondente a dois anos após a adoção</w:t>
            </w:r>
            <w:r w:rsidRPr="00AD1AAB">
              <w:t xml:space="preserve"> do presente </w:t>
            </w:r>
            <w:r w:rsidRPr="00AD1AAB">
              <w:rPr>
                <w:b/>
                <w:i/>
              </w:rPr>
              <w:t xml:space="preserve">projeto de </w:t>
            </w:r>
            <w:r w:rsidRPr="00AD1AAB">
              <w:t xml:space="preserve">regulamento], a Comissão </w:t>
            </w:r>
            <w:r w:rsidRPr="00AD1AAB">
              <w:rPr>
                <w:b/>
                <w:i/>
              </w:rPr>
              <w:t>avalia</w:t>
            </w:r>
            <w:r w:rsidRPr="00AD1AAB">
              <w:t xml:space="preserve"> a necessidade de alterar a definição do produto do presente regulamento e pode apresentar uma proposta legislativa para alterar o presente regulamento. Esta avaliação é realizada periodicamente, de dois em dois anos, após o primeiro reexame.</w:t>
            </w:r>
          </w:p>
        </w:tc>
        <w:tc>
          <w:tcPr>
            <w:tcW w:w="4876" w:type="dxa"/>
            <w:hideMark/>
          </w:tcPr>
          <w:p w14:paraId="5EAB692E" w14:textId="0BA9C1A2" w:rsidR="004C47D0" w:rsidRPr="00AD1AAB" w:rsidRDefault="004C47D0" w:rsidP="00C21EA8">
            <w:pPr>
              <w:pStyle w:val="Normal6a"/>
              <w:rPr>
                <w:b/>
                <w:i/>
              </w:rPr>
            </w:pPr>
            <w:r w:rsidRPr="00AD1AAB">
              <w:t>1.</w:t>
            </w:r>
            <w:r w:rsidRPr="00AD1AAB">
              <w:tab/>
              <w:t>Até</w:t>
            </w:r>
            <w:r w:rsidRPr="00AD1AAB">
              <w:rPr>
                <w:b/>
                <w:i/>
              </w:rPr>
              <w:t>...</w:t>
            </w:r>
            <w:r w:rsidRPr="00AD1AAB">
              <w:t xml:space="preserve"> </w:t>
            </w:r>
            <w:r w:rsidRPr="00AD1AAB">
              <w:rPr>
                <w:b/>
                <w:i/>
              </w:rPr>
              <w:t>[seis meses a contar da</w:t>
            </w:r>
            <w:r w:rsidRPr="00AD1AAB">
              <w:t xml:space="preserve"> data </w:t>
            </w:r>
            <w:r w:rsidRPr="00AD1AAB">
              <w:rPr>
                <w:b/>
                <w:i/>
              </w:rPr>
              <w:t>de entrada em vigor</w:t>
            </w:r>
            <w:r w:rsidRPr="00AD1AAB">
              <w:t xml:space="preserve"> do presente regulamento], a Comissão </w:t>
            </w:r>
            <w:r w:rsidRPr="00AD1AAB">
              <w:rPr>
                <w:b/>
                <w:i/>
              </w:rPr>
              <w:t>determina</w:t>
            </w:r>
            <w:r w:rsidRPr="00AD1AAB">
              <w:t xml:space="preserve"> a necessidade de alterar a definição do produto do presente regulamento</w:t>
            </w:r>
            <w:r w:rsidRPr="00AD1AAB">
              <w:rPr>
                <w:b/>
                <w:i/>
              </w:rPr>
              <w:t>, em particular se este deve abranger outros produtos fabricados com aço ou que contenham uma quantidade significativa de aço, incluindo produtos prioritários a jusante de aço e de ferro não abrangidos pelo anexo I que estejam em risco de desvio dos fluxos comerciais,</w:t>
            </w:r>
            <w:r w:rsidRPr="00AD1AAB">
              <w:t xml:space="preserve"> e pode apresentar uma proposta legislativa para alterar o presente regulamento. Esta avaliação é realizada periodicamente, de dois em dois anos, após o primeiro reexame. </w:t>
            </w:r>
            <w:r w:rsidRPr="00AD1AAB">
              <w:rPr>
                <w:b/>
                <w:i/>
              </w:rPr>
              <w:t xml:space="preserve">Em caso de perturbações </w:t>
            </w:r>
            <w:r w:rsidRPr="00AD1AAB">
              <w:rPr>
                <w:b/>
                <w:i/>
              </w:rPr>
              <w:lastRenderedPageBreak/>
              <w:t>significativas do mercado ou de alterações súbitas dos padrões do comércio mundial, a Comissão realiza uma avaliação ainda mais cedo. Essa revisão deve ter em conta a situação mais vasta da competitividade da União e da indústria siderúrgica da União, tanto os intervenientes a montante como a jusante, em particular a situação das PME, bem como a política de segurança e defesa da União.</w:t>
            </w:r>
          </w:p>
        </w:tc>
      </w:tr>
    </w:tbl>
    <w:p w14:paraId="1706F09F" w14:textId="77777777" w:rsidR="004C47D0" w:rsidRPr="00AD1AAB" w:rsidRDefault="004C47D0" w:rsidP="004C47D0"/>
    <w:p w14:paraId="0049CD6C" w14:textId="77777777" w:rsidR="004C47D0" w:rsidRPr="00AD1AAB" w:rsidRDefault="004C47D0" w:rsidP="004C47D0">
      <w:pPr>
        <w:pStyle w:val="AmNumberTabs"/>
      </w:pPr>
      <w:r w:rsidRPr="00AD1AAB">
        <w:t>Alteração</w:t>
      </w:r>
      <w:r w:rsidRPr="00AD1AAB">
        <w:tab/>
      </w:r>
      <w:r w:rsidRPr="00AD1AAB">
        <w:tab/>
        <w:t>49</w:t>
      </w:r>
    </w:p>
    <w:p w14:paraId="2A5A4A8E" w14:textId="77777777" w:rsidR="004C47D0" w:rsidRPr="00AD1AAB" w:rsidRDefault="004C47D0" w:rsidP="004C47D0">
      <w:pPr>
        <w:pStyle w:val="NormalBold12b"/>
      </w:pPr>
      <w:r w:rsidRPr="00AD1AAB">
        <w:t>Proposta de regulamento</w:t>
      </w:r>
    </w:p>
    <w:p w14:paraId="64EAE467" w14:textId="77777777" w:rsidR="004C47D0" w:rsidRPr="00AD1AAB" w:rsidRDefault="004C47D0" w:rsidP="004C47D0">
      <w:pPr>
        <w:pStyle w:val="NormalBold"/>
      </w:pPr>
      <w:r w:rsidRPr="00AD1AAB">
        <w:t>Artigo 9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6F7D5EE3" w14:textId="77777777" w:rsidTr="00C21EA8">
        <w:trPr>
          <w:trHeight w:val="240"/>
          <w:jc w:val="center"/>
        </w:trPr>
        <w:tc>
          <w:tcPr>
            <w:tcW w:w="9752" w:type="dxa"/>
            <w:gridSpan w:val="2"/>
          </w:tcPr>
          <w:p w14:paraId="22494233" w14:textId="77777777" w:rsidR="004C47D0" w:rsidRPr="00AD1AAB" w:rsidRDefault="004C47D0" w:rsidP="00C21EA8"/>
        </w:tc>
      </w:tr>
      <w:tr w:rsidR="004C47D0" w:rsidRPr="00AD1AAB" w14:paraId="45CF403D" w14:textId="77777777" w:rsidTr="00C21EA8">
        <w:trPr>
          <w:trHeight w:val="240"/>
          <w:jc w:val="center"/>
        </w:trPr>
        <w:tc>
          <w:tcPr>
            <w:tcW w:w="4876" w:type="dxa"/>
            <w:hideMark/>
          </w:tcPr>
          <w:p w14:paraId="37AE2BCB" w14:textId="77777777" w:rsidR="004C47D0" w:rsidRPr="00AD1AAB" w:rsidRDefault="004C47D0" w:rsidP="00C21EA8">
            <w:pPr>
              <w:pStyle w:val="AmColumnHeading"/>
            </w:pPr>
            <w:r w:rsidRPr="00AD1AAB">
              <w:t>Texto da Comissão</w:t>
            </w:r>
          </w:p>
        </w:tc>
        <w:tc>
          <w:tcPr>
            <w:tcW w:w="4876" w:type="dxa"/>
            <w:hideMark/>
          </w:tcPr>
          <w:p w14:paraId="2FD2D201" w14:textId="77777777" w:rsidR="004C47D0" w:rsidRPr="00AD1AAB" w:rsidRDefault="004C47D0" w:rsidP="00C21EA8">
            <w:pPr>
              <w:pStyle w:val="AmColumnHeading"/>
            </w:pPr>
            <w:r w:rsidRPr="00AD1AAB">
              <w:t>Alteração</w:t>
            </w:r>
          </w:p>
        </w:tc>
      </w:tr>
      <w:tr w:rsidR="004C47D0" w:rsidRPr="00AD1AAB" w14:paraId="0768A3A7" w14:textId="77777777" w:rsidTr="00C21EA8">
        <w:trPr>
          <w:jc w:val="center"/>
        </w:trPr>
        <w:tc>
          <w:tcPr>
            <w:tcW w:w="4876" w:type="dxa"/>
          </w:tcPr>
          <w:p w14:paraId="3AE02FC3" w14:textId="77777777" w:rsidR="004C47D0" w:rsidRPr="00AD1AAB" w:rsidRDefault="004C47D0" w:rsidP="00C21EA8">
            <w:pPr>
              <w:pStyle w:val="Normal6a"/>
            </w:pPr>
            <w:r w:rsidRPr="00AD1AAB">
              <w:t>2.</w:t>
            </w:r>
            <w:r w:rsidRPr="00AD1AAB">
              <w:rPr>
                <w:b/>
                <w:i/>
              </w:rPr>
              <w:tab/>
              <w:t>Antes</w:t>
            </w:r>
            <w:r w:rsidRPr="00AD1AAB">
              <w:t xml:space="preserve"> de </w:t>
            </w:r>
            <w:r w:rsidRPr="00AD1AAB">
              <w:rPr>
                <w:b/>
                <w:i/>
              </w:rPr>
              <w:t>1 </w:t>
            </w:r>
            <w:r w:rsidRPr="00AD1AAB">
              <w:t>de</w:t>
            </w:r>
            <w:r w:rsidRPr="00AD1AAB">
              <w:rPr>
                <w:b/>
                <w:i/>
              </w:rPr>
              <w:t> julho de 2031</w:t>
            </w:r>
            <w:r w:rsidRPr="00AD1AAB">
              <w:t xml:space="preserve">, e, posteriormente, de </w:t>
            </w:r>
            <w:r w:rsidRPr="00AD1AAB">
              <w:rPr>
                <w:b/>
                <w:i/>
              </w:rPr>
              <w:t>cinco</w:t>
            </w:r>
            <w:r w:rsidRPr="00AD1AAB">
              <w:t xml:space="preserve"> em </w:t>
            </w:r>
            <w:r w:rsidRPr="00AD1AAB">
              <w:rPr>
                <w:b/>
                <w:i/>
              </w:rPr>
              <w:t>cinco</w:t>
            </w:r>
            <w:r w:rsidRPr="00AD1AAB">
              <w:t xml:space="preserve"> anos, a Comissão avalia a eficácia do presente regulamento. Esta avaliação deve ter em conta a continuação das circunstâncias que justificaram a adoção do presente regulamento e a situação da indústria siderúrgica da União. Com base nessa avaliação, a Comissão pode apresentar uma proposta legislativa para alterar</w:t>
            </w:r>
            <w:r w:rsidRPr="00AD1AAB">
              <w:rPr>
                <w:b/>
                <w:i/>
              </w:rPr>
              <w:t xml:space="preserve"> ou revogar</w:t>
            </w:r>
            <w:r w:rsidRPr="00AD1AAB">
              <w:t xml:space="preserve"> o presente regulamento.</w:t>
            </w:r>
          </w:p>
        </w:tc>
        <w:tc>
          <w:tcPr>
            <w:tcW w:w="4876" w:type="dxa"/>
            <w:hideMark/>
          </w:tcPr>
          <w:p w14:paraId="4595303E" w14:textId="0A762904" w:rsidR="004C47D0" w:rsidRPr="00AD1AAB" w:rsidRDefault="004C47D0" w:rsidP="00C21EA8">
            <w:pPr>
              <w:pStyle w:val="Normal6a"/>
            </w:pPr>
            <w:r w:rsidRPr="00AD1AAB">
              <w:t>2.</w:t>
            </w:r>
            <w:r w:rsidRPr="00AD1AAB">
              <w:rPr>
                <w:b/>
                <w:i/>
              </w:rPr>
              <w:tab/>
              <w:t>Até 31</w:t>
            </w:r>
            <w:r w:rsidRPr="00AD1AAB">
              <w:t xml:space="preserve"> de </w:t>
            </w:r>
            <w:r w:rsidRPr="00AD1AAB">
              <w:rPr>
                <w:b/>
                <w:i/>
              </w:rPr>
              <w:t xml:space="preserve">dezembro </w:t>
            </w:r>
            <w:r w:rsidRPr="00AD1AAB">
              <w:t>de</w:t>
            </w:r>
            <w:r w:rsidRPr="00AD1AAB">
              <w:rPr>
                <w:b/>
                <w:i/>
              </w:rPr>
              <w:t xml:space="preserve"> 2028</w:t>
            </w:r>
            <w:r w:rsidRPr="00AD1AAB">
              <w:t xml:space="preserve">, e, posteriormente, de </w:t>
            </w:r>
            <w:r w:rsidRPr="00AD1AAB">
              <w:rPr>
                <w:b/>
                <w:i/>
              </w:rPr>
              <w:t>três</w:t>
            </w:r>
            <w:r w:rsidRPr="00AD1AAB">
              <w:t xml:space="preserve"> em </w:t>
            </w:r>
            <w:r w:rsidRPr="00AD1AAB">
              <w:rPr>
                <w:b/>
                <w:i/>
              </w:rPr>
              <w:t>três</w:t>
            </w:r>
            <w:r w:rsidRPr="00AD1AAB">
              <w:t xml:space="preserve"> anos, a Comissão avalia a eficácia </w:t>
            </w:r>
            <w:r w:rsidRPr="00AD1AAB">
              <w:rPr>
                <w:b/>
                <w:i/>
              </w:rPr>
              <w:t xml:space="preserve">e o impacto </w:t>
            </w:r>
            <w:r w:rsidRPr="00AD1AAB">
              <w:t>do presente regulamento.</w:t>
            </w:r>
            <w:r w:rsidRPr="00AD1AAB">
              <w:rPr>
                <w:i/>
              </w:rPr>
              <w:t xml:space="preserve"> </w:t>
            </w:r>
            <w:r w:rsidRPr="00AD1AAB">
              <w:t>Esta avaliação deve ter em conta a continuação das circunstâncias que justificaram a adoção do presente regulamento e a situação da indústria siderúrgica da União</w:t>
            </w:r>
            <w:r w:rsidRPr="00AD1AAB">
              <w:rPr>
                <w:b/>
                <w:i/>
              </w:rPr>
              <w:t xml:space="preserve">, nomeadamente o nível dos preços e a utilização das capacidades, bem como as cadeias de valor a jusante e o impacto nas indústrias da União que utilizam o aço como fator de produção e a trajetória de descarbonização do setor siderúrgico da União. Para efeitos dessa avaliação, a Comissão procede a amplas consultas às partes interessadas pertinentes ao longo de toda a cadeia de valor do aço. </w:t>
            </w:r>
            <w:r w:rsidRPr="00AD1AAB">
              <w:t>Com base nessa avaliação, a Comissão pode apresentar uma proposta legislativa para alterar o presente regulamento.</w:t>
            </w:r>
          </w:p>
        </w:tc>
      </w:tr>
    </w:tbl>
    <w:p w14:paraId="545AEB13" w14:textId="77777777" w:rsidR="004C47D0" w:rsidRPr="00AD1AAB" w:rsidRDefault="004C47D0" w:rsidP="004C47D0"/>
    <w:p w14:paraId="3EF91497" w14:textId="77777777" w:rsidR="004C47D0" w:rsidRPr="00AD1AAB" w:rsidRDefault="004C47D0" w:rsidP="004C47D0">
      <w:pPr>
        <w:pStyle w:val="AmNumberTabs"/>
        <w:rPr>
          <w:rStyle w:val="Normal6Char"/>
        </w:rPr>
      </w:pPr>
    </w:p>
    <w:p w14:paraId="7497B2C7" w14:textId="77777777" w:rsidR="004C47D0" w:rsidRPr="00AD1AAB" w:rsidRDefault="004C47D0" w:rsidP="004C47D0">
      <w:pPr>
        <w:pStyle w:val="AmNumberTabs"/>
      </w:pPr>
      <w:r w:rsidRPr="00AD1AAB">
        <w:t>Alteração</w:t>
      </w:r>
      <w:r w:rsidRPr="00AD1AAB">
        <w:tab/>
      </w:r>
      <w:r w:rsidRPr="00AD1AAB">
        <w:tab/>
        <w:t>50</w:t>
      </w:r>
    </w:p>
    <w:p w14:paraId="7AB278E5" w14:textId="77777777" w:rsidR="004C47D0" w:rsidRPr="00AD1AAB" w:rsidRDefault="004C47D0" w:rsidP="004C47D0">
      <w:pPr>
        <w:pStyle w:val="NormalBold12b"/>
      </w:pPr>
      <w:r w:rsidRPr="00AD1AAB">
        <w:t>Proposta de regulamento</w:t>
      </w:r>
    </w:p>
    <w:p w14:paraId="2BD4EC18" w14:textId="77777777" w:rsidR="004C47D0" w:rsidRPr="00AD1AAB" w:rsidRDefault="004C47D0" w:rsidP="004C47D0">
      <w:pPr>
        <w:pStyle w:val="NormalBold"/>
      </w:pPr>
      <w:r w:rsidRPr="00AD1AAB">
        <w:t>Artigo 9 – n.º 2-A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0D94221D" w14:textId="77777777" w:rsidTr="00C21EA8">
        <w:trPr>
          <w:trHeight w:val="240"/>
          <w:jc w:val="center"/>
        </w:trPr>
        <w:tc>
          <w:tcPr>
            <w:tcW w:w="9752" w:type="dxa"/>
            <w:gridSpan w:val="2"/>
          </w:tcPr>
          <w:p w14:paraId="227214C9" w14:textId="77777777" w:rsidR="004C47D0" w:rsidRPr="00AD1AAB" w:rsidRDefault="004C47D0" w:rsidP="00C21EA8"/>
        </w:tc>
      </w:tr>
      <w:tr w:rsidR="004C47D0" w:rsidRPr="00AD1AAB" w14:paraId="49867382" w14:textId="77777777" w:rsidTr="00C21EA8">
        <w:trPr>
          <w:trHeight w:val="240"/>
          <w:jc w:val="center"/>
        </w:trPr>
        <w:tc>
          <w:tcPr>
            <w:tcW w:w="4876" w:type="dxa"/>
            <w:hideMark/>
          </w:tcPr>
          <w:p w14:paraId="06ED63C4" w14:textId="77777777" w:rsidR="004C47D0" w:rsidRPr="00AD1AAB" w:rsidRDefault="004C47D0" w:rsidP="00C21EA8">
            <w:pPr>
              <w:pStyle w:val="AmColumnHeading"/>
            </w:pPr>
            <w:r w:rsidRPr="00AD1AAB">
              <w:lastRenderedPageBreak/>
              <w:t>Texto da Comissão</w:t>
            </w:r>
          </w:p>
        </w:tc>
        <w:tc>
          <w:tcPr>
            <w:tcW w:w="4876" w:type="dxa"/>
            <w:hideMark/>
          </w:tcPr>
          <w:p w14:paraId="5C1916A4" w14:textId="77777777" w:rsidR="004C47D0" w:rsidRPr="00AD1AAB" w:rsidRDefault="004C47D0" w:rsidP="00C21EA8">
            <w:pPr>
              <w:pStyle w:val="AmColumnHeading"/>
            </w:pPr>
            <w:r w:rsidRPr="00AD1AAB">
              <w:t>Alteração</w:t>
            </w:r>
          </w:p>
        </w:tc>
      </w:tr>
      <w:tr w:rsidR="004C47D0" w:rsidRPr="00AD1AAB" w14:paraId="3B1BC297" w14:textId="77777777" w:rsidTr="00C21EA8">
        <w:trPr>
          <w:jc w:val="center"/>
        </w:trPr>
        <w:tc>
          <w:tcPr>
            <w:tcW w:w="4876" w:type="dxa"/>
          </w:tcPr>
          <w:p w14:paraId="460A2B93" w14:textId="77777777" w:rsidR="004C47D0" w:rsidRPr="00AD1AAB" w:rsidRDefault="004C47D0" w:rsidP="00C21EA8">
            <w:pPr>
              <w:pStyle w:val="Normal6a"/>
            </w:pPr>
          </w:p>
        </w:tc>
        <w:tc>
          <w:tcPr>
            <w:tcW w:w="4876" w:type="dxa"/>
            <w:hideMark/>
          </w:tcPr>
          <w:p w14:paraId="0F368F15" w14:textId="77777777" w:rsidR="004C47D0" w:rsidRPr="00AD1AAB" w:rsidRDefault="004C47D0" w:rsidP="00C21EA8">
            <w:pPr>
              <w:pStyle w:val="Normal6a"/>
            </w:pPr>
            <w:r w:rsidRPr="00AD1AAB">
              <w:rPr>
                <w:b/>
                <w:i/>
              </w:rPr>
              <w:t>2-A.</w:t>
            </w:r>
            <w:r w:rsidRPr="00AD1AAB">
              <w:tab/>
            </w:r>
            <w:r w:rsidRPr="00AD1AAB">
              <w:rPr>
                <w:b/>
                <w:i/>
              </w:rPr>
              <w:t>A Comissão apresenta ao Parlamento Europeu e ao Conselho um relatório anual sobre a execução do presente regulamento. Esse relatório é tornado público.</w:t>
            </w:r>
          </w:p>
        </w:tc>
      </w:tr>
    </w:tbl>
    <w:p w14:paraId="5E8E34F5" w14:textId="77777777" w:rsidR="004C47D0" w:rsidRPr="00AD1AAB" w:rsidRDefault="004C47D0" w:rsidP="004C47D0">
      <w:pPr>
        <w:pStyle w:val="AmNumberTabs"/>
      </w:pPr>
      <w:r w:rsidRPr="00AD1AAB">
        <w:t>Alteração</w:t>
      </w:r>
      <w:r w:rsidRPr="00AD1AAB">
        <w:tab/>
      </w:r>
      <w:r w:rsidRPr="00AD1AAB">
        <w:tab/>
        <w:t>51</w:t>
      </w:r>
    </w:p>
    <w:p w14:paraId="10928661" w14:textId="77777777" w:rsidR="004C47D0" w:rsidRPr="00AD1AAB" w:rsidRDefault="004C47D0" w:rsidP="004C47D0">
      <w:pPr>
        <w:pStyle w:val="NormalBold12b"/>
      </w:pPr>
      <w:r w:rsidRPr="00AD1AAB">
        <w:t>Proposta de regulamento</w:t>
      </w:r>
    </w:p>
    <w:p w14:paraId="6039F5E0" w14:textId="77777777" w:rsidR="004C47D0" w:rsidRPr="00AD1AAB" w:rsidRDefault="004C47D0" w:rsidP="004C47D0">
      <w:pPr>
        <w:pStyle w:val="NormalBold"/>
      </w:pPr>
      <w:r w:rsidRPr="00AD1AAB">
        <w:t>Artigo 10 – parágrafo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061B9345" w14:textId="77777777" w:rsidTr="00C21EA8">
        <w:trPr>
          <w:trHeight w:val="240"/>
          <w:jc w:val="center"/>
        </w:trPr>
        <w:tc>
          <w:tcPr>
            <w:tcW w:w="9752" w:type="dxa"/>
            <w:gridSpan w:val="2"/>
          </w:tcPr>
          <w:p w14:paraId="2A9A8CE2" w14:textId="77777777" w:rsidR="004C47D0" w:rsidRPr="00AD1AAB" w:rsidRDefault="004C47D0" w:rsidP="00C21EA8"/>
        </w:tc>
      </w:tr>
      <w:tr w:rsidR="004C47D0" w:rsidRPr="00AD1AAB" w14:paraId="1E3F957C" w14:textId="77777777" w:rsidTr="00C21EA8">
        <w:trPr>
          <w:trHeight w:val="240"/>
          <w:jc w:val="center"/>
        </w:trPr>
        <w:tc>
          <w:tcPr>
            <w:tcW w:w="4876" w:type="dxa"/>
            <w:hideMark/>
          </w:tcPr>
          <w:p w14:paraId="6AED7762" w14:textId="77777777" w:rsidR="004C47D0" w:rsidRPr="00AD1AAB" w:rsidRDefault="004C47D0" w:rsidP="00C21EA8">
            <w:pPr>
              <w:pStyle w:val="AmColumnHeading"/>
            </w:pPr>
            <w:r w:rsidRPr="00AD1AAB">
              <w:t>Texto da Comissão</w:t>
            </w:r>
          </w:p>
        </w:tc>
        <w:tc>
          <w:tcPr>
            <w:tcW w:w="4876" w:type="dxa"/>
            <w:hideMark/>
          </w:tcPr>
          <w:p w14:paraId="3309E915" w14:textId="77777777" w:rsidR="004C47D0" w:rsidRPr="00AD1AAB" w:rsidRDefault="004C47D0" w:rsidP="00C21EA8">
            <w:pPr>
              <w:pStyle w:val="AmColumnHeading"/>
            </w:pPr>
            <w:r w:rsidRPr="00AD1AAB">
              <w:t>Alteração</w:t>
            </w:r>
          </w:p>
        </w:tc>
      </w:tr>
      <w:tr w:rsidR="004C47D0" w:rsidRPr="00AD1AAB" w14:paraId="41328964" w14:textId="77777777" w:rsidTr="00C21EA8">
        <w:trPr>
          <w:jc w:val="center"/>
        </w:trPr>
        <w:tc>
          <w:tcPr>
            <w:tcW w:w="4876" w:type="dxa"/>
          </w:tcPr>
          <w:p w14:paraId="08567B22" w14:textId="77777777" w:rsidR="004C47D0" w:rsidRPr="00AD1AAB" w:rsidRDefault="004C47D0" w:rsidP="00C21EA8">
            <w:pPr>
              <w:pStyle w:val="Normal6a"/>
            </w:pPr>
            <w:r w:rsidRPr="00AD1AAB">
              <w:t>1.</w:t>
            </w:r>
            <w:r w:rsidRPr="00AD1AAB">
              <w:rPr>
                <w:b/>
                <w:i/>
              </w:rPr>
              <w:tab/>
            </w:r>
            <w:r w:rsidRPr="00AD1AAB">
              <w:t xml:space="preserve">O presente regulamento entra em vigor no </w:t>
            </w:r>
            <w:r w:rsidRPr="00AD1AAB">
              <w:rPr>
                <w:b/>
                <w:i/>
              </w:rPr>
              <w:t xml:space="preserve">vigésimo </w:t>
            </w:r>
            <w:r w:rsidRPr="00AD1AAB">
              <w:t xml:space="preserve">dia seguinte ao da sua publicação no </w:t>
            </w:r>
            <w:r w:rsidRPr="00AD1AAB">
              <w:rPr>
                <w:i/>
                <w:iCs/>
              </w:rPr>
              <w:t>Jornal Oficial da União Europeia</w:t>
            </w:r>
            <w:r w:rsidRPr="00AD1AAB">
              <w:t>.</w:t>
            </w:r>
          </w:p>
        </w:tc>
        <w:tc>
          <w:tcPr>
            <w:tcW w:w="4876" w:type="dxa"/>
            <w:hideMark/>
          </w:tcPr>
          <w:p w14:paraId="78BE8CF5" w14:textId="77777777" w:rsidR="004C47D0" w:rsidRPr="00AD1AAB" w:rsidRDefault="004C47D0" w:rsidP="00C21EA8">
            <w:pPr>
              <w:pStyle w:val="Normal6a"/>
              <w:rPr>
                <w:b/>
                <w:i/>
              </w:rPr>
            </w:pPr>
            <w:r w:rsidRPr="00AD1AAB">
              <w:t>1.</w:t>
            </w:r>
            <w:r w:rsidRPr="00AD1AAB">
              <w:rPr>
                <w:b/>
                <w:i/>
              </w:rPr>
              <w:tab/>
            </w:r>
            <w:r w:rsidRPr="00AD1AAB">
              <w:t xml:space="preserve">O presente regulamento entra em vigor no dia seguinte ao da sua publicação no </w:t>
            </w:r>
            <w:r w:rsidRPr="00AD1AAB">
              <w:rPr>
                <w:i/>
                <w:iCs/>
              </w:rPr>
              <w:t>Jornal Oficial da União Europeia</w:t>
            </w:r>
            <w:r w:rsidRPr="00AD1AAB">
              <w:t>.</w:t>
            </w:r>
          </w:p>
        </w:tc>
      </w:tr>
    </w:tbl>
    <w:p w14:paraId="4ACD9ADE" w14:textId="77777777" w:rsidR="004C47D0" w:rsidRPr="00AD1AAB" w:rsidRDefault="004C47D0" w:rsidP="004C47D0"/>
    <w:p w14:paraId="4CBB12CF" w14:textId="77777777" w:rsidR="004C47D0" w:rsidRPr="00AD1AAB" w:rsidRDefault="004C47D0" w:rsidP="004C47D0">
      <w:pPr>
        <w:pStyle w:val="AmNumberTabs"/>
      </w:pPr>
      <w:r w:rsidRPr="00AD1AAB">
        <w:t>Alteração</w:t>
      </w:r>
      <w:r w:rsidRPr="00AD1AAB">
        <w:tab/>
      </w:r>
      <w:r w:rsidRPr="00AD1AAB">
        <w:tab/>
        <w:t>52</w:t>
      </w:r>
    </w:p>
    <w:p w14:paraId="3FCD7913" w14:textId="77777777" w:rsidR="004C47D0" w:rsidRPr="00AD1AAB" w:rsidRDefault="004C47D0" w:rsidP="004C47D0">
      <w:pPr>
        <w:pStyle w:val="NormalBold12b"/>
      </w:pPr>
      <w:r w:rsidRPr="00AD1AAB">
        <w:t>Proposta de regulamento</w:t>
      </w:r>
    </w:p>
    <w:p w14:paraId="48AA9AA1" w14:textId="77777777" w:rsidR="004C47D0" w:rsidRPr="00AD1AAB" w:rsidRDefault="004C47D0" w:rsidP="004C47D0">
      <w:pPr>
        <w:pStyle w:val="NormalBold"/>
      </w:pPr>
      <w:r w:rsidRPr="00AD1AAB">
        <w:t>Artigo 10 – parágrafo 1-A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5C492430" w14:textId="77777777" w:rsidTr="00C21EA8">
        <w:trPr>
          <w:trHeight w:val="240"/>
          <w:jc w:val="center"/>
        </w:trPr>
        <w:tc>
          <w:tcPr>
            <w:tcW w:w="9752" w:type="dxa"/>
            <w:gridSpan w:val="2"/>
          </w:tcPr>
          <w:p w14:paraId="53FAEC54" w14:textId="77777777" w:rsidR="004C47D0" w:rsidRPr="00AD1AAB" w:rsidRDefault="004C47D0" w:rsidP="00C21EA8"/>
        </w:tc>
      </w:tr>
      <w:tr w:rsidR="004C47D0" w:rsidRPr="00AD1AAB" w14:paraId="39C50B47" w14:textId="77777777" w:rsidTr="00C21EA8">
        <w:trPr>
          <w:trHeight w:val="240"/>
          <w:jc w:val="center"/>
        </w:trPr>
        <w:tc>
          <w:tcPr>
            <w:tcW w:w="4876" w:type="dxa"/>
            <w:hideMark/>
          </w:tcPr>
          <w:p w14:paraId="7CFE1ED3" w14:textId="77777777" w:rsidR="004C47D0" w:rsidRPr="00AD1AAB" w:rsidRDefault="004C47D0" w:rsidP="00C21EA8">
            <w:pPr>
              <w:pStyle w:val="AmColumnHeading"/>
            </w:pPr>
            <w:r w:rsidRPr="00AD1AAB">
              <w:t>Texto da Comissão</w:t>
            </w:r>
          </w:p>
        </w:tc>
        <w:tc>
          <w:tcPr>
            <w:tcW w:w="4876" w:type="dxa"/>
            <w:hideMark/>
          </w:tcPr>
          <w:p w14:paraId="3BF1793E" w14:textId="77777777" w:rsidR="004C47D0" w:rsidRPr="00AD1AAB" w:rsidRDefault="004C47D0" w:rsidP="00C21EA8">
            <w:pPr>
              <w:pStyle w:val="AmColumnHeading"/>
            </w:pPr>
            <w:r w:rsidRPr="00AD1AAB">
              <w:t>Alteração</w:t>
            </w:r>
          </w:p>
        </w:tc>
      </w:tr>
      <w:tr w:rsidR="004C47D0" w:rsidRPr="00AD1AAB" w14:paraId="4A737C4C" w14:textId="77777777" w:rsidTr="00C21EA8">
        <w:trPr>
          <w:jc w:val="center"/>
        </w:trPr>
        <w:tc>
          <w:tcPr>
            <w:tcW w:w="4876" w:type="dxa"/>
          </w:tcPr>
          <w:p w14:paraId="574E6EC5" w14:textId="77777777" w:rsidR="004C47D0" w:rsidRPr="00AD1AAB" w:rsidRDefault="004C47D0" w:rsidP="00C21EA8">
            <w:pPr>
              <w:pStyle w:val="Normal6a"/>
            </w:pPr>
          </w:p>
        </w:tc>
        <w:tc>
          <w:tcPr>
            <w:tcW w:w="4876" w:type="dxa"/>
          </w:tcPr>
          <w:p w14:paraId="76FC5C72" w14:textId="77777777" w:rsidR="004C47D0" w:rsidRPr="00AD1AAB" w:rsidRDefault="004C47D0" w:rsidP="00C21EA8">
            <w:pPr>
              <w:pStyle w:val="Normal6a"/>
              <w:spacing w:after="0"/>
              <w:rPr>
                <w:b/>
                <w:bCs/>
                <w:i/>
                <w:iCs/>
              </w:rPr>
            </w:pPr>
            <w:r w:rsidRPr="00AD1AAB">
              <w:rPr>
                <w:b/>
                <w:i/>
              </w:rPr>
              <w:t>O presente regulamento é aplicável a partir de 1 de julho de 2026.</w:t>
            </w:r>
          </w:p>
        </w:tc>
      </w:tr>
    </w:tbl>
    <w:p w14:paraId="4B744541" w14:textId="77777777" w:rsidR="004C47D0" w:rsidRPr="00AD1AAB" w:rsidRDefault="004C47D0" w:rsidP="004C47D0"/>
    <w:p w14:paraId="469199B1" w14:textId="77777777" w:rsidR="004C47D0" w:rsidRPr="00AD1AAB" w:rsidRDefault="004C47D0" w:rsidP="004C47D0">
      <w:pPr>
        <w:pStyle w:val="AmNumberTabs"/>
      </w:pPr>
      <w:r w:rsidRPr="00AD1AAB">
        <w:t>Alteração</w:t>
      </w:r>
      <w:r w:rsidRPr="00AD1AAB">
        <w:tab/>
      </w:r>
      <w:r w:rsidRPr="00AD1AAB">
        <w:tab/>
        <w:t>53</w:t>
      </w:r>
    </w:p>
    <w:p w14:paraId="5AC1F54A" w14:textId="77777777" w:rsidR="004C47D0" w:rsidRPr="00AD1AAB" w:rsidRDefault="004C47D0" w:rsidP="004C47D0">
      <w:pPr>
        <w:pStyle w:val="NormalBold12b"/>
      </w:pPr>
      <w:r w:rsidRPr="00AD1AAB">
        <w:t>Proposta de regulamento</w:t>
      </w:r>
    </w:p>
    <w:p w14:paraId="5DEBF77D" w14:textId="77777777" w:rsidR="004C47D0" w:rsidRPr="00AD1AAB" w:rsidRDefault="004C47D0" w:rsidP="004C47D0">
      <w:pPr>
        <w:pStyle w:val="NormalBold"/>
      </w:pPr>
      <w:r w:rsidRPr="00AD1AAB">
        <w:t>Artigo 10 – parágrafo 1-B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66BFC5B5" w14:textId="77777777" w:rsidTr="00C21EA8">
        <w:trPr>
          <w:trHeight w:val="240"/>
          <w:jc w:val="center"/>
        </w:trPr>
        <w:tc>
          <w:tcPr>
            <w:tcW w:w="9752" w:type="dxa"/>
            <w:gridSpan w:val="2"/>
          </w:tcPr>
          <w:p w14:paraId="40826DEC" w14:textId="77777777" w:rsidR="004C47D0" w:rsidRPr="00AD1AAB" w:rsidRDefault="004C47D0" w:rsidP="00C21EA8"/>
        </w:tc>
      </w:tr>
      <w:tr w:rsidR="004C47D0" w:rsidRPr="00AD1AAB" w14:paraId="21CEB913" w14:textId="77777777" w:rsidTr="00C21EA8">
        <w:trPr>
          <w:trHeight w:val="240"/>
          <w:jc w:val="center"/>
        </w:trPr>
        <w:tc>
          <w:tcPr>
            <w:tcW w:w="4876" w:type="dxa"/>
            <w:hideMark/>
          </w:tcPr>
          <w:p w14:paraId="66109BD3" w14:textId="77777777" w:rsidR="004C47D0" w:rsidRPr="00AD1AAB" w:rsidRDefault="004C47D0" w:rsidP="00C21EA8">
            <w:pPr>
              <w:pStyle w:val="AmColumnHeading"/>
            </w:pPr>
            <w:r w:rsidRPr="00AD1AAB">
              <w:t>Texto da Comissão</w:t>
            </w:r>
          </w:p>
        </w:tc>
        <w:tc>
          <w:tcPr>
            <w:tcW w:w="4876" w:type="dxa"/>
            <w:hideMark/>
          </w:tcPr>
          <w:p w14:paraId="2636DD26" w14:textId="77777777" w:rsidR="004C47D0" w:rsidRPr="00AD1AAB" w:rsidRDefault="004C47D0" w:rsidP="00C21EA8">
            <w:pPr>
              <w:pStyle w:val="AmColumnHeading"/>
            </w:pPr>
            <w:r w:rsidRPr="00AD1AAB">
              <w:t>Alteração</w:t>
            </w:r>
          </w:p>
        </w:tc>
      </w:tr>
      <w:tr w:rsidR="004C47D0" w:rsidRPr="00AD1AAB" w14:paraId="57A40034" w14:textId="77777777" w:rsidTr="00C21EA8">
        <w:trPr>
          <w:jc w:val="center"/>
        </w:trPr>
        <w:tc>
          <w:tcPr>
            <w:tcW w:w="4876" w:type="dxa"/>
          </w:tcPr>
          <w:p w14:paraId="129EBF35" w14:textId="77777777" w:rsidR="004C47D0" w:rsidRPr="00AD1AAB" w:rsidRDefault="004C47D0" w:rsidP="00C21EA8">
            <w:pPr>
              <w:pStyle w:val="Normal6a"/>
            </w:pPr>
          </w:p>
        </w:tc>
        <w:tc>
          <w:tcPr>
            <w:tcW w:w="4876" w:type="dxa"/>
          </w:tcPr>
          <w:p w14:paraId="6F1A1BA8" w14:textId="77777777" w:rsidR="004C47D0" w:rsidRPr="00AD1AAB" w:rsidRDefault="004C47D0" w:rsidP="00C21EA8">
            <w:pPr>
              <w:pStyle w:val="Normal6a"/>
              <w:spacing w:after="0"/>
              <w:rPr>
                <w:b/>
                <w:bCs/>
                <w:i/>
                <w:iCs/>
              </w:rPr>
            </w:pPr>
            <w:r w:rsidRPr="00AD1AAB">
              <w:rPr>
                <w:b/>
                <w:i/>
              </w:rPr>
              <w:t>O artigo 3.º, n.º 2, é aplicável a partir de 1 de outubro de 2026.</w:t>
            </w:r>
          </w:p>
        </w:tc>
      </w:tr>
    </w:tbl>
    <w:p w14:paraId="49A8B49D" w14:textId="77777777" w:rsidR="004C47D0" w:rsidRPr="00AD1AAB" w:rsidRDefault="004C47D0" w:rsidP="004C47D0"/>
    <w:p w14:paraId="6825D030" w14:textId="77777777" w:rsidR="004C47D0" w:rsidRPr="00AD1AAB" w:rsidRDefault="004C47D0" w:rsidP="004C47D0">
      <w:pPr>
        <w:pStyle w:val="AmNumberTabs"/>
      </w:pPr>
      <w:r w:rsidRPr="00AD1AAB">
        <w:t>Alteração</w:t>
      </w:r>
      <w:r w:rsidRPr="00AD1AAB">
        <w:tab/>
      </w:r>
      <w:r w:rsidRPr="00AD1AAB">
        <w:tab/>
        <w:t>54</w:t>
      </w:r>
    </w:p>
    <w:p w14:paraId="0DB0A386" w14:textId="77777777" w:rsidR="004C47D0" w:rsidRPr="00AD1AAB" w:rsidRDefault="004C47D0" w:rsidP="004C47D0">
      <w:pPr>
        <w:pStyle w:val="NormalBold12b"/>
      </w:pPr>
      <w:r w:rsidRPr="00AD1AAB">
        <w:t>Proposta de regulamento</w:t>
      </w:r>
    </w:p>
    <w:p w14:paraId="4C7DF63D" w14:textId="77777777" w:rsidR="004C47D0" w:rsidRPr="00AD1AAB" w:rsidRDefault="004C47D0" w:rsidP="004C47D0">
      <w:pPr>
        <w:pStyle w:val="NormalBold"/>
      </w:pPr>
      <w:r w:rsidRPr="00AD1AAB">
        <w:t>Artigo 10 – parágrafo 1-C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C47D0" w:rsidRPr="00AD1AAB" w14:paraId="4E3F324A" w14:textId="77777777" w:rsidTr="00C21EA8">
        <w:trPr>
          <w:trHeight w:val="240"/>
          <w:jc w:val="center"/>
        </w:trPr>
        <w:tc>
          <w:tcPr>
            <w:tcW w:w="9752" w:type="dxa"/>
            <w:gridSpan w:val="2"/>
          </w:tcPr>
          <w:p w14:paraId="175C6298" w14:textId="77777777" w:rsidR="004C47D0" w:rsidRPr="00AD1AAB" w:rsidRDefault="004C47D0" w:rsidP="00C21EA8"/>
        </w:tc>
      </w:tr>
      <w:tr w:rsidR="004C47D0" w:rsidRPr="00AD1AAB" w14:paraId="2309732C" w14:textId="77777777" w:rsidTr="00C21EA8">
        <w:trPr>
          <w:trHeight w:val="240"/>
          <w:jc w:val="center"/>
        </w:trPr>
        <w:tc>
          <w:tcPr>
            <w:tcW w:w="4876" w:type="dxa"/>
            <w:hideMark/>
          </w:tcPr>
          <w:p w14:paraId="69792F40" w14:textId="77777777" w:rsidR="004C47D0" w:rsidRPr="00AD1AAB" w:rsidRDefault="004C47D0" w:rsidP="00C21EA8">
            <w:pPr>
              <w:pStyle w:val="AmColumnHeading"/>
            </w:pPr>
            <w:r w:rsidRPr="00AD1AAB">
              <w:t>Texto da Comissão</w:t>
            </w:r>
          </w:p>
        </w:tc>
        <w:tc>
          <w:tcPr>
            <w:tcW w:w="4876" w:type="dxa"/>
            <w:hideMark/>
          </w:tcPr>
          <w:p w14:paraId="69169971" w14:textId="77777777" w:rsidR="004C47D0" w:rsidRPr="00AD1AAB" w:rsidRDefault="004C47D0" w:rsidP="00C21EA8">
            <w:pPr>
              <w:pStyle w:val="AmColumnHeading"/>
            </w:pPr>
            <w:r w:rsidRPr="00AD1AAB">
              <w:t>Alteração</w:t>
            </w:r>
          </w:p>
        </w:tc>
      </w:tr>
      <w:tr w:rsidR="004C47D0" w:rsidRPr="00AD1AAB" w14:paraId="124B2AA4" w14:textId="77777777" w:rsidTr="00C21EA8">
        <w:trPr>
          <w:jc w:val="center"/>
        </w:trPr>
        <w:tc>
          <w:tcPr>
            <w:tcW w:w="4876" w:type="dxa"/>
          </w:tcPr>
          <w:p w14:paraId="3C9420C6" w14:textId="77777777" w:rsidR="004C47D0" w:rsidRPr="00AD1AAB" w:rsidRDefault="004C47D0" w:rsidP="00C21EA8">
            <w:pPr>
              <w:pStyle w:val="Normal6a"/>
            </w:pPr>
          </w:p>
        </w:tc>
        <w:tc>
          <w:tcPr>
            <w:tcW w:w="4876" w:type="dxa"/>
          </w:tcPr>
          <w:p w14:paraId="19BA11D7" w14:textId="77777777" w:rsidR="004C47D0" w:rsidRPr="00AD1AAB" w:rsidRDefault="004C47D0" w:rsidP="00C21EA8">
            <w:pPr>
              <w:pStyle w:val="Normal6a"/>
              <w:spacing w:after="0"/>
              <w:rPr>
                <w:b/>
                <w:bCs/>
                <w:i/>
                <w:iCs/>
              </w:rPr>
            </w:pPr>
            <w:r w:rsidRPr="00AD1AAB">
              <w:rPr>
                <w:b/>
                <w:i/>
              </w:rPr>
              <w:t>O artigo 3.º, n.º 2-B, é aplicável a partir de ... [24 meses a contar da data de entrada em vigor do presente regulamento].</w:t>
            </w:r>
          </w:p>
        </w:tc>
      </w:tr>
    </w:tbl>
    <w:p w14:paraId="68AF9EA2" w14:textId="77777777" w:rsidR="004C47D0" w:rsidRPr="00AD1AAB" w:rsidRDefault="004C47D0" w:rsidP="004C47D0"/>
    <w:p w14:paraId="34658A83" w14:textId="77777777" w:rsidR="004C47D0" w:rsidRPr="00AD1AAB" w:rsidRDefault="004C47D0" w:rsidP="004C47D0">
      <w:pPr>
        <w:pStyle w:val="AmNumberTabs"/>
      </w:pPr>
      <w:r w:rsidRPr="00AD1AAB">
        <w:t>Alteração</w:t>
      </w:r>
      <w:r w:rsidRPr="00AD1AAB">
        <w:tab/>
      </w:r>
      <w:r w:rsidRPr="00AD1AAB">
        <w:tab/>
        <w:t>55</w:t>
      </w:r>
    </w:p>
    <w:p w14:paraId="367F9F61" w14:textId="77777777" w:rsidR="004C47D0" w:rsidRPr="00AD1AAB" w:rsidRDefault="004C47D0" w:rsidP="004C47D0">
      <w:pPr>
        <w:pStyle w:val="NormalBold12b"/>
      </w:pPr>
      <w:r w:rsidRPr="00AD1AAB">
        <w:t>Proposta de regulamento</w:t>
      </w:r>
    </w:p>
    <w:p w14:paraId="59121345" w14:textId="77777777" w:rsidR="004C47D0" w:rsidRPr="00AD1AAB" w:rsidRDefault="004C47D0" w:rsidP="004C47D0">
      <w:pPr>
        <w:pStyle w:val="NormalBold"/>
      </w:pPr>
      <w:r w:rsidRPr="00AD1AAB">
        <w:t>Anexo I – linha 21-A (nova)</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4"/>
        <w:gridCol w:w="1625"/>
        <w:gridCol w:w="1625"/>
        <w:gridCol w:w="1794"/>
      </w:tblGrid>
      <w:tr w:rsidR="004C47D0" w:rsidRPr="00AD1AAB" w14:paraId="59136405" w14:textId="77777777" w:rsidTr="00C21EA8">
        <w:trPr>
          <w:jc w:val="center"/>
        </w:trPr>
        <w:tc>
          <w:tcPr>
            <w:tcW w:w="9918" w:type="dxa"/>
            <w:gridSpan w:val="4"/>
            <w:tcBorders>
              <w:top w:val="single" w:sz="4" w:space="0" w:color="auto"/>
              <w:left w:val="single" w:sz="4" w:space="0" w:color="auto"/>
              <w:bottom w:val="single" w:sz="4" w:space="0" w:color="auto"/>
              <w:right w:val="single" w:sz="4" w:space="0" w:color="auto"/>
            </w:tcBorders>
          </w:tcPr>
          <w:p w14:paraId="257A1F66" w14:textId="77777777" w:rsidR="004C47D0" w:rsidRPr="00AD1AAB" w:rsidRDefault="004C47D0" w:rsidP="00C21EA8">
            <w:pPr>
              <w:keepNext/>
            </w:pPr>
          </w:p>
        </w:tc>
      </w:tr>
      <w:tr w:rsidR="004C47D0" w:rsidRPr="00AD1AAB" w14:paraId="20744C02" w14:textId="77777777" w:rsidTr="00C21EA8">
        <w:trPr>
          <w:jc w:val="center"/>
        </w:trPr>
        <w:tc>
          <w:tcPr>
            <w:tcW w:w="4874" w:type="dxa"/>
            <w:tcBorders>
              <w:top w:val="single" w:sz="4" w:space="0" w:color="auto"/>
              <w:left w:val="single" w:sz="4" w:space="0" w:color="auto"/>
              <w:bottom w:val="single" w:sz="4" w:space="0" w:color="auto"/>
              <w:right w:val="single" w:sz="4" w:space="0" w:color="auto"/>
            </w:tcBorders>
            <w:hideMark/>
          </w:tcPr>
          <w:p w14:paraId="57F0F718" w14:textId="77777777" w:rsidR="004C47D0" w:rsidRPr="00AD1AAB" w:rsidRDefault="004C47D0" w:rsidP="00C21EA8">
            <w:pPr>
              <w:pStyle w:val="AmColumnHeading"/>
              <w:keepNext/>
            </w:pPr>
            <w:r w:rsidRPr="00AD1AAB">
              <w:t>Texto da Comissão</w:t>
            </w:r>
          </w:p>
        </w:tc>
        <w:tc>
          <w:tcPr>
            <w:tcW w:w="5044" w:type="dxa"/>
            <w:gridSpan w:val="3"/>
            <w:tcBorders>
              <w:top w:val="single" w:sz="4" w:space="0" w:color="auto"/>
              <w:left w:val="single" w:sz="4" w:space="0" w:color="auto"/>
              <w:bottom w:val="single" w:sz="4" w:space="0" w:color="auto"/>
              <w:right w:val="single" w:sz="4" w:space="0" w:color="auto"/>
            </w:tcBorders>
            <w:hideMark/>
          </w:tcPr>
          <w:p w14:paraId="52444768" w14:textId="77777777" w:rsidR="004C47D0" w:rsidRPr="00AD1AAB" w:rsidRDefault="004C47D0" w:rsidP="00C21EA8">
            <w:pPr>
              <w:pStyle w:val="AmColumnHeading"/>
              <w:keepNext/>
            </w:pPr>
            <w:r w:rsidRPr="00AD1AAB">
              <w:t>Alteração</w:t>
            </w:r>
          </w:p>
        </w:tc>
      </w:tr>
      <w:tr w:rsidR="004C47D0" w:rsidRPr="00AD1AAB" w14:paraId="17C1A080" w14:textId="77777777" w:rsidTr="00C21EA8">
        <w:trPr>
          <w:jc w:val="center"/>
        </w:trPr>
        <w:tc>
          <w:tcPr>
            <w:tcW w:w="4874" w:type="dxa"/>
            <w:tcBorders>
              <w:top w:val="single" w:sz="4" w:space="0" w:color="auto"/>
              <w:left w:val="single" w:sz="4" w:space="0" w:color="auto"/>
              <w:bottom w:val="single" w:sz="4" w:space="0" w:color="auto"/>
              <w:right w:val="single" w:sz="4" w:space="0" w:color="auto"/>
            </w:tcBorders>
          </w:tcPr>
          <w:p w14:paraId="2894996F" w14:textId="77777777" w:rsidR="004C47D0" w:rsidRPr="00AD1AAB" w:rsidRDefault="004C47D0" w:rsidP="00C21EA8">
            <w:pPr>
              <w:pStyle w:val="Normal6a"/>
            </w:pPr>
          </w:p>
        </w:tc>
        <w:tc>
          <w:tcPr>
            <w:tcW w:w="1625" w:type="dxa"/>
            <w:tcBorders>
              <w:top w:val="single" w:sz="4" w:space="0" w:color="auto"/>
              <w:left w:val="single" w:sz="4" w:space="0" w:color="auto"/>
              <w:bottom w:val="single" w:sz="4" w:space="0" w:color="auto"/>
              <w:right w:val="single" w:sz="4" w:space="0" w:color="auto"/>
            </w:tcBorders>
            <w:hideMark/>
          </w:tcPr>
          <w:p w14:paraId="67CEED58" w14:textId="77777777" w:rsidR="004C47D0" w:rsidRPr="00AD1AAB" w:rsidRDefault="004C47D0" w:rsidP="00C21EA8">
            <w:pPr>
              <w:pStyle w:val="Normal6a"/>
              <w:rPr>
                <w:b/>
                <w:bCs/>
                <w:i/>
                <w:iCs/>
              </w:rPr>
            </w:pPr>
            <w:r w:rsidRPr="00AD1AAB">
              <w:rPr>
                <w:b/>
                <w:i/>
              </w:rPr>
              <w:t>21-A</w:t>
            </w:r>
          </w:p>
        </w:tc>
        <w:tc>
          <w:tcPr>
            <w:tcW w:w="1625" w:type="dxa"/>
            <w:tcBorders>
              <w:top w:val="single" w:sz="4" w:space="0" w:color="auto"/>
              <w:left w:val="single" w:sz="4" w:space="0" w:color="auto"/>
              <w:bottom w:val="single" w:sz="4" w:space="0" w:color="auto"/>
              <w:right w:val="single" w:sz="4" w:space="0" w:color="auto"/>
            </w:tcBorders>
            <w:hideMark/>
          </w:tcPr>
          <w:p w14:paraId="087447C0" w14:textId="77777777" w:rsidR="004C47D0" w:rsidRPr="00AD1AAB" w:rsidRDefault="004C47D0" w:rsidP="00C21EA8">
            <w:pPr>
              <w:pStyle w:val="Normal6a"/>
              <w:rPr>
                <w:b/>
                <w:bCs/>
                <w:i/>
                <w:iCs/>
              </w:rPr>
            </w:pPr>
            <w:r w:rsidRPr="00AD1AAB">
              <w:rPr>
                <w:b/>
                <w:i/>
              </w:rPr>
              <w:t>Tubos e perfis ocos, de ferro fundido</w:t>
            </w:r>
          </w:p>
        </w:tc>
        <w:tc>
          <w:tcPr>
            <w:tcW w:w="1794" w:type="dxa"/>
            <w:tcBorders>
              <w:top w:val="single" w:sz="4" w:space="0" w:color="auto"/>
              <w:left w:val="single" w:sz="4" w:space="0" w:color="auto"/>
              <w:bottom w:val="single" w:sz="4" w:space="0" w:color="auto"/>
              <w:right w:val="single" w:sz="4" w:space="0" w:color="auto"/>
            </w:tcBorders>
            <w:hideMark/>
          </w:tcPr>
          <w:p w14:paraId="6FF1511C" w14:textId="77777777" w:rsidR="004C47D0" w:rsidRPr="00AD1AAB" w:rsidRDefault="004C47D0" w:rsidP="00C21EA8">
            <w:pPr>
              <w:pStyle w:val="Normal6a"/>
              <w:rPr>
                <w:b/>
                <w:bCs/>
                <w:i/>
                <w:iCs/>
              </w:rPr>
            </w:pPr>
            <w:r w:rsidRPr="00AD1AAB">
              <w:rPr>
                <w:b/>
                <w:i/>
              </w:rPr>
              <w:t>NC 73030010, 73030090</w:t>
            </w:r>
          </w:p>
        </w:tc>
      </w:tr>
    </w:tbl>
    <w:p w14:paraId="7A3715C1" w14:textId="77777777" w:rsidR="004C47D0" w:rsidRPr="00AD1AAB" w:rsidRDefault="004C47D0" w:rsidP="004C47D0">
      <w:pPr>
        <w:pStyle w:val="AmNumberTabs"/>
      </w:pPr>
      <w:r w:rsidRPr="00AD1AAB">
        <w:t>Alteração</w:t>
      </w:r>
      <w:r w:rsidRPr="00AD1AAB">
        <w:tab/>
      </w:r>
      <w:r w:rsidRPr="00AD1AAB">
        <w:tab/>
        <w:t>56</w:t>
      </w:r>
    </w:p>
    <w:p w14:paraId="2E4A835A" w14:textId="77777777" w:rsidR="004C47D0" w:rsidRPr="00AD1AAB" w:rsidRDefault="004C47D0" w:rsidP="004C47D0">
      <w:pPr>
        <w:pStyle w:val="NormalBold12b"/>
        <w:spacing w:before="0"/>
      </w:pPr>
      <w:r w:rsidRPr="00AD1AAB">
        <w:t>Proposta de regulamento</w:t>
      </w:r>
    </w:p>
    <w:p w14:paraId="7B9DDF72" w14:textId="77777777" w:rsidR="004C47D0" w:rsidRPr="00AD1AAB" w:rsidRDefault="004C47D0" w:rsidP="004C47D0">
      <w:r w:rsidRPr="00AD1AAB">
        <w:rPr>
          <w:b/>
        </w:rPr>
        <w:t>Anexo I – linha 28</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1413"/>
        <w:gridCol w:w="1559"/>
        <w:gridCol w:w="1902"/>
        <w:gridCol w:w="1500"/>
        <w:gridCol w:w="1750"/>
        <w:gridCol w:w="1936"/>
      </w:tblGrid>
      <w:tr w:rsidR="004C47D0" w:rsidRPr="00AD1AAB" w14:paraId="67B36F25" w14:textId="77777777" w:rsidTr="00C21EA8">
        <w:trPr>
          <w:jc w:val="center"/>
        </w:trPr>
        <w:tc>
          <w:tcPr>
            <w:tcW w:w="10060" w:type="dxa"/>
            <w:gridSpan w:val="6"/>
            <w:tcBorders>
              <w:top w:val="single" w:sz="4" w:space="0" w:color="auto"/>
              <w:left w:val="single" w:sz="4" w:space="0" w:color="auto"/>
              <w:bottom w:val="single" w:sz="4" w:space="0" w:color="auto"/>
              <w:right w:val="single" w:sz="4" w:space="0" w:color="auto"/>
            </w:tcBorders>
          </w:tcPr>
          <w:p w14:paraId="72920AC0" w14:textId="77777777" w:rsidR="004C47D0" w:rsidRPr="00AD1AAB" w:rsidRDefault="004C47D0" w:rsidP="00C21EA8">
            <w:pPr>
              <w:keepNext/>
            </w:pPr>
          </w:p>
        </w:tc>
      </w:tr>
      <w:tr w:rsidR="004C47D0" w:rsidRPr="00AD1AAB" w14:paraId="4EE560B9" w14:textId="77777777" w:rsidTr="00C21EA8">
        <w:trPr>
          <w:jc w:val="center"/>
        </w:trPr>
        <w:tc>
          <w:tcPr>
            <w:tcW w:w="4874" w:type="dxa"/>
            <w:gridSpan w:val="3"/>
            <w:tcBorders>
              <w:top w:val="single" w:sz="4" w:space="0" w:color="auto"/>
              <w:left w:val="single" w:sz="4" w:space="0" w:color="auto"/>
              <w:bottom w:val="single" w:sz="4" w:space="0" w:color="auto"/>
              <w:right w:val="single" w:sz="4" w:space="0" w:color="auto"/>
            </w:tcBorders>
            <w:hideMark/>
          </w:tcPr>
          <w:p w14:paraId="69BBC0F8" w14:textId="77777777" w:rsidR="004C47D0" w:rsidRPr="00AD1AAB" w:rsidRDefault="004C47D0" w:rsidP="00C21EA8">
            <w:pPr>
              <w:pStyle w:val="AmColumnHeading"/>
              <w:keepNext/>
            </w:pPr>
            <w:r w:rsidRPr="00AD1AAB">
              <w:t>Texto da Comissão</w:t>
            </w:r>
          </w:p>
        </w:tc>
        <w:tc>
          <w:tcPr>
            <w:tcW w:w="5186" w:type="dxa"/>
            <w:gridSpan w:val="3"/>
            <w:tcBorders>
              <w:top w:val="single" w:sz="4" w:space="0" w:color="auto"/>
              <w:left w:val="single" w:sz="4" w:space="0" w:color="auto"/>
              <w:bottom w:val="single" w:sz="4" w:space="0" w:color="auto"/>
              <w:right w:val="single" w:sz="4" w:space="0" w:color="auto"/>
            </w:tcBorders>
            <w:hideMark/>
          </w:tcPr>
          <w:p w14:paraId="62E6E4D3" w14:textId="77777777" w:rsidR="004C47D0" w:rsidRPr="00AD1AAB" w:rsidRDefault="004C47D0" w:rsidP="00C21EA8">
            <w:pPr>
              <w:pStyle w:val="AmColumnHeading"/>
              <w:keepNext/>
            </w:pPr>
            <w:r w:rsidRPr="00AD1AAB">
              <w:t>Alteração</w:t>
            </w:r>
          </w:p>
        </w:tc>
      </w:tr>
      <w:tr w:rsidR="004C47D0" w:rsidRPr="00AD1AAB" w14:paraId="489C6525" w14:textId="77777777" w:rsidTr="00C21EA8">
        <w:trPr>
          <w:trHeight w:val="2195"/>
          <w:jc w:val="center"/>
        </w:trPr>
        <w:tc>
          <w:tcPr>
            <w:tcW w:w="1413" w:type="dxa"/>
            <w:tcBorders>
              <w:top w:val="single" w:sz="4" w:space="0" w:color="auto"/>
              <w:left w:val="single" w:sz="4" w:space="0" w:color="auto"/>
              <w:bottom w:val="single" w:sz="4" w:space="0" w:color="auto"/>
              <w:right w:val="single" w:sz="4" w:space="0" w:color="auto"/>
            </w:tcBorders>
            <w:hideMark/>
          </w:tcPr>
          <w:p w14:paraId="50BC6C87" w14:textId="77777777" w:rsidR="004C47D0" w:rsidRPr="00AD1AAB" w:rsidRDefault="004C47D0" w:rsidP="00C21EA8">
            <w:pPr>
              <w:pStyle w:val="Normal6a"/>
              <w:rPr>
                <w:spacing w:val="-5"/>
              </w:rPr>
            </w:pPr>
            <w:r w:rsidRPr="00AD1AAB">
              <w:t>28</w:t>
            </w:r>
          </w:p>
        </w:tc>
        <w:tc>
          <w:tcPr>
            <w:tcW w:w="1559" w:type="dxa"/>
            <w:tcBorders>
              <w:top w:val="single" w:sz="4" w:space="0" w:color="auto"/>
              <w:left w:val="single" w:sz="4" w:space="0" w:color="auto"/>
              <w:bottom w:val="single" w:sz="4" w:space="0" w:color="auto"/>
              <w:right w:val="single" w:sz="4" w:space="0" w:color="auto"/>
            </w:tcBorders>
            <w:hideMark/>
          </w:tcPr>
          <w:p w14:paraId="679C5048" w14:textId="77777777" w:rsidR="004C47D0" w:rsidRPr="00AD1AAB" w:rsidRDefault="004C47D0" w:rsidP="00C21EA8">
            <w:pPr>
              <w:pStyle w:val="Normal6a"/>
              <w:rPr>
                <w:spacing w:val="-5"/>
              </w:rPr>
            </w:pPr>
            <w:r w:rsidRPr="00AD1AAB">
              <w:t>Fio de aço não ligado</w:t>
            </w:r>
          </w:p>
        </w:tc>
        <w:tc>
          <w:tcPr>
            <w:tcW w:w="1902" w:type="dxa"/>
            <w:tcBorders>
              <w:top w:val="single" w:sz="4" w:space="0" w:color="auto"/>
              <w:left w:val="single" w:sz="4" w:space="0" w:color="auto"/>
              <w:bottom w:val="single" w:sz="4" w:space="0" w:color="auto"/>
              <w:right w:val="single" w:sz="4" w:space="0" w:color="auto"/>
            </w:tcBorders>
            <w:hideMark/>
          </w:tcPr>
          <w:p w14:paraId="72C0C0CE" w14:textId="77777777" w:rsidR="004C47D0" w:rsidRPr="00AD1AAB" w:rsidRDefault="004C47D0" w:rsidP="00C21EA8">
            <w:pPr>
              <w:pStyle w:val="Normal6a"/>
              <w:rPr>
                <w:spacing w:val="-5"/>
              </w:rPr>
            </w:pPr>
            <w:r w:rsidRPr="00AD1AAB">
              <w:t>7217 10 10, 7217 10 31, 7217 10 39, 7217 10 50, 7217 10 90, 7217 20 10, 7217 20 30, 7217 20 50, 7217 20 90, 7217 30 41, 7217 30 49, 7217 30 50, 7217 30 90, 7217 90 20, 7217 90 50, 7217 90 90</w:t>
            </w:r>
          </w:p>
        </w:tc>
        <w:tc>
          <w:tcPr>
            <w:tcW w:w="1500" w:type="dxa"/>
            <w:tcBorders>
              <w:top w:val="single" w:sz="4" w:space="0" w:color="auto"/>
              <w:left w:val="single" w:sz="4" w:space="0" w:color="auto"/>
              <w:bottom w:val="single" w:sz="4" w:space="0" w:color="auto"/>
              <w:right w:val="single" w:sz="4" w:space="0" w:color="auto"/>
            </w:tcBorders>
            <w:hideMark/>
          </w:tcPr>
          <w:p w14:paraId="67B19931" w14:textId="77777777" w:rsidR="004C47D0" w:rsidRPr="00AD1AAB" w:rsidRDefault="004C47D0" w:rsidP="00C21EA8">
            <w:pPr>
              <w:pStyle w:val="Normal6a"/>
              <w:rPr>
                <w:spacing w:val="-5"/>
              </w:rPr>
            </w:pPr>
            <w:r w:rsidRPr="00AD1AAB">
              <w:t>28</w:t>
            </w:r>
          </w:p>
        </w:tc>
        <w:tc>
          <w:tcPr>
            <w:tcW w:w="1750" w:type="dxa"/>
            <w:tcBorders>
              <w:top w:val="single" w:sz="4" w:space="0" w:color="auto"/>
              <w:left w:val="single" w:sz="4" w:space="0" w:color="auto"/>
              <w:bottom w:val="single" w:sz="4" w:space="0" w:color="auto"/>
              <w:right w:val="single" w:sz="4" w:space="0" w:color="auto"/>
            </w:tcBorders>
            <w:hideMark/>
          </w:tcPr>
          <w:p w14:paraId="234EDE78" w14:textId="77777777" w:rsidR="004C47D0" w:rsidRPr="00AD1AAB" w:rsidRDefault="004C47D0" w:rsidP="00C21EA8">
            <w:pPr>
              <w:pStyle w:val="Normal6a"/>
              <w:rPr>
                <w:spacing w:val="-5"/>
              </w:rPr>
            </w:pPr>
            <w:r w:rsidRPr="00AD1AAB">
              <w:t>Fio de aço não ligado</w:t>
            </w:r>
            <w:r w:rsidRPr="00AD1AAB">
              <w:rPr>
                <w:b/>
                <w:bCs/>
                <w:i/>
                <w:iCs/>
              </w:rPr>
              <w:t xml:space="preserve"> e de outras ligas de aço</w:t>
            </w:r>
          </w:p>
        </w:tc>
        <w:tc>
          <w:tcPr>
            <w:tcW w:w="1936" w:type="dxa"/>
            <w:tcBorders>
              <w:top w:val="single" w:sz="4" w:space="0" w:color="auto"/>
              <w:left w:val="single" w:sz="4" w:space="0" w:color="auto"/>
              <w:bottom w:val="single" w:sz="4" w:space="0" w:color="auto"/>
              <w:right w:val="single" w:sz="4" w:space="0" w:color="auto"/>
            </w:tcBorders>
            <w:hideMark/>
          </w:tcPr>
          <w:p w14:paraId="23B96A20" w14:textId="77777777" w:rsidR="004C47D0" w:rsidRPr="00AD1AAB" w:rsidRDefault="004C47D0" w:rsidP="00C21EA8">
            <w:pPr>
              <w:pStyle w:val="Normal6a"/>
            </w:pPr>
            <w:r w:rsidRPr="00AD1AAB">
              <w:t>7217 10 10, 7217 10 31, 7217 10 39,</w:t>
            </w:r>
          </w:p>
          <w:p w14:paraId="1B2920DF" w14:textId="77777777" w:rsidR="004C47D0" w:rsidRPr="00AD1AAB" w:rsidRDefault="004C47D0" w:rsidP="00C21EA8">
            <w:pPr>
              <w:pStyle w:val="Normal6a"/>
            </w:pPr>
            <w:r w:rsidRPr="00AD1AAB">
              <w:t>7217 10 50, 7217 10 90, 7217 20 10,</w:t>
            </w:r>
          </w:p>
          <w:p w14:paraId="13DEDD49" w14:textId="77777777" w:rsidR="004C47D0" w:rsidRPr="00AD1AAB" w:rsidRDefault="004C47D0" w:rsidP="00C21EA8">
            <w:pPr>
              <w:pStyle w:val="Normal6a"/>
            </w:pPr>
            <w:r w:rsidRPr="00AD1AAB">
              <w:t>7217 20 30, 7217 20 50, 7217 20 90,</w:t>
            </w:r>
          </w:p>
          <w:p w14:paraId="67DBFDED" w14:textId="77777777" w:rsidR="004C47D0" w:rsidRPr="00AD1AAB" w:rsidRDefault="004C47D0" w:rsidP="00C21EA8">
            <w:pPr>
              <w:pStyle w:val="Normal6a"/>
            </w:pPr>
            <w:r w:rsidRPr="00AD1AAB">
              <w:t>7217 30 41, 7217 30 49, 7217 30 50,</w:t>
            </w:r>
          </w:p>
          <w:p w14:paraId="7DA96714" w14:textId="77777777" w:rsidR="004C47D0" w:rsidRPr="00AD1AAB" w:rsidRDefault="004C47D0" w:rsidP="00C21EA8">
            <w:pPr>
              <w:pStyle w:val="Normal6a"/>
            </w:pPr>
            <w:r w:rsidRPr="00AD1AAB">
              <w:t>7217 30 90, 7217 90 20, 7217 90 50,</w:t>
            </w:r>
          </w:p>
          <w:p w14:paraId="66E45F60" w14:textId="77777777" w:rsidR="004C47D0" w:rsidRPr="00AD1AAB" w:rsidRDefault="004C47D0" w:rsidP="00C21EA8">
            <w:pPr>
              <w:pStyle w:val="Normal6a"/>
            </w:pPr>
            <w:r w:rsidRPr="00AD1AAB">
              <w:t>7217 90 90,</w:t>
            </w:r>
          </w:p>
          <w:p w14:paraId="622BE27B" w14:textId="77777777" w:rsidR="004C47D0" w:rsidRPr="00AD1AAB" w:rsidRDefault="004C47D0" w:rsidP="00C21EA8">
            <w:pPr>
              <w:pStyle w:val="Normal6a"/>
              <w:rPr>
                <w:spacing w:val="-5"/>
              </w:rPr>
            </w:pPr>
            <w:r w:rsidRPr="00AD1AAB">
              <w:rPr>
                <w:b/>
                <w:i/>
              </w:rPr>
              <w:t>72 29 2000, 72 29 9020, 72 29 9050, 72 29 9090</w:t>
            </w:r>
          </w:p>
        </w:tc>
      </w:tr>
    </w:tbl>
    <w:p w14:paraId="32E11BD4" w14:textId="77777777" w:rsidR="004C47D0" w:rsidRPr="00AD1AAB" w:rsidRDefault="004C47D0" w:rsidP="004C47D0">
      <w:pPr>
        <w:pStyle w:val="AmNumberTabs"/>
      </w:pPr>
      <w:r w:rsidRPr="00AD1AAB">
        <w:t>Alteração</w:t>
      </w:r>
      <w:r w:rsidRPr="00AD1AAB">
        <w:tab/>
      </w:r>
      <w:r w:rsidRPr="00AD1AAB">
        <w:tab/>
        <w:t>57</w:t>
      </w:r>
    </w:p>
    <w:p w14:paraId="00F55043" w14:textId="77777777" w:rsidR="004C47D0" w:rsidRPr="00AD1AAB" w:rsidRDefault="004C47D0" w:rsidP="004C47D0">
      <w:pPr>
        <w:pStyle w:val="NormalBold12b"/>
        <w:spacing w:before="0"/>
      </w:pPr>
      <w:r w:rsidRPr="00AD1AAB">
        <w:lastRenderedPageBreak/>
        <w:t>Proposta de regulamento</w:t>
      </w:r>
    </w:p>
    <w:p w14:paraId="5E14CF50" w14:textId="77777777" w:rsidR="004C47D0" w:rsidRPr="00AD1AAB" w:rsidRDefault="004C47D0" w:rsidP="004C47D0">
      <w:pPr>
        <w:pStyle w:val="NormalBold"/>
      </w:pPr>
      <w:r w:rsidRPr="00AD1AAB">
        <w:t>Anexo I – linha 29-A (nova)</w:t>
      </w:r>
    </w:p>
    <w:p w14:paraId="5F621A03" w14:textId="77777777" w:rsidR="004C47D0" w:rsidRPr="00AD1AAB" w:rsidRDefault="004C47D0" w:rsidP="004C47D0"/>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5237"/>
        <w:gridCol w:w="1558"/>
        <w:gridCol w:w="1706"/>
        <w:gridCol w:w="1417"/>
      </w:tblGrid>
      <w:tr w:rsidR="004C47D0" w:rsidRPr="00AD1AAB" w14:paraId="205198F4" w14:textId="77777777" w:rsidTr="00C21EA8">
        <w:trPr>
          <w:jc w:val="center"/>
        </w:trPr>
        <w:tc>
          <w:tcPr>
            <w:tcW w:w="9918" w:type="dxa"/>
            <w:gridSpan w:val="4"/>
            <w:tcBorders>
              <w:top w:val="single" w:sz="4" w:space="0" w:color="auto"/>
              <w:left w:val="single" w:sz="4" w:space="0" w:color="auto"/>
              <w:bottom w:val="single" w:sz="4" w:space="0" w:color="auto"/>
              <w:right w:val="single" w:sz="4" w:space="0" w:color="auto"/>
            </w:tcBorders>
          </w:tcPr>
          <w:p w14:paraId="518CC43F" w14:textId="77777777" w:rsidR="004C47D0" w:rsidRPr="00AD1AAB" w:rsidRDefault="004C47D0" w:rsidP="00C21EA8">
            <w:pPr>
              <w:pStyle w:val="NormalBold"/>
            </w:pPr>
          </w:p>
        </w:tc>
      </w:tr>
      <w:tr w:rsidR="004C47D0" w:rsidRPr="00AD1AAB" w14:paraId="5069AC47" w14:textId="77777777" w:rsidTr="00C21EA8">
        <w:trPr>
          <w:jc w:val="center"/>
        </w:trPr>
        <w:tc>
          <w:tcPr>
            <w:tcW w:w="5237" w:type="dxa"/>
            <w:tcBorders>
              <w:top w:val="single" w:sz="4" w:space="0" w:color="auto"/>
              <w:left w:val="single" w:sz="4" w:space="0" w:color="auto"/>
              <w:bottom w:val="single" w:sz="4" w:space="0" w:color="auto"/>
              <w:right w:val="single" w:sz="4" w:space="0" w:color="auto"/>
            </w:tcBorders>
            <w:hideMark/>
          </w:tcPr>
          <w:p w14:paraId="756589FA" w14:textId="77777777" w:rsidR="004C47D0" w:rsidRPr="00AD1AAB" w:rsidRDefault="004C47D0" w:rsidP="00C21EA8">
            <w:pPr>
              <w:pStyle w:val="AmColumnHeading"/>
              <w:keepNext/>
            </w:pPr>
            <w:r w:rsidRPr="00AD1AAB">
              <w:t>Texto da Comissão</w:t>
            </w:r>
          </w:p>
        </w:tc>
        <w:tc>
          <w:tcPr>
            <w:tcW w:w="4681" w:type="dxa"/>
            <w:gridSpan w:val="3"/>
            <w:tcBorders>
              <w:top w:val="single" w:sz="4" w:space="0" w:color="auto"/>
              <w:left w:val="single" w:sz="4" w:space="0" w:color="auto"/>
              <w:bottom w:val="single" w:sz="4" w:space="0" w:color="auto"/>
              <w:right w:val="single" w:sz="4" w:space="0" w:color="auto"/>
            </w:tcBorders>
            <w:hideMark/>
          </w:tcPr>
          <w:p w14:paraId="536B24A5" w14:textId="77777777" w:rsidR="004C47D0" w:rsidRPr="00AD1AAB" w:rsidRDefault="004C47D0" w:rsidP="00C21EA8">
            <w:pPr>
              <w:pStyle w:val="AmColumnHeading"/>
              <w:keepNext/>
            </w:pPr>
            <w:r w:rsidRPr="00AD1AAB">
              <w:t>Alteração</w:t>
            </w:r>
          </w:p>
        </w:tc>
      </w:tr>
      <w:tr w:rsidR="004C47D0" w:rsidRPr="00AD1AAB" w14:paraId="3202A3C3" w14:textId="77777777" w:rsidTr="00C21EA8">
        <w:trPr>
          <w:trHeight w:val="1188"/>
          <w:jc w:val="center"/>
        </w:trPr>
        <w:tc>
          <w:tcPr>
            <w:tcW w:w="5237" w:type="dxa"/>
            <w:tcBorders>
              <w:top w:val="single" w:sz="4" w:space="0" w:color="auto"/>
              <w:left w:val="single" w:sz="4" w:space="0" w:color="auto"/>
              <w:bottom w:val="single" w:sz="4" w:space="0" w:color="auto"/>
              <w:right w:val="single" w:sz="4" w:space="0" w:color="auto"/>
            </w:tcBorders>
          </w:tcPr>
          <w:p w14:paraId="0102ED93" w14:textId="77777777" w:rsidR="004C47D0" w:rsidRPr="00AD1AAB" w:rsidRDefault="004C47D0" w:rsidP="00C21EA8">
            <w:pPr>
              <w:pStyle w:val="Normal6a"/>
              <w:rPr>
                <w:b/>
                <w:i/>
                <w:iCs/>
              </w:rPr>
            </w:pPr>
          </w:p>
        </w:tc>
        <w:tc>
          <w:tcPr>
            <w:tcW w:w="1558" w:type="dxa"/>
            <w:tcBorders>
              <w:top w:val="single" w:sz="4" w:space="0" w:color="auto"/>
              <w:left w:val="single" w:sz="4" w:space="0" w:color="auto"/>
              <w:bottom w:val="single" w:sz="4" w:space="0" w:color="auto"/>
              <w:right w:val="single" w:sz="4" w:space="0" w:color="auto"/>
            </w:tcBorders>
            <w:hideMark/>
          </w:tcPr>
          <w:p w14:paraId="6860C258" w14:textId="77777777" w:rsidR="004C47D0" w:rsidRPr="00AD1AAB" w:rsidRDefault="004C47D0" w:rsidP="00C21EA8">
            <w:pPr>
              <w:pStyle w:val="Normal6a"/>
              <w:rPr>
                <w:b/>
                <w:i/>
                <w:iCs/>
              </w:rPr>
            </w:pPr>
            <w:r w:rsidRPr="00AD1AAB">
              <w:rPr>
                <w:b/>
                <w:i/>
              </w:rPr>
              <w:t>29-A</w:t>
            </w:r>
          </w:p>
        </w:tc>
        <w:tc>
          <w:tcPr>
            <w:tcW w:w="1706" w:type="dxa"/>
            <w:tcBorders>
              <w:top w:val="single" w:sz="4" w:space="0" w:color="auto"/>
              <w:left w:val="single" w:sz="4" w:space="0" w:color="auto"/>
              <w:bottom w:val="single" w:sz="4" w:space="0" w:color="auto"/>
              <w:right w:val="single" w:sz="4" w:space="0" w:color="auto"/>
            </w:tcBorders>
            <w:hideMark/>
          </w:tcPr>
          <w:p w14:paraId="630C8EAC" w14:textId="77777777" w:rsidR="004C47D0" w:rsidRPr="00AD1AAB" w:rsidRDefault="004C47D0" w:rsidP="00C21EA8">
            <w:pPr>
              <w:pStyle w:val="Normal6a"/>
              <w:rPr>
                <w:b/>
                <w:i/>
                <w:iCs/>
              </w:rPr>
            </w:pPr>
            <w:r w:rsidRPr="00AD1AAB">
              <w:rPr>
                <w:b/>
                <w:i/>
              </w:rPr>
              <w:t>Fio de aço inoxidável</w:t>
            </w:r>
          </w:p>
        </w:tc>
        <w:tc>
          <w:tcPr>
            <w:tcW w:w="1417" w:type="dxa"/>
            <w:tcBorders>
              <w:top w:val="single" w:sz="4" w:space="0" w:color="auto"/>
              <w:left w:val="single" w:sz="4" w:space="0" w:color="auto"/>
              <w:bottom w:val="single" w:sz="4" w:space="0" w:color="auto"/>
              <w:right w:val="single" w:sz="4" w:space="0" w:color="auto"/>
            </w:tcBorders>
            <w:hideMark/>
          </w:tcPr>
          <w:p w14:paraId="73CA4694" w14:textId="77777777" w:rsidR="004C47D0" w:rsidRPr="00AD1AAB" w:rsidRDefault="004C47D0" w:rsidP="00C21EA8">
            <w:pPr>
              <w:pStyle w:val="Normal6a"/>
              <w:rPr>
                <w:b/>
                <w:i/>
                <w:iCs/>
              </w:rPr>
            </w:pPr>
            <w:r w:rsidRPr="00AD1AAB">
              <w:rPr>
                <w:b/>
                <w:i/>
              </w:rPr>
              <w:t>72 23 0011, 72 23 0019, 72 23 0091, 72 23 0099</w:t>
            </w:r>
          </w:p>
        </w:tc>
      </w:tr>
    </w:tbl>
    <w:p w14:paraId="2A513D64" w14:textId="77777777" w:rsidR="004C47D0" w:rsidRPr="00AD1AAB" w:rsidRDefault="004C47D0" w:rsidP="004C47D0"/>
    <w:p w14:paraId="09ACFF19" w14:textId="77777777" w:rsidR="004C47D0" w:rsidRPr="00AD1AAB" w:rsidRDefault="004C47D0" w:rsidP="004C47D0">
      <w:pPr>
        <w:pStyle w:val="AmNumberTabs"/>
      </w:pPr>
      <w:r w:rsidRPr="00AD1AAB">
        <w:t>Alteração</w:t>
      </w:r>
      <w:r w:rsidRPr="00AD1AAB">
        <w:tab/>
      </w:r>
      <w:r w:rsidRPr="00AD1AAB">
        <w:tab/>
        <w:t>58</w:t>
      </w:r>
    </w:p>
    <w:p w14:paraId="4CC3066C" w14:textId="77777777" w:rsidR="004C47D0" w:rsidRPr="00AD1AAB" w:rsidRDefault="004C47D0" w:rsidP="004C47D0">
      <w:pPr>
        <w:pStyle w:val="NormalBold12b"/>
        <w:spacing w:before="0"/>
      </w:pPr>
      <w:r w:rsidRPr="00AD1AAB">
        <w:t>Proposta de regulamento</w:t>
      </w:r>
    </w:p>
    <w:p w14:paraId="70DA3ABE" w14:textId="77777777" w:rsidR="004C47D0" w:rsidRPr="00AD1AAB" w:rsidRDefault="004C47D0" w:rsidP="004C47D0">
      <w:pPr>
        <w:pStyle w:val="NormalBold"/>
      </w:pPr>
      <w:r w:rsidRPr="00AD1AAB">
        <w:t>Anexo I – linha 30-A (nova)</w:t>
      </w:r>
    </w:p>
    <w:tbl>
      <w:tblPr>
        <w:tblW w:w="10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5237"/>
        <w:gridCol w:w="1137"/>
        <w:gridCol w:w="1701"/>
        <w:gridCol w:w="1960"/>
      </w:tblGrid>
      <w:tr w:rsidR="004C47D0" w:rsidRPr="00AD1AAB" w14:paraId="1D7A1683" w14:textId="77777777" w:rsidTr="00C21EA8">
        <w:trPr>
          <w:jc w:val="center"/>
        </w:trPr>
        <w:tc>
          <w:tcPr>
            <w:tcW w:w="10035" w:type="dxa"/>
            <w:gridSpan w:val="4"/>
            <w:tcBorders>
              <w:top w:val="single" w:sz="4" w:space="0" w:color="auto"/>
              <w:left w:val="single" w:sz="4" w:space="0" w:color="auto"/>
              <w:bottom w:val="single" w:sz="4" w:space="0" w:color="auto"/>
              <w:right w:val="single" w:sz="4" w:space="0" w:color="auto"/>
            </w:tcBorders>
          </w:tcPr>
          <w:p w14:paraId="7F0C7F3C" w14:textId="77777777" w:rsidR="004C47D0" w:rsidRPr="00AD1AAB" w:rsidRDefault="004C47D0" w:rsidP="00C21EA8">
            <w:pPr>
              <w:keepNext/>
            </w:pPr>
          </w:p>
        </w:tc>
      </w:tr>
      <w:tr w:rsidR="004C47D0" w:rsidRPr="00AD1AAB" w14:paraId="26E26E41" w14:textId="77777777" w:rsidTr="00C21EA8">
        <w:trPr>
          <w:jc w:val="center"/>
        </w:trPr>
        <w:tc>
          <w:tcPr>
            <w:tcW w:w="5237" w:type="dxa"/>
            <w:tcBorders>
              <w:top w:val="single" w:sz="4" w:space="0" w:color="auto"/>
              <w:left w:val="single" w:sz="4" w:space="0" w:color="auto"/>
              <w:bottom w:val="single" w:sz="4" w:space="0" w:color="auto"/>
              <w:right w:val="single" w:sz="4" w:space="0" w:color="auto"/>
            </w:tcBorders>
            <w:hideMark/>
          </w:tcPr>
          <w:p w14:paraId="6FBE60DA" w14:textId="77777777" w:rsidR="004C47D0" w:rsidRPr="00AD1AAB" w:rsidRDefault="004C47D0" w:rsidP="00C21EA8">
            <w:pPr>
              <w:pStyle w:val="AmColumnHeading"/>
              <w:keepNext/>
            </w:pPr>
            <w:r w:rsidRPr="00AD1AAB">
              <w:t>Texto da Comissão</w:t>
            </w:r>
          </w:p>
        </w:tc>
        <w:tc>
          <w:tcPr>
            <w:tcW w:w="4798" w:type="dxa"/>
            <w:gridSpan w:val="3"/>
            <w:tcBorders>
              <w:top w:val="single" w:sz="4" w:space="0" w:color="auto"/>
              <w:left w:val="single" w:sz="4" w:space="0" w:color="auto"/>
              <w:bottom w:val="single" w:sz="4" w:space="0" w:color="auto"/>
              <w:right w:val="single" w:sz="4" w:space="0" w:color="auto"/>
            </w:tcBorders>
            <w:hideMark/>
          </w:tcPr>
          <w:p w14:paraId="75966D0C" w14:textId="77777777" w:rsidR="004C47D0" w:rsidRPr="00AD1AAB" w:rsidRDefault="004C47D0" w:rsidP="00C21EA8">
            <w:pPr>
              <w:pStyle w:val="AmColumnHeading"/>
              <w:keepNext/>
            </w:pPr>
            <w:r w:rsidRPr="00AD1AAB">
              <w:t>Alteração</w:t>
            </w:r>
          </w:p>
        </w:tc>
      </w:tr>
      <w:tr w:rsidR="004C47D0" w:rsidRPr="00AD1AAB" w14:paraId="0C60E3D6" w14:textId="77777777" w:rsidTr="00C21EA8">
        <w:trPr>
          <w:trHeight w:val="1188"/>
          <w:jc w:val="center"/>
        </w:trPr>
        <w:tc>
          <w:tcPr>
            <w:tcW w:w="5237" w:type="dxa"/>
            <w:tcBorders>
              <w:top w:val="single" w:sz="4" w:space="0" w:color="auto"/>
              <w:left w:val="single" w:sz="4" w:space="0" w:color="auto"/>
              <w:bottom w:val="single" w:sz="4" w:space="0" w:color="auto"/>
              <w:right w:val="single" w:sz="4" w:space="0" w:color="auto"/>
            </w:tcBorders>
          </w:tcPr>
          <w:p w14:paraId="57AC880E" w14:textId="77777777" w:rsidR="004C47D0" w:rsidRPr="00AD1AAB" w:rsidRDefault="004C47D0" w:rsidP="00C21EA8">
            <w:pPr>
              <w:pStyle w:val="Normal6a"/>
              <w:rPr>
                <w:b/>
                <w:i/>
                <w:iCs/>
              </w:rPr>
            </w:pPr>
          </w:p>
        </w:tc>
        <w:tc>
          <w:tcPr>
            <w:tcW w:w="1137" w:type="dxa"/>
            <w:tcBorders>
              <w:top w:val="single" w:sz="4" w:space="0" w:color="auto"/>
              <w:left w:val="single" w:sz="4" w:space="0" w:color="auto"/>
              <w:bottom w:val="single" w:sz="4" w:space="0" w:color="auto"/>
              <w:right w:val="single" w:sz="4" w:space="0" w:color="auto"/>
            </w:tcBorders>
            <w:hideMark/>
          </w:tcPr>
          <w:p w14:paraId="10EC7621" w14:textId="77777777" w:rsidR="004C47D0" w:rsidRPr="00AD1AAB" w:rsidRDefault="004C47D0" w:rsidP="00C21EA8">
            <w:pPr>
              <w:pStyle w:val="Normal6a"/>
              <w:rPr>
                <w:b/>
                <w:i/>
                <w:iCs/>
              </w:rPr>
            </w:pPr>
            <w:r w:rsidRPr="00AD1AAB">
              <w:rPr>
                <w:b/>
                <w:i/>
              </w:rPr>
              <w:t>30-A</w:t>
            </w:r>
          </w:p>
        </w:tc>
        <w:tc>
          <w:tcPr>
            <w:tcW w:w="1701" w:type="dxa"/>
            <w:tcBorders>
              <w:top w:val="single" w:sz="4" w:space="0" w:color="auto"/>
              <w:left w:val="single" w:sz="4" w:space="0" w:color="auto"/>
              <w:bottom w:val="single" w:sz="4" w:space="0" w:color="auto"/>
              <w:right w:val="single" w:sz="4" w:space="0" w:color="auto"/>
            </w:tcBorders>
            <w:hideMark/>
          </w:tcPr>
          <w:p w14:paraId="5A7C78D3" w14:textId="77777777" w:rsidR="004C47D0" w:rsidRPr="00AD1AAB" w:rsidRDefault="004C47D0" w:rsidP="00C21EA8">
            <w:pPr>
              <w:pStyle w:val="Normal6a"/>
              <w:rPr>
                <w:b/>
                <w:i/>
                <w:iCs/>
              </w:rPr>
            </w:pPr>
            <w:r w:rsidRPr="00AD1AAB">
              <w:rPr>
                <w:b/>
                <w:i/>
              </w:rPr>
              <w:t>Barras forjadas de aço não ligado e de outras ligas de aço</w:t>
            </w:r>
          </w:p>
        </w:tc>
        <w:tc>
          <w:tcPr>
            <w:tcW w:w="1960" w:type="dxa"/>
            <w:tcBorders>
              <w:top w:val="single" w:sz="4" w:space="0" w:color="auto"/>
              <w:left w:val="single" w:sz="4" w:space="0" w:color="auto"/>
              <w:bottom w:val="single" w:sz="4" w:space="0" w:color="auto"/>
              <w:right w:val="single" w:sz="4" w:space="0" w:color="auto"/>
            </w:tcBorders>
            <w:hideMark/>
          </w:tcPr>
          <w:p w14:paraId="74341044" w14:textId="77777777" w:rsidR="004C47D0" w:rsidRPr="00AD1AAB" w:rsidRDefault="004C47D0" w:rsidP="00C21EA8">
            <w:pPr>
              <w:pStyle w:val="Normal6a"/>
              <w:rPr>
                <w:b/>
                <w:i/>
                <w:iCs/>
              </w:rPr>
            </w:pPr>
            <w:r w:rsidRPr="00AD1AAB">
              <w:rPr>
                <w:b/>
                <w:i/>
              </w:rPr>
              <w:t>7214 1000, 7228 1050, 7228 4010, 7228 4090</w:t>
            </w:r>
          </w:p>
        </w:tc>
      </w:tr>
    </w:tbl>
    <w:p w14:paraId="7C114834" w14:textId="77777777" w:rsidR="004C47D0" w:rsidRPr="00AD1AAB" w:rsidRDefault="004C47D0" w:rsidP="004C47D0"/>
    <w:p w14:paraId="3E0BED53" w14:textId="77777777" w:rsidR="004C47D0" w:rsidRPr="00AD1AAB" w:rsidRDefault="004C47D0" w:rsidP="004C47D0">
      <w:pPr>
        <w:pStyle w:val="AmNumberTabs"/>
      </w:pPr>
      <w:r w:rsidRPr="00AD1AAB">
        <w:t>Alteração</w:t>
      </w:r>
      <w:r w:rsidRPr="00AD1AAB">
        <w:tab/>
      </w:r>
      <w:r w:rsidRPr="00AD1AAB">
        <w:tab/>
        <w:t>59</w:t>
      </w:r>
    </w:p>
    <w:p w14:paraId="6A9C5B7F" w14:textId="77777777" w:rsidR="004C47D0" w:rsidRPr="00AD1AAB" w:rsidRDefault="004C47D0" w:rsidP="004C47D0">
      <w:pPr>
        <w:pStyle w:val="NormalBold12b"/>
        <w:spacing w:before="0"/>
      </w:pPr>
      <w:r w:rsidRPr="00AD1AAB">
        <w:t>Proposta de regulamento</w:t>
      </w:r>
    </w:p>
    <w:p w14:paraId="0B6F08E2" w14:textId="77777777" w:rsidR="004C47D0" w:rsidRPr="00AD1AAB" w:rsidRDefault="004C47D0" w:rsidP="004C47D0">
      <w:pPr>
        <w:pStyle w:val="NormalBold"/>
      </w:pPr>
      <w:r w:rsidRPr="00AD1AAB">
        <w:t>Anexo II – linha 21-A (nova)</w:t>
      </w:r>
    </w:p>
    <w:tbl>
      <w:tblPr>
        <w:tblW w:w="10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3964"/>
        <w:gridCol w:w="993"/>
        <w:gridCol w:w="1417"/>
        <w:gridCol w:w="1701"/>
        <w:gridCol w:w="992"/>
        <w:gridCol w:w="968"/>
      </w:tblGrid>
      <w:tr w:rsidR="004C47D0" w:rsidRPr="00AD1AAB" w14:paraId="4E1C4649" w14:textId="77777777" w:rsidTr="00C21EA8">
        <w:trPr>
          <w:jc w:val="center"/>
        </w:trPr>
        <w:tc>
          <w:tcPr>
            <w:tcW w:w="10035" w:type="dxa"/>
            <w:gridSpan w:val="6"/>
            <w:tcBorders>
              <w:top w:val="single" w:sz="4" w:space="0" w:color="auto"/>
              <w:left w:val="single" w:sz="4" w:space="0" w:color="auto"/>
              <w:bottom w:val="single" w:sz="4" w:space="0" w:color="auto"/>
              <w:right w:val="single" w:sz="4" w:space="0" w:color="auto"/>
            </w:tcBorders>
          </w:tcPr>
          <w:p w14:paraId="3DB46F3D" w14:textId="77777777" w:rsidR="004C47D0" w:rsidRPr="00AD1AAB" w:rsidRDefault="004C47D0" w:rsidP="00C21EA8">
            <w:pPr>
              <w:keepNext/>
            </w:pPr>
          </w:p>
        </w:tc>
      </w:tr>
      <w:tr w:rsidR="004C47D0" w:rsidRPr="00AD1AAB" w14:paraId="6762039A" w14:textId="77777777" w:rsidTr="00C21EA8">
        <w:trPr>
          <w:jc w:val="center"/>
        </w:trPr>
        <w:tc>
          <w:tcPr>
            <w:tcW w:w="3964" w:type="dxa"/>
            <w:tcBorders>
              <w:top w:val="single" w:sz="4" w:space="0" w:color="auto"/>
              <w:left w:val="single" w:sz="4" w:space="0" w:color="auto"/>
              <w:bottom w:val="single" w:sz="4" w:space="0" w:color="auto"/>
              <w:right w:val="single" w:sz="4" w:space="0" w:color="auto"/>
            </w:tcBorders>
            <w:hideMark/>
          </w:tcPr>
          <w:p w14:paraId="2DC1312B" w14:textId="77777777" w:rsidR="004C47D0" w:rsidRPr="00AD1AAB" w:rsidRDefault="004C47D0" w:rsidP="00C21EA8">
            <w:pPr>
              <w:pStyle w:val="AmColumnHeading"/>
              <w:keepNext/>
            </w:pPr>
            <w:r w:rsidRPr="00AD1AAB">
              <w:t>Texto da Comissão</w:t>
            </w:r>
          </w:p>
        </w:tc>
        <w:tc>
          <w:tcPr>
            <w:tcW w:w="6071" w:type="dxa"/>
            <w:gridSpan w:val="5"/>
            <w:tcBorders>
              <w:top w:val="single" w:sz="4" w:space="0" w:color="auto"/>
              <w:left w:val="single" w:sz="4" w:space="0" w:color="auto"/>
              <w:bottom w:val="single" w:sz="4" w:space="0" w:color="auto"/>
              <w:right w:val="single" w:sz="4" w:space="0" w:color="auto"/>
            </w:tcBorders>
            <w:hideMark/>
          </w:tcPr>
          <w:p w14:paraId="6787FF82" w14:textId="77777777" w:rsidR="004C47D0" w:rsidRPr="00AD1AAB" w:rsidRDefault="004C47D0" w:rsidP="00C21EA8">
            <w:pPr>
              <w:pStyle w:val="AmColumnHeading"/>
              <w:keepNext/>
            </w:pPr>
            <w:r w:rsidRPr="00AD1AAB">
              <w:t>Alteração</w:t>
            </w:r>
          </w:p>
        </w:tc>
      </w:tr>
      <w:tr w:rsidR="004C47D0" w:rsidRPr="00AD1AAB" w14:paraId="7974CC08" w14:textId="77777777" w:rsidTr="00C21EA8">
        <w:trPr>
          <w:trHeight w:val="1188"/>
          <w:jc w:val="center"/>
        </w:trPr>
        <w:tc>
          <w:tcPr>
            <w:tcW w:w="3964" w:type="dxa"/>
            <w:tcBorders>
              <w:top w:val="single" w:sz="4" w:space="0" w:color="auto"/>
              <w:left w:val="single" w:sz="4" w:space="0" w:color="auto"/>
              <w:bottom w:val="single" w:sz="4" w:space="0" w:color="auto"/>
              <w:right w:val="single" w:sz="4" w:space="0" w:color="auto"/>
            </w:tcBorders>
          </w:tcPr>
          <w:p w14:paraId="363121EF" w14:textId="77777777" w:rsidR="004C47D0" w:rsidRPr="00AD1AAB" w:rsidRDefault="004C47D0" w:rsidP="00C21EA8">
            <w:pPr>
              <w:pStyle w:val="Normal6a"/>
              <w:rPr>
                <w:b/>
                <w:i/>
                <w:iCs/>
              </w:rPr>
            </w:pPr>
          </w:p>
        </w:tc>
        <w:tc>
          <w:tcPr>
            <w:tcW w:w="993" w:type="dxa"/>
            <w:tcBorders>
              <w:top w:val="single" w:sz="4" w:space="0" w:color="auto"/>
              <w:left w:val="single" w:sz="4" w:space="0" w:color="auto"/>
              <w:bottom w:val="single" w:sz="4" w:space="0" w:color="auto"/>
              <w:right w:val="single" w:sz="4" w:space="0" w:color="auto"/>
            </w:tcBorders>
            <w:hideMark/>
          </w:tcPr>
          <w:p w14:paraId="15EF9263" w14:textId="77777777" w:rsidR="004C47D0" w:rsidRPr="00AD1AAB" w:rsidRDefault="004C47D0" w:rsidP="00C21EA8">
            <w:pPr>
              <w:pStyle w:val="Normal6a"/>
              <w:ind w:left="-170"/>
              <w:rPr>
                <w:b/>
                <w:i/>
                <w:iCs/>
              </w:rPr>
            </w:pPr>
            <w:r w:rsidRPr="00AD1AAB">
              <w:rPr>
                <w:b/>
                <w:i/>
              </w:rPr>
              <w:t>21-A</w:t>
            </w:r>
          </w:p>
        </w:tc>
        <w:tc>
          <w:tcPr>
            <w:tcW w:w="1417" w:type="dxa"/>
            <w:tcBorders>
              <w:top w:val="single" w:sz="4" w:space="0" w:color="auto"/>
              <w:left w:val="single" w:sz="4" w:space="0" w:color="auto"/>
              <w:bottom w:val="single" w:sz="4" w:space="0" w:color="auto"/>
              <w:right w:val="single" w:sz="4" w:space="0" w:color="auto"/>
            </w:tcBorders>
            <w:hideMark/>
          </w:tcPr>
          <w:p w14:paraId="22CF9B29" w14:textId="77777777" w:rsidR="004C47D0" w:rsidRPr="00AD1AAB" w:rsidRDefault="004C47D0" w:rsidP="00C21EA8">
            <w:pPr>
              <w:pStyle w:val="Normal6a"/>
              <w:spacing w:after="0"/>
              <w:ind w:left="-283"/>
              <w:rPr>
                <w:bCs/>
                <w:i/>
                <w:iCs/>
              </w:rPr>
            </w:pPr>
            <w:r w:rsidRPr="00AD1AAB">
              <w:rPr>
                <w:b/>
                <w:i/>
              </w:rPr>
              <w:t>Tubos e perfis ocos, de ferro fundido</w:t>
            </w:r>
          </w:p>
        </w:tc>
        <w:tc>
          <w:tcPr>
            <w:tcW w:w="1701" w:type="dxa"/>
            <w:tcBorders>
              <w:top w:val="single" w:sz="4" w:space="0" w:color="auto"/>
              <w:left w:val="single" w:sz="4" w:space="0" w:color="auto"/>
              <w:bottom w:val="single" w:sz="4" w:space="0" w:color="auto"/>
              <w:right w:val="single" w:sz="4" w:space="0" w:color="auto"/>
            </w:tcBorders>
            <w:hideMark/>
          </w:tcPr>
          <w:p w14:paraId="11803A68" w14:textId="77777777" w:rsidR="004C47D0" w:rsidRPr="00AD1AAB" w:rsidRDefault="004C47D0" w:rsidP="00C21EA8">
            <w:pPr>
              <w:pStyle w:val="Normal6a"/>
              <w:rPr>
                <w:b/>
                <w:bCs/>
                <w:i/>
                <w:iCs/>
              </w:rPr>
            </w:pPr>
            <w:r w:rsidRPr="00AD1AAB">
              <w:rPr>
                <w:b/>
                <w:i/>
              </w:rPr>
              <w:t>NC 73 030010, 73 030090</w:t>
            </w:r>
          </w:p>
        </w:tc>
        <w:tc>
          <w:tcPr>
            <w:tcW w:w="992" w:type="dxa"/>
            <w:tcBorders>
              <w:top w:val="single" w:sz="4" w:space="0" w:color="auto"/>
              <w:left w:val="single" w:sz="4" w:space="0" w:color="auto"/>
              <w:bottom w:val="single" w:sz="4" w:space="0" w:color="auto"/>
              <w:right w:val="single" w:sz="4" w:space="0" w:color="auto"/>
            </w:tcBorders>
            <w:hideMark/>
          </w:tcPr>
          <w:p w14:paraId="7F4D5855" w14:textId="77777777" w:rsidR="004C47D0" w:rsidRPr="00AD1AAB" w:rsidRDefault="004C47D0" w:rsidP="00C21EA8">
            <w:pPr>
              <w:pStyle w:val="Normal6a"/>
              <w:spacing w:after="0"/>
              <w:ind w:left="-283"/>
              <w:rPr>
                <w:b/>
                <w:i/>
                <w:iCs/>
              </w:rPr>
            </w:pPr>
            <w:r w:rsidRPr="00AD1AAB">
              <w:rPr>
                <w:b/>
                <w:i/>
              </w:rPr>
              <w:t>4700</w:t>
            </w:r>
          </w:p>
        </w:tc>
        <w:tc>
          <w:tcPr>
            <w:tcW w:w="968" w:type="dxa"/>
            <w:tcBorders>
              <w:top w:val="single" w:sz="4" w:space="0" w:color="auto"/>
              <w:left w:val="single" w:sz="4" w:space="0" w:color="auto"/>
              <w:bottom w:val="single" w:sz="4" w:space="0" w:color="auto"/>
              <w:right w:val="single" w:sz="4" w:space="0" w:color="auto"/>
            </w:tcBorders>
            <w:hideMark/>
          </w:tcPr>
          <w:p w14:paraId="5542A9B1" w14:textId="77777777" w:rsidR="004C47D0" w:rsidRPr="00AD1AAB" w:rsidRDefault="004C47D0" w:rsidP="00C21EA8">
            <w:pPr>
              <w:pStyle w:val="Normal6a"/>
              <w:ind w:left="-227"/>
              <w:rPr>
                <w:b/>
                <w:i/>
                <w:iCs/>
              </w:rPr>
            </w:pPr>
            <w:r w:rsidRPr="00AD1AAB">
              <w:rPr>
                <w:b/>
                <w:i/>
              </w:rPr>
              <w:t>50 %</w:t>
            </w:r>
          </w:p>
        </w:tc>
      </w:tr>
    </w:tbl>
    <w:p w14:paraId="7B38DEB3" w14:textId="20AF4DE1" w:rsidR="00E365E1" w:rsidRPr="00AD1AAB" w:rsidRDefault="00E365E1" w:rsidP="00B87F81"/>
    <w:sectPr w:rsidR="00E365E1" w:rsidRPr="00AD1AAB" w:rsidSect="003A73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30665" w14:textId="77777777" w:rsidR="00B87F81" w:rsidRPr="003A7312" w:rsidRDefault="00B87F81">
      <w:r w:rsidRPr="003A7312">
        <w:separator/>
      </w:r>
    </w:p>
  </w:endnote>
  <w:endnote w:type="continuationSeparator" w:id="0">
    <w:p w14:paraId="0E8C486C" w14:textId="77777777" w:rsidR="00B87F81" w:rsidRPr="003A7312" w:rsidRDefault="00B87F81">
      <w:r w:rsidRPr="003A73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NewRomanPS-BoldItalicMT">
    <w:altName w:val="Times New Roman"/>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A735E" w14:textId="77777777" w:rsidR="00AD1AAB" w:rsidRDefault="00AD1A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94EF3" w14:textId="77777777" w:rsidR="00064002" w:rsidRDefault="00064002" w:rsidP="00AD1AAB">
    <w:pPr>
      <w:pStyle w:val="Footer"/>
      <w:tabs>
        <w:tab w:val="clear" w:pos="4513"/>
        <w:tab w:val="clear" w:pos="9026"/>
        <w:tab w:val="right" w:pos="9184"/>
      </w:tabs>
    </w:pPr>
  </w:p>
  <w:p w14:paraId="725D7C70" w14:textId="5260ADD8" w:rsidR="00AD1AAB" w:rsidRDefault="00AD1AAB" w:rsidP="00AD1AAB">
    <w:pPr>
      <w:pStyle w:val="Footer"/>
      <w:pBdr>
        <w:top w:val="single" w:sz="2" w:space="1" w:color="000000"/>
      </w:pBdr>
      <w:tabs>
        <w:tab w:val="clear" w:pos="4513"/>
        <w:tab w:val="clear" w:pos="9026"/>
        <w:tab w:val="right" w:pos="9184"/>
      </w:tabs>
    </w:pPr>
    <w:r>
      <w:tab/>
    </w:r>
    <w:r w:rsidRPr="00AD1AAB">
      <w:rPr>
        <w:rStyle w:val="HideTWBExt"/>
      </w:rPr>
      <w:t>&lt;NuPE&gt;</w:t>
    </w:r>
    <w:r>
      <w:t>PE783.276</w:t>
    </w:r>
    <w:r w:rsidRPr="00AD1AAB">
      <w:rPr>
        <w:rStyle w:val="HideTWBExt"/>
      </w:rPr>
      <w:t>&lt;/</w:t>
    </w:r>
    <w:proofErr w:type="spellStart"/>
    <w:r w:rsidRPr="00AD1AAB">
      <w:rPr>
        <w:rStyle w:val="HideTWBExt"/>
      </w:rPr>
      <w:t>NuPE</w:t>
    </w:r>
    <w:proofErr w:type="spellEnd"/>
    <w:r w:rsidRPr="00AD1AAB">
      <w:rPr>
        <w:rStyle w:val="HideTWBExt"/>
      </w:rPr>
      <w:t>&gt;</w:t>
    </w:r>
    <w:r>
      <w:t xml:space="preserve">/ </w:t>
    </w:r>
    <w:r>
      <w:fldChar w:fldCharType="begin"/>
    </w:r>
    <w:r>
      <w:instrText xml:space="preserve"> PAGE  \* MERGEFORMAT </w:instrText>
    </w:r>
    <w:r>
      <w:fldChar w:fldCharType="separate"/>
    </w:r>
    <w:r>
      <w:rPr>
        <w:noProof/>
      </w:rPr>
      <w:t>1</w:t>
    </w:r>
    <w:r>
      <w:fldChar w:fldCharType="end"/>
    </w:r>
  </w:p>
  <w:p w14:paraId="535F7F63" w14:textId="465F8C9D" w:rsidR="00AD1AAB" w:rsidRPr="00AD1AAB" w:rsidRDefault="00AD1AAB" w:rsidP="00AD1AAB">
    <w:pPr>
      <w:pStyle w:val="Footer"/>
      <w:pBdr>
        <w:top w:val="single" w:sz="2" w:space="1" w:color="000000"/>
      </w:pBdr>
      <w:tabs>
        <w:tab w:val="clear" w:pos="4513"/>
        <w:tab w:val="clear" w:pos="9026"/>
        <w:tab w:val="right" w:pos="9638"/>
      </w:tabs>
      <w:rPr>
        <w:rFonts w:ascii="Arial" w:hAnsi="Arial" w:cs="Arial"/>
        <w:b/>
        <w:sz w:val="48"/>
      </w:rPr>
    </w:pPr>
    <w:r>
      <w:tab/>
    </w:r>
    <w:r>
      <w:rPr>
        <w:rFonts w:ascii="Arial" w:hAnsi="Arial" w:cs="Arial"/>
        <w:b/>
        <w:sz w:val="48"/>
      </w:rPr>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3EF2F" w14:textId="77777777" w:rsidR="00AD1AAB" w:rsidRDefault="00AD1A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B1B74" w14:textId="77777777" w:rsidR="00B87F81" w:rsidRPr="003A7312" w:rsidRDefault="00B87F81">
      <w:r w:rsidRPr="003A7312">
        <w:separator/>
      </w:r>
    </w:p>
  </w:footnote>
  <w:footnote w:type="continuationSeparator" w:id="0">
    <w:p w14:paraId="1BE45218" w14:textId="77777777" w:rsidR="00B87F81" w:rsidRPr="003A7312" w:rsidRDefault="00B87F81">
      <w:r w:rsidRPr="003A731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F4C01" w14:textId="77777777" w:rsidR="00AD1AAB" w:rsidRDefault="00AD1A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B032F" w14:textId="77777777" w:rsidR="00AD1AAB" w:rsidRDefault="00AD1A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01CE3" w14:textId="77777777" w:rsidR="00AD1AAB" w:rsidRDefault="00AD1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3C77951"/>
    <w:multiLevelType w:val="hybridMultilevel"/>
    <w:tmpl w:val="CF046FD2"/>
    <w:lvl w:ilvl="0" w:tplc="BBCE4306">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C8DAEB28">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F06E51E8">
      <w:numFmt w:val="bullet"/>
      <w:lvlText w:val="•"/>
      <w:lvlJc w:val="left"/>
      <w:pPr>
        <w:ind w:left="2402" w:hanging="567"/>
      </w:pPr>
      <w:rPr>
        <w:lang w:val="en-US" w:eastAsia="en-US" w:bidi="ar-SA"/>
      </w:rPr>
    </w:lvl>
    <w:lvl w:ilvl="3" w:tplc="BBBA472A">
      <w:numFmt w:val="bullet"/>
      <w:lvlText w:val="•"/>
      <w:lvlJc w:val="left"/>
      <w:pPr>
        <w:ind w:left="3265" w:hanging="567"/>
      </w:pPr>
      <w:rPr>
        <w:lang w:val="en-US" w:eastAsia="en-US" w:bidi="ar-SA"/>
      </w:rPr>
    </w:lvl>
    <w:lvl w:ilvl="4" w:tplc="ADE82790">
      <w:numFmt w:val="bullet"/>
      <w:lvlText w:val="•"/>
      <w:lvlJc w:val="left"/>
      <w:pPr>
        <w:ind w:left="4128" w:hanging="567"/>
      </w:pPr>
      <w:rPr>
        <w:lang w:val="en-US" w:eastAsia="en-US" w:bidi="ar-SA"/>
      </w:rPr>
    </w:lvl>
    <w:lvl w:ilvl="5" w:tplc="2A7ACF5A">
      <w:numFmt w:val="bullet"/>
      <w:lvlText w:val="•"/>
      <w:lvlJc w:val="left"/>
      <w:pPr>
        <w:ind w:left="4991" w:hanging="567"/>
      </w:pPr>
      <w:rPr>
        <w:lang w:val="en-US" w:eastAsia="en-US" w:bidi="ar-SA"/>
      </w:rPr>
    </w:lvl>
    <w:lvl w:ilvl="6" w:tplc="2474F536">
      <w:numFmt w:val="bullet"/>
      <w:lvlText w:val="•"/>
      <w:lvlJc w:val="left"/>
      <w:pPr>
        <w:ind w:left="5854" w:hanging="567"/>
      </w:pPr>
      <w:rPr>
        <w:lang w:val="en-US" w:eastAsia="en-US" w:bidi="ar-SA"/>
      </w:rPr>
    </w:lvl>
    <w:lvl w:ilvl="7" w:tplc="D41CEDFC">
      <w:numFmt w:val="bullet"/>
      <w:lvlText w:val="•"/>
      <w:lvlJc w:val="left"/>
      <w:pPr>
        <w:ind w:left="6717" w:hanging="567"/>
      </w:pPr>
      <w:rPr>
        <w:lang w:val="en-US" w:eastAsia="en-US" w:bidi="ar-SA"/>
      </w:rPr>
    </w:lvl>
    <w:lvl w:ilvl="8" w:tplc="634A71E6">
      <w:numFmt w:val="bullet"/>
      <w:lvlText w:val="•"/>
      <w:lvlJc w:val="left"/>
      <w:pPr>
        <w:ind w:left="7580" w:hanging="567"/>
      </w:pPr>
      <w:rPr>
        <w:lang w:val="en-US" w:eastAsia="en-US" w:bidi="ar-SA"/>
      </w:rPr>
    </w:lvl>
  </w:abstractNum>
  <w:abstractNum w:abstractNumId="13" w15:restartNumberingAfterBreak="0">
    <w:nsid w:val="4D3C337A"/>
    <w:multiLevelType w:val="hybridMultilevel"/>
    <w:tmpl w:val="F398A9F8"/>
    <w:lvl w:ilvl="0" w:tplc="715EC598">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0688DCF2">
      <w:numFmt w:val="bullet"/>
      <w:lvlText w:val="•"/>
      <w:lvlJc w:val="left"/>
      <w:pPr>
        <w:ind w:left="1794" w:hanging="850"/>
      </w:pPr>
      <w:rPr>
        <w:lang w:val="en-US" w:eastAsia="en-US" w:bidi="ar-SA"/>
      </w:rPr>
    </w:lvl>
    <w:lvl w:ilvl="2" w:tplc="CB52B97A">
      <w:numFmt w:val="bullet"/>
      <w:lvlText w:val="•"/>
      <w:lvlJc w:val="left"/>
      <w:pPr>
        <w:ind w:left="2629" w:hanging="850"/>
      </w:pPr>
      <w:rPr>
        <w:lang w:val="en-US" w:eastAsia="en-US" w:bidi="ar-SA"/>
      </w:rPr>
    </w:lvl>
    <w:lvl w:ilvl="3" w:tplc="F3CA14C0">
      <w:numFmt w:val="bullet"/>
      <w:lvlText w:val="•"/>
      <w:lvlJc w:val="left"/>
      <w:pPr>
        <w:ind w:left="3463" w:hanging="850"/>
      </w:pPr>
      <w:rPr>
        <w:lang w:val="en-US" w:eastAsia="en-US" w:bidi="ar-SA"/>
      </w:rPr>
    </w:lvl>
    <w:lvl w:ilvl="4" w:tplc="5F72EEDC">
      <w:numFmt w:val="bullet"/>
      <w:lvlText w:val="•"/>
      <w:lvlJc w:val="left"/>
      <w:pPr>
        <w:ind w:left="4298" w:hanging="850"/>
      </w:pPr>
      <w:rPr>
        <w:lang w:val="en-US" w:eastAsia="en-US" w:bidi="ar-SA"/>
      </w:rPr>
    </w:lvl>
    <w:lvl w:ilvl="5" w:tplc="2738E558">
      <w:numFmt w:val="bullet"/>
      <w:lvlText w:val="•"/>
      <w:lvlJc w:val="left"/>
      <w:pPr>
        <w:ind w:left="5133" w:hanging="850"/>
      </w:pPr>
      <w:rPr>
        <w:lang w:val="en-US" w:eastAsia="en-US" w:bidi="ar-SA"/>
      </w:rPr>
    </w:lvl>
    <w:lvl w:ilvl="6" w:tplc="1DCC6B8A">
      <w:numFmt w:val="bullet"/>
      <w:lvlText w:val="•"/>
      <w:lvlJc w:val="left"/>
      <w:pPr>
        <w:ind w:left="5967" w:hanging="850"/>
      </w:pPr>
      <w:rPr>
        <w:lang w:val="en-US" w:eastAsia="en-US" w:bidi="ar-SA"/>
      </w:rPr>
    </w:lvl>
    <w:lvl w:ilvl="7" w:tplc="04FA2334">
      <w:numFmt w:val="bullet"/>
      <w:lvlText w:val="•"/>
      <w:lvlJc w:val="left"/>
      <w:pPr>
        <w:ind w:left="6802" w:hanging="850"/>
      </w:pPr>
      <w:rPr>
        <w:lang w:val="en-US" w:eastAsia="en-US" w:bidi="ar-SA"/>
      </w:rPr>
    </w:lvl>
    <w:lvl w:ilvl="8" w:tplc="D96EDCFA">
      <w:numFmt w:val="bullet"/>
      <w:lvlText w:val="•"/>
      <w:lvlJc w:val="left"/>
      <w:pPr>
        <w:ind w:left="7637" w:hanging="850"/>
      </w:pPr>
      <w:rPr>
        <w:lang w:val="en-US" w:eastAsia="en-US" w:bidi="ar-SA"/>
      </w:rPr>
    </w:lvl>
  </w:abstractNum>
  <w:abstractNum w:abstractNumId="14" w15:restartNumberingAfterBreak="0">
    <w:nsid w:val="60B67A4F"/>
    <w:multiLevelType w:val="hybridMultilevel"/>
    <w:tmpl w:val="F996A700"/>
    <w:lvl w:ilvl="0" w:tplc="EBD03C70">
      <w:start w:val="1"/>
      <w:numFmt w:val="decimal"/>
      <w:lvlText w:val="(%1)"/>
      <w:lvlJc w:val="left"/>
      <w:pPr>
        <w:ind w:left="824" w:hanging="708"/>
      </w:pPr>
      <w:rPr>
        <w:rFonts w:ascii="Times New Roman" w:eastAsia="Times New Roman" w:hAnsi="Times New Roman" w:cs="Times New Roman" w:hint="default"/>
        <w:b w:val="0"/>
        <w:bCs w:val="0"/>
        <w:i w:val="0"/>
        <w:iCs w:val="0"/>
        <w:spacing w:val="0"/>
        <w:w w:val="100"/>
        <w:sz w:val="24"/>
        <w:szCs w:val="24"/>
        <w:lang w:val="en-US" w:eastAsia="en-US" w:bidi="ar-SA"/>
      </w:rPr>
    </w:lvl>
    <w:lvl w:ilvl="1" w:tplc="103625FA">
      <w:numFmt w:val="bullet"/>
      <w:lvlText w:val="•"/>
      <w:lvlJc w:val="left"/>
      <w:pPr>
        <w:ind w:left="1668" w:hanging="708"/>
      </w:pPr>
      <w:rPr>
        <w:lang w:val="en-US" w:eastAsia="en-US" w:bidi="ar-SA"/>
      </w:rPr>
    </w:lvl>
    <w:lvl w:ilvl="2" w:tplc="562093D6">
      <w:numFmt w:val="bullet"/>
      <w:lvlText w:val="•"/>
      <w:lvlJc w:val="left"/>
      <w:pPr>
        <w:ind w:left="2517" w:hanging="708"/>
      </w:pPr>
      <w:rPr>
        <w:lang w:val="en-US" w:eastAsia="en-US" w:bidi="ar-SA"/>
      </w:rPr>
    </w:lvl>
    <w:lvl w:ilvl="3" w:tplc="07DE25F2">
      <w:numFmt w:val="bullet"/>
      <w:lvlText w:val="•"/>
      <w:lvlJc w:val="left"/>
      <w:pPr>
        <w:ind w:left="3365" w:hanging="708"/>
      </w:pPr>
      <w:rPr>
        <w:lang w:val="en-US" w:eastAsia="en-US" w:bidi="ar-SA"/>
      </w:rPr>
    </w:lvl>
    <w:lvl w:ilvl="4" w:tplc="F8346E7C">
      <w:numFmt w:val="bullet"/>
      <w:lvlText w:val="•"/>
      <w:lvlJc w:val="left"/>
      <w:pPr>
        <w:ind w:left="4214" w:hanging="708"/>
      </w:pPr>
      <w:rPr>
        <w:lang w:val="en-US" w:eastAsia="en-US" w:bidi="ar-SA"/>
      </w:rPr>
    </w:lvl>
    <w:lvl w:ilvl="5" w:tplc="0AC22548">
      <w:numFmt w:val="bullet"/>
      <w:lvlText w:val="•"/>
      <w:lvlJc w:val="left"/>
      <w:pPr>
        <w:ind w:left="5063" w:hanging="708"/>
      </w:pPr>
      <w:rPr>
        <w:lang w:val="en-US" w:eastAsia="en-US" w:bidi="ar-SA"/>
      </w:rPr>
    </w:lvl>
    <w:lvl w:ilvl="6" w:tplc="94E21628">
      <w:numFmt w:val="bullet"/>
      <w:lvlText w:val="•"/>
      <w:lvlJc w:val="left"/>
      <w:pPr>
        <w:ind w:left="5911" w:hanging="708"/>
      </w:pPr>
      <w:rPr>
        <w:lang w:val="en-US" w:eastAsia="en-US" w:bidi="ar-SA"/>
      </w:rPr>
    </w:lvl>
    <w:lvl w:ilvl="7" w:tplc="7A045A42">
      <w:numFmt w:val="bullet"/>
      <w:lvlText w:val="•"/>
      <w:lvlJc w:val="left"/>
      <w:pPr>
        <w:ind w:left="6760" w:hanging="708"/>
      </w:pPr>
      <w:rPr>
        <w:lang w:val="en-US" w:eastAsia="en-US" w:bidi="ar-SA"/>
      </w:rPr>
    </w:lvl>
    <w:lvl w:ilvl="8" w:tplc="12825870">
      <w:numFmt w:val="bullet"/>
      <w:lvlText w:val="•"/>
      <w:lvlJc w:val="left"/>
      <w:pPr>
        <w:ind w:left="7609" w:hanging="708"/>
      </w:pPr>
      <w:rPr>
        <w:lang w:val="en-US" w:eastAsia="en-US" w:bidi="ar-SA"/>
      </w:rPr>
    </w:lvl>
  </w:abstractNum>
  <w:abstractNum w:abstractNumId="15" w15:restartNumberingAfterBreak="0">
    <w:nsid w:val="66D377C0"/>
    <w:multiLevelType w:val="hybridMultilevel"/>
    <w:tmpl w:val="898671CA"/>
    <w:lvl w:ilvl="0" w:tplc="2D5CAC88">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8DFC743E">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C7CEE566">
      <w:numFmt w:val="bullet"/>
      <w:lvlText w:val="•"/>
      <w:lvlJc w:val="left"/>
      <w:pPr>
        <w:ind w:left="2402" w:hanging="567"/>
      </w:pPr>
      <w:rPr>
        <w:lang w:val="en-US" w:eastAsia="en-US" w:bidi="ar-SA"/>
      </w:rPr>
    </w:lvl>
    <w:lvl w:ilvl="3" w:tplc="F94EEE4A">
      <w:numFmt w:val="bullet"/>
      <w:lvlText w:val="•"/>
      <w:lvlJc w:val="left"/>
      <w:pPr>
        <w:ind w:left="3265" w:hanging="567"/>
      </w:pPr>
      <w:rPr>
        <w:lang w:val="en-US" w:eastAsia="en-US" w:bidi="ar-SA"/>
      </w:rPr>
    </w:lvl>
    <w:lvl w:ilvl="4" w:tplc="14B858EE">
      <w:numFmt w:val="bullet"/>
      <w:lvlText w:val="•"/>
      <w:lvlJc w:val="left"/>
      <w:pPr>
        <w:ind w:left="4128" w:hanging="567"/>
      </w:pPr>
      <w:rPr>
        <w:lang w:val="en-US" w:eastAsia="en-US" w:bidi="ar-SA"/>
      </w:rPr>
    </w:lvl>
    <w:lvl w:ilvl="5" w:tplc="153AD268">
      <w:numFmt w:val="bullet"/>
      <w:lvlText w:val="•"/>
      <w:lvlJc w:val="left"/>
      <w:pPr>
        <w:ind w:left="4991" w:hanging="567"/>
      </w:pPr>
      <w:rPr>
        <w:lang w:val="en-US" w:eastAsia="en-US" w:bidi="ar-SA"/>
      </w:rPr>
    </w:lvl>
    <w:lvl w:ilvl="6" w:tplc="5FDAB42E">
      <w:numFmt w:val="bullet"/>
      <w:lvlText w:val="•"/>
      <w:lvlJc w:val="left"/>
      <w:pPr>
        <w:ind w:left="5854" w:hanging="567"/>
      </w:pPr>
      <w:rPr>
        <w:lang w:val="en-US" w:eastAsia="en-US" w:bidi="ar-SA"/>
      </w:rPr>
    </w:lvl>
    <w:lvl w:ilvl="7" w:tplc="DC2E76D8">
      <w:numFmt w:val="bullet"/>
      <w:lvlText w:val="•"/>
      <w:lvlJc w:val="left"/>
      <w:pPr>
        <w:ind w:left="6717" w:hanging="567"/>
      </w:pPr>
      <w:rPr>
        <w:lang w:val="en-US" w:eastAsia="en-US" w:bidi="ar-SA"/>
      </w:rPr>
    </w:lvl>
    <w:lvl w:ilvl="8" w:tplc="A06A76AC">
      <w:numFmt w:val="bullet"/>
      <w:lvlText w:val="•"/>
      <w:lvlJc w:val="left"/>
      <w:pPr>
        <w:ind w:left="7580" w:hanging="567"/>
      </w:pPr>
      <w:rPr>
        <w:lang w:val="en-US" w:eastAsia="en-US" w:bidi="ar-SA"/>
      </w:rPr>
    </w:lvl>
  </w:abstractNum>
  <w:num w:numId="1" w16cid:durableId="53085919">
    <w:abstractNumId w:val="9"/>
  </w:num>
  <w:num w:numId="2" w16cid:durableId="682977645">
    <w:abstractNumId w:val="9"/>
  </w:num>
  <w:num w:numId="3" w16cid:durableId="174534726">
    <w:abstractNumId w:val="7"/>
  </w:num>
  <w:num w:numId="4" w16cid:durableId="1139497129">
    <w:abstractNumId w:val="7"/>
  </w:num>
  <w:num w:numId="5" w16cid:durableId="631902846">
    <w:abstractNumId w:val="6"/>
  </w:num>
  <w:num w:numId="6" w16cid:durableId="1247808317">
    <w:abstractNumId w:val="6"/>
  </w:num>
  <w:num w:numId="7" w16cid:durableId="298801796">
    <w:abstractNumId w:val="5"/>
  </w:num>
  <w:num w:numId="8" w16cid:durableId="812141952">
    <w:abstractNumId w:val="5"/>
  </w:num>
  <w:num w:numId="9" w16cid:durableId="985739991">
    <w:abstractNumId w:val="4"/>
  </w:num>
  <w:num w:numId="10" w16cid:durableId="2053191981">
    <w:abstractNumId w:val="4"/>
  </w:num>
  <w:num w:numId="11" w16cid:durableId="8996650">
    <w:abstractNumId w:val="8"/>
  </w:num>
  <w:num w:numId="12" w16cid:durableId="669331618">
    <w:abstractNumId w:val="8"/>
  </w:num>
  <w:num w:numId="13" w16cid:durableId="2020889558">
    <w:abstractNumId w:val="3"/>
  </w:num>
  <w:num w:numId="14" w16cid:durableId="1866672085">
    <w:abstractNumId w:val="3"/>
  </w:num>
  <w:num w:numId="15" w16cid:durableId="2146851627">
    <w:abstractNumId w:val="2"/>
  </w:num>
  <w:num w:numId="16" w16cid:durableId="793253069">
    <w:abstractNumId w:val="2"/>
  </w:num>
  <w:num w:numId="17" w16cid:durableId="875702988">
    <w:abstractNumId w:val="1"/>
  </w:num>
  <w:num w:numId="18" w16cid:durableId="1403605737">
    <w:abstractNumId w:val="1"/>
  </w:num>
  <w:num w:numId="19" w16cid:durableId="752047193">
    <w:abstractNumId w:val="0"/>
  </w:num>
  <w:num w:numId="20" w16cid:durableId="1083143976">
    <w:abstractNumId w:val="0"/>
  </w:num>
  <w:num w:numId="21" w16cid:durableId="1912036460">
    <w:abstractNumId w:val="9"/>
  </w:num>
  <w:num w:numId="22" w16cid:durableId="1997953346">
    <w:abstractNumId w:val="7"/>
  </w:num>
  <w:num w:numId="23" w16cid:durableId="1690527968">
    <w:abstractNumId w:val="6"/>
  </w:num>
  <w:num w:numId="24" w16cid:durableId="1081829662">
    <w:abstractNumId w:val="5"/>
  </w:num>
  <w:num w:numId="25" w16cid:durableId="472137519">
    <w:abstractNumId w:val="4"/>
  </w:num>
  <w:num w:numId="26" w16cid:durableId="873811957">
    <w:abstractNumId w:val="8"/>
  </w:num>
  <w:num w:numId="27" w16cid:durableId="401299005">
    <w:abstractNumId w:val="3"/>
  </w:num>
  <w:num w:numId="28" w16cid:durableId="1022629829">
    <w:abstractNumId w:val="2"/>
  </w:num>
  <w:num w:numId="29" w16cid:durableId="190189770">
    <w:abstractNumId w:val="1"/>
  </w:num>
  <w:num w:numId="30" w16cid:durableId="2029092045">
    <w:abstractNumId w:val="0"/>
  </w:num>
  <w:num w:numId="31" w16cid:durableId="532621726">
    <w:abstractNumId w:val="9"/>
  </w:num>
  <w:num w:numId="32" w16cid:durableId="1871720373">
    <w:abstractNumId w:val="7"/>
  </w:num>
  <w:num w:numId="33" w16cid:durableId="2030134139">
    <w:abstractNumId w:val="6"/>
  </w:num>
  <w:num w:numId="34" w16cid:durableId="2022584180">
    <w:abstractNumId w:val="5"/>
  </w:num>
  <w:num w:numId="35" w16cid:durableId="1920016938">
    <w:abstractNumId w:val="4"/>
  </w:num>
  <w:num w:numId="36" w16cid:durableId="733702943">
    <w:abstractNumId w:val="8"/>
  </w:num>
  <w:num w:numId="37" w16cid:durableId="622542690">
    <w:abstractNumId w:val="3"/>
  </w:num>
  <w:num w:numId="38" w16cid:durableId="480393351">
    <w:abstractNumId w:val="2"/>
  </w:num>
  <w:num w:numId="39" w16cid:durableId="1687898385">
    <w:abstractNumId w:val="1"/>
  </w:num>
  <w:num w:numId="40" w16cid:durableId="842739632">
    <w:abstractNumId w:val="0"/>
  </w:num>
  <w:num w:numId="41" w16cid:durableId="1906911783">
    <w:abstractNumId w:val="10"/>
  </w:num>
  <w:num w:numId="42" w16cid:durableId="701827058">
    <w:abstractNumId w:val="10"/>
  </w:num>
  <w:num w:numId="43" w16cid:durableId="271205223">
    <w:abstractNumId w:val="10"/>
  </w:num>
  <w:num w:numId="44" w16cid:durableId="1366098370">
    <w:abstractNumId w:val="11"/>
  </w:num>
  <w:num w:numId="45" w16cid:durableId="177623198">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46" w16cid:durableId="822936252">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47" w16cid:durableId="759564492">
    <w:abstractNumId w:val="13"/>
    <w:lvlOverride w:ilvl="0">
      <w:startOverride w:val="1"/>
    </w:lvlOverride>
    <w:lvlOverride w:ilvl="1"/>
    <w:lvlOverride w:ilvl="2"/>
    <w:lvlOverride w:ilvl="3"/>
    <w:lvlOverride w:ilvl="4"/>
    <w:lvlOverride w:ilvl="5"/>
    <w:lvlOverride w:ilvl="6"/>
    <w:lvlOverride w:ilvl="7"/>
    <w:lvlOverride w:ilvl="8"/>
  </w:num>
  <w:num w:numId="48" w16cid:durableId="1725374262">
    <w:abstractNumId w:val="1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2/2026"/>
    <w:docVar w:name="dvlangue" w:val="PT"/>
    <w:docVar w:name="dvnumam" w:val="88"/>
    <w:docVar w:name="dvpe" w:val="779.727"/>
    <w:docVar w:name="dvrapporteur" w:val="Relatora: "/>
    <w:docVar w:name="dvstar" w:val="***I"/>
    <w:docVar w:name="dvtitre" w:val="Resolução legislativa do Parlamento Europeu, de ... de ... de 2026,_x000d__x000a_ sobre a proposta de regulamento do Parlamento Europeu e do Conselho relativo à resposta aos efeitos negativos relacionados com o comércio decorrentes da sobrecapacidade mundial que afetam o mercado siderúrgico da UE(COM(2025)0726 – C10-0245/2025 – 2025/0726(COD))"/>
    <w:docVar w:name="TA_Comm_A5Nr" w:val="A10-0012/2026"/>
    <w:docVar w:name="TA_Comm_Langue" w:val="PT"/>
    <w:docVar w:name="TA_Comm_NrAM" w:val="001-059"/>
    <w:docVar w:name="TA_Type" w:val="TA_COMM"/>
  </w:docVars>
  <w:rsids>
    <w:rsidRoot w:val="00B87F81"/>
    <w:rsid w:val="00002272"/>
    <w:rsid w:val="00064002"/>
    <w:rsid w:val="000677B9"/>
    <w:rsid w:val="000831BA"/>
    <w:rsid w:val="000A42CC"/>
    <w:rsid w:val="000E7DD9"/>
    <w:rsid w:val="0010095E"/>
    <w:rsid w:val="00125B37"/>
    <w:rsid w:val="00187494"/>
    <w:rsid w:val="001F32AE"/>
    <w:rsid w:val="002767FF"/>
    <w:rsid w:val="002B18FE"/>
    <w:rsid w:val="002B5493"/>
    <w:rsid w:val="002B6BC3"/>
    <w:rsid w:val="00343214"/>
    <w:rsid w:val="00361C00"/>
    <w:rsid w:val="00395FA1"/>
    <w:rsid w:val="003A7312"/>
    <w:rsid w:val="003E15D4"/>
    <w:rsid w:val="00411CCE"/>
    <w:rsid w:val="0041666E"/>
    <w:rsid w:val="00421060"/>
    <w:rsid w:val="00471C19"/>
    <w:rsid w:val="004867E3"/>
    <w:rsid w:val="00494A28"/>
    <w:rsid w:val="004A5DF8"/>
    <w:rsid w:val="004C0004"/>
    <w:rsid w:val="004C47D0"/>
    <w:rsid w:val="004C5D52"/>
    <w:rsid w:val="0050519A"/>
    <w:rsid w:val="005072A1"/>
    <w:rsid w:val="00514517"/>
    <w:rsid w:val="00545827"/>
    <w:rsid w:val="00560270"/>
    <w:rsid w:val="005C2568"/>
    <w:rsid w:val="005D6A8B"/>
    <w:rsid w:val="005F1B17"/>
    <w:rsid w:val="006037C0"/>
    <w:rsid w:val="006631B6"/>
    <w:rsid w:val="00680577"/>
    <w:rsid w:val="006E5E6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8BB"/>
    <w:rsid w:val="00930C23"/>
    <w:rsid w:val="0093193B"/>
    <w:rsid w:val="009509D8"/>
    <w:rsid w:val="00950B64"/>
    <w:rsid w:val="00981893"/>
    <w:rsid w:val="00A1687D"/>
    <w:rsid w:val="00A43E52"/>
    <w:rsid w:val="00A4678D"/>
    <w:rsid w:val="00A778C7"/>
    <w:rsid w:val="00AB441E"/>
    <w:rsid w:val="00AB6293"/>
    <w:rsid w:val="00AD1AAB"/>
    <w:rsid w:val="00AE0928"/>
    <w:rsid w:val="00AF3B82"/>
    <w:rsid w:val="00B12E95"/>
    <w:rsid w:val="00B22876"/>
    <w:rsid w:val="00B558F0"/>
    <w:rsid w:val="00B87F81"/>
    <w:rsid w:val="00BD48FE"/>
    <w:rsid w:val="00BD7BD8"/>
    <w:rsid w:val="00BE6ADC"/>
    <w:rsid w:val="00C05BFE"/>
    <w:rsid w:val="00C23CD4"/>
    <w:rsid w:val="00C61C0C"/>
    <w:rsid w:val="00C941CB"/>
    <w:rsid w:val="00CA37A3"/>
    <w:rsid w:val="00CC2357"/>
    <w:rsid w:val="00CF071A"/>
    <w:rsid w:val="00D058B8"/>
    <w:rsid w:val="00D56C11"/>
    <w:rsid w:val="00D834A0"/>
    <w:rsid w:val="00D872DF"/>
    <w:rsid w:val="00D91E21"/>
    <w:rsid w:val="00DA7FCD"/>
    <w:rsid w:val="00DC42F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0C635C"/>
  <w15:chartTrackingRefBased/>
  <w15:docId w15:val="{4A9ECB2D-D77D-495A-B616-1E42989C4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Body Text" w:uiPriority="1"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C47D0"/>
    <w:rPr>
      <w:b/>
      <w:kern w:val="28"/>
      <w:sz w:val="28"/>
      <w:lang w:val="fr-FR" w:eastAsia="fr-FR"/>
    </w:rPr>
  </w:style>
  <w:style w:type="character" w:customStyle="1" w:styleId="Heading2Char">
    <w:name w:val="Heading 2 Char"/>
    <w:basedOn w:val="DefaultParagraphFont"/>
    <w:link w:val="Heading2"/>
    <w:semiHidden/>
    <w:rsid w:val="004C47D0"/>
    <w:rPr>
      <w:sz w:val="24"/>
      <w:lang w:val="fr-FR" w:eastAsia="fr-FR"/>
    </w:rPr>
  </w:style>
  <w:style w:type="character" w:customStyle="1" w:styleId="Heading3Char">
    <w:name w:val="Heading 3 Char"/>
    <w:basedOn w:val="DefaultParagraphFont"/>
    <w:link w:val="Heading3"/>
    <w:semiHidden/>
    <w:rsid w:val="004C47D0"/>
    <w:rPr>
      <w:rFonts w:ascii="Arial" w:hAnsi="Arial"/>
      <w:sz w:val="24"/>
      <w:lang w:val="fr-FR" w:eastAsia="fr-FR"/>
    </w:rPr>
  </w:style>
  <w:style w:type="character" w:customStyle="1" w:styleId="Heading4Char">
    <w:name w:val="Heading 4 Char"/>
    <w:basedOn w:val="DefaultParagraphFont"/>
    <w:link w:val="Heading4"/>
    <w:semiHidden/>
    <w:rsid w:val="004C47D0"/>
    <w:rPr>
      <w:sz w:val="24"/>
      <w:lang w:val="en-US" w:eastAsia="fr-FR"/>
    </w:rPr>
  </w:style>
  <w:style w:type="character" w:customStyle="1" w:styleId="Heading5Char">
    <w:name w:val="Heading 5 Char"/>
    <w:basedOn w:val="DefaultParagraphFont"/>
    <w:link w:val="Heading5"/>
    <w:semiHidden/>
    <w:rsid w:val="004C47D0"/>
    <w:rPr>
      <w:sz w:val="24"/>
      <w:lang w:val="en-US" w:eastAsia="fr-FR"/>
    </w:rPr>
  </w:style>
  <w:style w:type="character" w:customStyle="1" w:styleId="Heading6Char">
    <w:name w:val="Heading 6 Char"/>
    <w:basedOn w:val="DefaultParagraphFont"/>
    <w:link w:val="Heading6"/>
    <w:semiHidden/>
    <w:rsid w:val="004C47D0"/>
    <w:rPr>
      <w:i/>
      <w:sz w:val="22"/>
      <w:lang w:val="pt-PT"/>
    </w:rPr>
  </w:style>
  <w:style w:type="character" w:customStyle="1" w:styleId="Heading7Char">
    <w:name w:val="Heading 7 Char"/>
    <w:basedOn w:val="DefaultParagraphFont"/>
    <w:link w:val="Heading7"/>
    <w:semiHidden/>
    <w:rsid w:val="004C47D0"/>
    <w:rPr>
      <w:rFonts w:ascii="Arial" w:hAnsi="Arial"/>
      <w:sz w:val="24"/>
      <w:lang w:val="pt-PT"/>
    </w:rPr>
  </w:style>
  <w:style w:type="character" w:customStyle="1" w:styleId="Heading8Char">
    <w:name w:val="Heading 8 Char"/>
    <w:basedOn w:val="DefaultParagraphFont"/>
    <w:link w:val="Heading8"/>
    <w:semiHidden/>
    <w:rsid w:val="004C47D0"/>
    <w:rPr>
      <w:rFonts w:ascii="Arial" w:hAnsi="Arial"/>
      <w:i/>
      <w:sz w:val="24"/>
      <w:lang w:val="pt-PT"/>
    </w:rPr>
  </w:style>
  <w:style w:type="character" w:customStyle="1" w:styleId="Heading9Char">
    <w:name w:val="Heading 9 Char"/>
    <w:basedOn w:val="DefaultParagraphFont"/>
    <w:link w:val="Heading9"/>
    <w:semiHidden/>
    <w:rsid w:val="004C47D0"/>
    <w:rPr>
      <w:rFonts w:ascii="Arial" w:hAnsi="Arial"/>
      <w:b/>
      <w:i/>
      <w:sz w:val="18"/>
      <w:lang w:val="pt-PT"/>
    </w:rPr>
  </w:style>
  <w:style w:type="paragraph" w:styleId="TOCHeading">
    <w:name w:val="TOC Heading"/>
    <w:basedOn w:val="Normal"/>
    <w:next w:val="Normal"/>
    <w:uiPriority w:val="39"/>
    <w:unhideWhenUsed/>
    <w:qFormat/>
    <w:rsid w:val="004C47D0"/>
    <w:pPr>
      <w:widowControl/>
      <w:spacing w:after="240"/>
    </w:pPr>
    <w:rPr>
      <w:lang w:val="en-GB"/>
    </w:rPr>
  </w:style>
  <w:style w:type="paragraph" w:customStyle="1" w:styleId="EPFooter2">
    <w:name w:val="EPFooter2"/>
    <w:basedOn w:val="Normal"/>
    <w:next w:val="Normal"/>
    <w:rsid w:val="004C47D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C47D0"/>
    <w:pPr>
      <w:keepNext/>
      <w:spacing w:after="240"/>
      <w:jc w:val="right"/>
    </w:pPr>
    <w:rPr>
      <w:rFonts w:ascii="Arial" w:hAnsi="Arial"/>
      <w:b/>
    </w:rPr>
  </w:style>
  <w:style w:type="paragraph" w:customStyle="1" w:styleId="Normal6a">
    <w:name w:val="Normal6a"/>
    <w:basedOn w:val="Normal"/>
    <w:rsid w:val="004C47D0"/>
    <w:pPr>
      <w:spacing w:after="120"/>
    </w:pPr>
  </w:style>
  <w:style w:type="paragraph" w:customStyle="1" w:styleId="PageHeading">
    <w:name w:val="PageHeading"/>
    <w:basedOn w:val="Normal"/>
    <w:qFormat/>
    <w:rsid w:val="004C47D0"/>
    <w:pPr>
      <w:keepNext/>
      <w:spacing w:after="480"/>
      <w:jc w:val="center"/>
    </w:pPr>
    <w:rPr>
      <w:rFonts w:ascii="Arial" w:hAnsi="Arial" w:cs="Arial"/>
      <w:b/>
    </w:rPr>
  </w:style>
  <w:style w:type="paragraph" w:customStyle="1" w:styleId="NormalBold">
    <w:name w:val="NormalBold"/>
    <w:basedOn w:val="Normal"/>
    <w:link w:val="NormalBoldChar"/>
    <w:rsid w:val="004C47D0"/>
    <w:rPr>
      <w:b/>
    </w:rPr>
  </w:style>
  <w:style w:type="paragraph" w:customStyle="1" w:styleId="NormalBold12a">
    <w:name w:val="NormalBold12a"/>
    <w:basedOn w:val="Normal"/>
    <w:rsid w:val="004C47D0"/>
    <w:pPr>
      <w:spacing w:after="240"/>
    </w:pPr>
    <w:rPr>
      <w:b/>
    </w:rPr>
  </w:style>
  <w:style w:type="paragraph" w:customStyle="1" w:styleId="AmJustText">
    <w:name w:val="AmJustText"/>
    <w:basedOn w:val="Normal"/>
    <w:rsid w:val="004C47D0"/>
    <w:pPr>
      <w:spacing w:after="240"/>
    </w:pPr>
    <w:rPr>
      <w:i/>
    </w:rPr>
  </w:style>
  <w:style w:type="paragraph" w:customStyle="1" w:styleId="NormalHanging12a">
    <w:name w:val="NormalHanging12a"/>
    <w:basedOn w:val="Normal"/>
    <w:rsid w:val="004C47D0"/>
    <w:pPr>
      <w:spacing w:after="240"/>
      <w:ind w:left="567" w:hanging="567"/>
    </w:pPr>
  </w:style>
  <w:style w:type="paragraph" w:customStyle="1" w:styleId="CoverNormal24a">
    <w:name w:val="CoverNormal24a"/>
    <w:basedOn w:val="Normal"/>
    <w:rsid w:val="004C47D0"/>
    <w:pPr>
      <w:spacing w:after="480"/>
      <w:ind w:left="1417"/>
    </w:pPr>
  </w:style>
  <w:style w:type="paragraph" w:customStyle="1" w:styleId="CoverNormal">
    <w:name w:val="CoverNormal"/>
    <w:basedOn w:val="Normal"/>
    <w:rsid w:val="004C47D0"/>
    <w:pPr>
      <w:ind w:left="1418"/>
    </w:pPr>
  </w:style>
  <w:style w:type="paragraph" w:customStyle="1" w:styleId="AmCrossRef">
    <w:name w:val="AmCrossRef"/>
    <w:basedOn w:val="Normal"/>
    <w:rsid w:val="004C47D0"/>
    <w:pPr>
      <w:spacing w:before="240" w:after="240"/>
      <w:jc w:val="center"/>
    </w:pPr>
    <w:rPr>
      <w:i/>
    </w:rPr>
  </w:style>
  <w:style w:type="paragraph" w:customStyle="1" w:styleId="AmJustTitle">
    <w:name w:val="AmJustTitle"/>
    <w:basedOn w:val="Normal"/>
    <w:next w:val="AmJustText"/>
    <w:rsid w:val="004C47D0"/>
    <w:pPr>
      <w:keepNext/>
      <w:spacing w:before="240" w:after="240"/>
      <w:jc w:val="center"/>
    </w:pPr>
    <w:rPr>
      <w:i/>
    </w:rPr>
  </w:style>
  <w:style w:type="paragraph" w:customStyle="1" w:styleId="CoverReference">
    <w:name w:val="CoverReference"/>
    <w:basedOn w:val="Normal"/>
    <w:rsid w:val="004C47D0"/>
    <w:pPr>
      <w:spacing w:before="1080"/>
      <w:jc w:val="right"/>
    </w:pPr>
    <w:rPr>
      <w:rFonts w:ascii="Arial" w:hAnsi="Arial" w:cs="Arial"/>
      <w:b/>
    </w:rPr>
  </w:style>
  <w:style w:type="paragraph" w:customStyle="1" w:styleId="CoverDocType">
    <w:name w:val="CoverDocType"/>
    <w:basedOn w:val="Normal"/>
    <w:rsid w:val="004C47D0"/>
    <w:pPr>
      <w:ind w:left="1418"/>
    </w:pPr>
    <w:rPr>
      <w:rFonts w:ascii="Arial" w:hAnsi="Arial"/>
      <w:b/>
      <w:sz w:val="48"/>
    </w:rPr>
  </w:style>
  <w:style w:type="paragraph" w:customStyle="1" w:styleId="CoverDocType24a">
    <w:name w:val="CoverDocType24a"/>
    <w:basedOn w:val="Normal"/>
    <w:rsid w:val="004C47D0"/>
    <w:pPr>
      <w:spacing w:after="480"/>
      <w:ind w:left="1418"/>
    </w:pPr>
    <w:rPr>
      <w:rFonts w:ascii="Arial" w:hAnsi="Arial"/>
      <w:b/>
      <w:sz w:val="48"/>
    </w:rPr>
  </w:style>
  <w:style w:type="paragraph" w:customStyle="1" w:styleId="CoverDate">
    <w:name w:val="CoverDate"/>
    <w:basedOn w:val="Normal"/>
    <w:rsid w:val="004C47D0"/>
    <w:pPr>
      <w:spacing w:before="240" w:after="1200"/>
    </w:pPr>
  </w:style>
  <w:style w:type="paragraph" w:styleId="Header">
    <w:name w:val="header"/>
    <w:basedOn w:val="Normal"/>
    <w:link w:val="HeaderChar"/>
    <w:rsid w:val="004C47D0"/>
    <w:pPr>
      <w:tabs>
        <w:tab w:val="center" w:pos="4513"/>
        <w:tab w:val="right" w:pos="9026"/>
      </w:tabs>
    </w:pPr>
  </w:style>
  <w:style w:type="character" w:customStyle="1" w:styleId="HeaderChar">
    <w:name w:val="Header Char"/>
    <w:basedOn w:val="DefaultParagraphFont"/>
    <w:link w:val="Header"/>
    <w:rsid w:val="004C47D0"/>
    <w:rPr>
      <w:sz w:val="24"/>
      <w:lang w:val="pt-PT"/>
    </w:rPr>
  </w:style>
  <w:style w:type="paragraph" w:customStyle="1" w:styleId="AmOrLang">
    <w:name w:val="AmOrLang"/>
    <w:basedOn w:val="Normal"/>
    <w:rsid w:val="004C47D0"/>
    <w:pPr>
      <w:spacing w:before="240" w:after="240"/>
      <w:jc w:val="right"/>
    </w:pPr>
  </w:style>
  <w:style w:type="paragraph" w:customStyle="1" w:styleId="AmColumnHeading">
    <w:name w:val="AmColumnHeading"/>
    <w:basedOn w:val="Normal"/>
    <w:rsid w:val="004C47D0"/>
    <w:pPr>
      <w:spacing w:after="240"/>
      <w:jc w:val="center"/>
    </w:pPr>
    <w:rPr>
      <w:i/>
    </w:rPr>
  </w:style>
  <w:style w:type="paragraph" w:customStyle="1" w:styleId="AmNumberTabs">
    <w:name w:val="AmNumberTabs"/>
    <w:basedOn w:val="Normal"/>
    <w:rsid w:val="004C47D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47D0"/>
    <w:pPr>
      <w:spacing w:before="240"/>
    </w:pPr>
    <w:rPr>
      <w:b/>
    </w:rPr>
  </w:style>
  <w:style w:type="paragraph" w:customStyle="1" w:styleId="EPBody">
    <w:name w:val="EPBody"/>
    <w:basedOn w:val="Normal"/>
    <w:rsid w:val="004C47D0"/>
    <w:pPr>
      <w:jc w:val="center"/>
    </w:pPr>
    <w:rPr>
      <w:rFonts w:ascii="Arial" w:hAnsi="Arial" w:cs="Arial"/>
      <w:i/>
      <w:sz w:val="22"/>
      <w:szCs w:val="22"/>
    </w:rPr>
  </w:style>
  <w:style w:type="paragraph" w:customStyle="1" w:styleId="EPFooter">
    <w:name w:val="EPFooter"/>
    <w:basedOn w:val="Normal"/>
    <w:rsid w:val="004C47D0"/>
    <w:pPr>
      <w:tabs>
        <w:tab w:val="center" w:pos="4535"/>
        <w:tab w:val="right" w:pos="9071"/>
      </w:tabs>
      <w:spacing w:before="240" w:after="240"/>
    </w:pPr>
    <w:rPr>
      <w:color w:val="010000"/>
      <w:sz w:val="22"/>
    </w:rPr>
  </w:style>
  <w:style w:type="paragraph" w:customStyle="1" w:styleId="EPComma">
    <w:name w:val="EPComma"/>
    <w:basedOn w:val="Normal"/>
    <w:rsid w:val="004C47D0"/>
    <w:pPr>
      <w:spacing w:before="480" w:after="240"/>
    </w:pPr>
  </w:style>
  <w:style w:type="paragraph" w:customStyle="1" w:styleId="Lgendesigne">
    <w:name w:val="Légende signe"/>
    <w:basedOn w:val="Normal"/>
    <w:rsid w:val="004C47D0"/>
    <w:pPr>
      <w:tabs>
        <w:tab w:val="right" w:pos="454"/>
        <w:tab w:val="left" w:pos="737"/>
      </w:tabs>
      <w:ind w:left="737" w:hanging="737"/>
    </w:pPr>
    <w:rPr>
      <w:snapToGrid w:val="0"/>
      <w:sz w:val="18"/>
      <w:lang w:eastAsia="en-US"/>
    </w:rPr>
  </w:style>
  <w:style w:type="paragraph" w:customStyle="1" w:styleId="Lgendetitre">
    <w:name w:val="Légende titre"/>
    <w:basedOn w:val="Normal"/>
    <w:rsid w:val="004C47D0"/>
    <w:pPr>
      <w:spacing w:before="240" w:after="240"/>
    </w:pPr>
    <w:rPr>
      <w:b/>
      <w:i/>
      <w:snapToGrid w:val="0"/>
      <w:lang w:eastAsia="en-US"/>
    </w:rPr>
  </w:style>
  <w:style w:type="paragraph" w:customStyle="1" w:styleId="Lgendestandard">
    <w:name w:val="Légende standard"/>
    <w:basedOn w:val="Normal"/>
    <w:rsid w:val="004C47D0"/>
    <w:rPr>
      <w:sz w:val="18"/>
    </w:rPr>
  </w:style>
  <w:style w:type="character" w:customStyle="1" w:styleId="NormalBoldChar">
    <w:name w:val="NormalBold Char"/>
    <w:basedOn w:val="DefaultParagraphFont"/>
    <w:link w:val="NormalBold"/>
    <w:locked/>
    <w:rsid w:val="004C47D0"/>
    <w:rPr>
      <w:b/>
      <w:sz w:val="24"/>
      <w:lang w:val="pt-PT"/>
    </w:rPr>
  </w:style>
  <w:style w:type="character" w:styleId="Hyperlink">
    <w:name w:val="Hyperlink"/>
    <w:basedOn w:val="DefaultParagraphFont"/>
    <w:unhideWhenUsed/>
    <w:rsid w:val="004C47D0"/>
    <w:rPr>
      <w:color w:val="467886"/>
      <w:u w:val="single"/>
    </w:rPr>
  </w:style>
  <w:style w:type="character" w:styleId="Emphasis">
    <w:name w:val="Emphasis"/>
    <w:basedOn w:val="DefaultParagraphFont"/>
    <w:uiPriority w:val="20"/>
    <w:qFormat/>
    <w:rsid w:val="004C47D0"/>
    <w:rPr>
      <w:i/>
      <w:iCs/>
    </w:rPr>
  </w:style>
  <w:style w:type="character" w:styleId="UnresolvedMention">
    <w:name w:val="Unresolved Mention"/>
    <w:basedOn w:val="DefaultParagraphFont"/>
    <w:uiPriority w:val="99"/>
    <w:semiHidden/>
    <w:unhideWhenUsed/>
    <w:rsid w:val="004C47D0"/>
    <w:rPr>
      <w:color w:val="605E5C"/>
      <w:shd w:val="clear" w:color="auto" w:fill="E1DFDD"/>
    </w:rPr>
  </w:style>
  <w:style w:type="paragraph" w:customStyle="1" w:styleId="Default">
    <w:name w:val="Default"/>
    <w:rsid w:val="004C47D0"/>
    <w:pPr>
      <w:autoSpaceDE w:val="0"/>
      <w:autoSpaceDN w:val="0"/>
      <w:adjustRightInd w:val="0"/>
    </w:pPr>
    <w:rPr>
      <w:color w:val="000000"/>
      <w:sz w:val="24"/>
      <w:szCs w:val="24"/>
      <w:lang w:val="pt-PT"/>
    </w:rPr>
  </w:style>
  <w:style w:type="character" w:customStyle="1" w:styleId="Normal6Char">
    <w:name w:val="Normal6 Char"/>
    <w:basedOn w:val="DefaultParagraphFont"/>
    <w:link w:val="Normal6"/>
    <w:locked/>
    <w:rsid w:val="004C47D0"/>
    <w:rPr>
      <w:b/>
      <w:bCs/>
      <w:i/>
      <w:iCs/>
      <w:sz w:val="24"/>
      <w:lang w:val="pt-PT"/>
    </w:rPr>
  </w:style>
  <w:style w:type="paragraph" w:customStyle="1" w:styleId="Normal6">
    <w:name w:val="Normal6"/>
    <w:basedOn w:val="Normal"/>
    <w:link w:val="Normal6Char"/>
    <w:rsid w:val="004C47D0"/>
    <w:pPr>
      <w:spacing w:after="120"/>
    </w:pPr>
    <w:rPr>
      <w:b/>
      <w:bCs/>
      <w:i/>
      <w:iCs/>
    </w:rPr>
  </w:style>
  <w:style w:type="paragraph" w:customStyle="1" w:styleId="ColumnHeading">
    <w:name w:val="ColumnHeading"/>
    <w:basedOn w:val="Normal"/>
    <w:rsid w:val="004C47D0"/>
    <w:pPr>
      <w:spacing w:after="240"/>
      <w:jc w:val="center"/>
    </w:pPr>
    <w:rPr>
      <w:i/>
    </w:rPr>
  </w:style>
  <w:style w:type="paragraph" w:customStyle="1" w:styleId="AMNumberTabs0">
    <w:name w:val="AMNumberTabs"/>
    <w:basedOn w:val="Normal"/>
    <w:rsid w:val="004C47D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4C47D0"/>
    <w:pPr>
      <w:jc w:val="right"/>
    </w:pPr>
    <w:rPr>
      <w:lang w:val="pt-PT"/>
    </w:rPr>
  </w:style>
  <w:style w:type="paragraph" w:styleId="Revision">
    <w:name w:val="Revision"/>
    <w:hidden/>
    <w:uiPriority w:val="99"/>
    <w:semiHidden/>
    <w:rsid w:val="004C47D0"/>
    <w:rPr>
      <w:sz w:val="24"/>
      <w:lang w:val="pt-PT"/>
    </w:rPr>
  </w:style>
  <w:style w:type="character" w:styleId="CommentReference">
    <w:name w:val="annotation reference"/>
    <w:basedOn w:val="DefaultParagraphFont"/>
    <w:rsid w:val="004C47D0"/>
    <w:rPr>
      <w:sz w:val="16"/>
      <w:szCs w:val="16"/>
    </w:rPr>
  </w:style>
  <w:style w:type="paragraph" w:styleId="CommentText">
    <w:name w:val="annotation text"/>
    <w:basedOn w:val="Normal"/>
    <w:link w:val="CommentTextChar"/>
    <w:rsid w:val="004C47D0"/>
    <w:rPr>
      <w:sz w:val="20"/>
    </w:rPr>
  </w:style>
  <w:style w:type="character" w:customStyle="1" w:styleId="CommentTextChar">
    <w:name w:val="Comment Text Char"/>
    <w:basedOn w:val="DefaultParagraphFont"/>
    <w:link w:val="CommentText"/>
    <w:rsid w:val="004C47D0"/>
    <w:rPr>
      <w:lang w:val="pt-PT"/>
    </w:rPr>
  </w:style>
  <w:style w:type="paragraph" w:styleId="CommentSubject">
    <w:name w:val="annotation subject"/>
    <w:basedOn w:val="CommentText"/>
    <w:next w:val="CommentText"/>
    <w:link w:val="CommentSubjectChar"/>
    <w:unhideWhenUsed/>
    <w:rsid w:val="004C47D0"/>
    <w:rPr>
      <w:b/>
      <w:bCs/>
    </w:rPr>
  </w:style>
  <w:style w:type="character" w:customStyle="1" w:styleId="CommentSubjectChar">
    <w:name w:val="Comment Subject Char"/>
    <w:basedOn w:val="CommentTextChar"/>
    <w:link w:val="CommentSubject"/>
    <w:rsid w:val="004C47D0"/>
    <w:rPr>
      <w:b/>
      <w:bCs/>
      <w:lang w:val="pt-PT"/>
    </w:rPr>
  </w:style>
  <w:style w:type="paragraph" w:styleId="ListParagraph">
    <w:name w:val="List Paragraph"/>
    <w:basedOn w:val="Normal"/>
    <w:uiPriority w:val="1"/>
    <w:qFormat/>
    <w:rsid w:val="004C47D0"/>
    <w:pPr>
      <w:ind w:left="720"/>
      <w:contextualSpacing/>
    </w:pPr>
  </w:style>
  <w:style w:type="paragraph" w:styleId="BodyText">
    <w:name w:val="Body Text"/>
    <w:basedOn w:val="Normal"/>
    <w:link w:val="BodyTextChar"/>
    <w:uiPriority w:val="1"/>
    <w:unhideWhenUsed/>
    <w:qFormat/>
    <w:rsid w:val="004C47D0"/>
    <w:pPr>
      <w:autoSpaceDE w:val="0"/>
      <w:autoSpaceDN w:val="0"/>
      <w:spacing w:before="120"/>
    </w:pPr>
    <w:rPr>
      <w:szCs w:val="24"/>
      <w:lang w:eastAsia="en-US"/>
    </w:rPr>
  </w:style>
  <w:style w:type="character" w:customStyle="1" w:styleId="BodyTextChar">
    <w:name w:val="Body Text Char"/>
    <w:basedOn w:val="DefaultParagraphFont"/>
    <w:link w:val="BodyText"/>
    <w:uiPriority w:val="1"/>
    <w:rsid w:val="004C47D0"/>
    <w:rPr>
      <w:sz w:val="24"/>
      <w:szCs w:val="24"/>
      <w:lang w:val="pt-PT" w:eastAsia="en-US"/>
    </w:rPr>
  </w:style>
  <w:style w:type="paragraph" w:customStyle="1" w:styleId="Normal12a">
    <w:name w:val="Normal12a"/>
    <w:basedOn w:val="Normal"/>
    <w:rsid w:val="004C47D0"/>
    <w:pPr>
      <w:spacing w:after="240"/>
    </w:pPr>
  </w:style>
  <w:style w:type="paragraph" w:customStyle="1" w:styleId="PageHeadingNotTOC">
    <w:name w:val="PageHeadingNotTOC"/>
    <w:basedOn w:val="Normal"/>
    <w:rsid w:val="004C47D0"/>
    <w:pPr>
      <w:keepNext/>
      <w:spacing w:after="480"/>
      <w:jc w:val="center"/>
    </w:pPr>
    <w:rPr>
      <w:rFonts w:ascii="Arial" w:hAnsi="Arial" w:cs="Arial"/>
      <w:b/>
    </w:rPr>
  </w:style>
  <w:style w:type="paragraph" w:customStyle="1" w:styleId="AmHeadingPA">
    <w:name w:val="AmHeadingPA"/>
    <w:basedOn w:val="Normal"/>
    <w:next w:val="Normal"/>
    <w:rsid w:val="004C47D0"/>
    <w:pPr>
      <w:spacing w:before="480" w:after="240"/>
      <w:jc w:val="center"/>
    </w:pPr>
    <w:rPr>
      <w:rFonts w:ascii="Arial" w:hAnsi="Arial"/>
      <w:b/>
      <w:caps/>
      <w:snapToGrid w:val="0"/>
      <w:szCs w:val="24"/>
      <w:lang w:eastAsia="en-US"/>
    </w:rPr>
  </w:style>
  <w:style w:type="paragraph" w:customStyle="1" w:styleId="Normal24a">
    <w:name w:val="Normal24a"/>
    <w:basedOn w:val="Normal"/>
    <w:rsid w:val="004C47D0"/>
    <w:pPr>
      <w:spacing w:after="480"/>
    </w:pPr>
    <w:rPr>
      <w:szCs w:val="24"/>
    </w:rPr>
  </w:style>
  <w:style w:type="paragraph" w:customStyle="1" w:styleId="NormalBoldCenter">
    <w:name w:val="NormalBoldCenter"/>
    <w:basedOn w:val="Normal"/>
    <w:rsid w:val="004C47D0"/>
    <w:pPr>
      <w:jc w:val="center"/>
    </w:pPr>
    <w:rPr>
      <w:b/>
      <w:szCs w:val="24"/>
    </w:rPr>
  </w:style>
  <w:style w:type="paragraph" w:customStyle="1" w:styleId="Footprint12b">
    <w:name w:val="Footprint12b"/>
    <w:basedOn w:val="Normal"/>
    <w:rsid w:val="004C47D0"/>
    <w:pPr>
      <w:spacing w:before="240"/>
    </w:pPr>
    <w:rPr>
      <w:szCs w:val="24"/>
    </w:rPr>
  </w:style>
  <w:style w:type="paragraph" w:customStyle="1" w:styleId="NormalSingle">
    <w:name w:val="NormalSingle"/>
    <w:basedOn w:val="Normal"/>
    <w:qFormat/>
    <w:rsid w:val="004C47D0"/>
    <w:rPr>
      <w:szCs w:val="24"/>
    </w:rPr>
  </w:style>
  <w:style w:type="paragraph" w:customStyle="1" w:styleId="RollCallSymbols14pt">
    <w:name w:val="RollCallSymbols14pt"/>
    <w:basedOn w:val="Normal"/>
    <w:rsid w:val="004C47D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C47D0"/>
    <w:pPr>
      <w:tabs>
        <w:tab w:val="center" w:pos="284"/>
        <w:tab w:val="left" w:pos="426"/>
      </w:tabs>
    </w:pPr>
    <w:rPr>
      <w:snapToGrid w:val="0"/>
      <w:lang w:eastAsia="en-US"/>
    </w:rPr>
  </w:style>
  <w:style w:type="paragraph" w:customStyle="1" w:styleId="RollCallVotes">
    <w:name w:val="RollCallVotes"/>
    <w:basedOn w:val="Normal"/>
    <w:rsid w:val="004C47D0"/>
    <w:pPr>
      <w:spacing w:before="120" w:after="120"/>
      <w:jc w:val="center"/>
    </w:pPr>
    <w:rPr>
      <w:b/>
      <w:bCs/>
      <w:snapToGrid w:val="0"/>
      <w:sz w:val="16"/>
      <w:lang w:eastAsia="en-US"/>
    </w:rPr>
  </w:style>
  <w:style w:type="paragraph" w:customStyle="1" w:styleId="RollCallTable">
    <w:name w:val="RollCallTable"/>
    <w:basedOn w:val="Normal"/>
    <w:rsid w:val="004C47D0"/>
    <w:pPr>
      <w:spacing w:before="120" w:after="120"/>
    </w:pPr>
    <w:rPr>
      <w:snapToGrid w:val="0"/>
      <w:sz w:val="16"/>
      <w:lang w:eastAsia="en-US"/>
    </w:rPr>
  </w:style>
  <w:style w:type="paragraph" w:styleId="Footer">
    <w:name w:val="footer"/>
    <w:basedOn w:val="Normal"/>
    <w:link w:val="FooterChar"/>
    <w:rsid w:val="004C47D0"/>
    <w:pPr>
      <w:tabs>
        <w:tab w:val="center" w:pos="4513"/>
        <w:tab w:val="right" w:pos="9026"/>
      </w:tabs>
    </w:pPr>
  </w:style>
  <w:style w:type="character" w:customStyle="1" w:styleId="FooterChar">
    <w:name w:val="Footer Char"/>
    <w:basedOn w:val="DefaultParagraphFont"/>
    <w:link w:val="Footer"/>
    <w:rsid w:val="004C47D0"/>
    <w:rPr>
      <w:sz w:val="24"/>
      <w:lang w:val="pt-PT"/>
    </w:rPr>
  </w:style>
  <w:style w:type="character" w:styleId="FollowedHyperlink">
    <w:name w:val="FollowedHyperlink"/>
    <w:basedOn w:val="DefaultParagraphFont"/>
    <w:rsid w:val="004A5DF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ata.europa.eu/eli/reg/2025/1153/oj"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7803</Words>
  <Characters>44482</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MARTINSIsabelAlex-Statement</dc:creator>
  <cp:keywords/>
  <cp:lastModifiedBy>MARTINSIsabelAlex</cp:lastModifiedBy>
  <cp:revision>2</cp:revision>
  <cp:lastPrinted>2004-11-19T15:42:00Z</cp:lastPrinted>
  <dcterms:created xsi:type="dcterms:W3CDTF">2026-05-13T09:17:00Z</dcterms:created>
  <dcterms:modified xsi:type="dcterms:W3CDTF">2026-05-13T09:17:00Z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A10-0012(2026)_001-059</vt:lpwstr>
  </property>
  <property fmtid="{D5CDD505-2E9C-101B-9397-08002B2CF9AE}" pid="4" name="&lt;Type&gt;">
    <vt:lpwstr>AM</vt:lpwstr>
  </property>
</Properties>
</file>