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A46B6B" w:rsidRDefault="00CD2C46">
      <w:pPr>
        <w:pStyle w:val="AmDateTab"/>
      </w:pPr>
      <w:r w:rsidRPr="00A46B6B">
        <w:rPr>
          <w:rStyle w:val="HideTWBExt"/>
        </w:rPr>
        <w:t>&lt;RepeatBlock-Amend&gt;&lt;Amend&gt;&lt;Date&gt;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50</w:t>
      </w:r>
      <w:r w:rsidRPr="00A46B6B">
        <w:rPr>
          <w:rStyle w:val="HideTWBExt"/>
        </w:rPr>
        <w:t>&lt;/NumAm&gt;</w:t>
      </w:r>
    </w:p>
    <w:p w14:paraId="6F54DC25"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50</w:t>
      </w:r>
      <w:r w:rsidRPr="00A46B6B">
        <w:rPr>
          <w:rStyle w:val="HideTWBExt"/>
        </w:rPr>
        <w:t>&lt;/NumAm&gt;</w:t>
      </w:r>
    </w:p>
    <w:p w14:paraId="258E7D6A"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666E1CA7"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294E2802" w14:textId="77777777" w:rsidR="00AB098C" w:rsidRPr="00A46B6B" w:rsidRDefault="00CD2C46">
      <w:pPr>
        <w:pStyle w:val="NormalBold"/>
      </w:pPr>
      <w:r w:rsidRPr="00A46B6B">
        <w:rPr>
          <w:rStyle w:val="HideTWBExt"/>
          <w:b w:val="0"/>
        </w:rPr>
        <w:t>&lt;/By&gt;&lt;/RepeatBlock-By&gt;</w:t>
      </w:r>
    </w:p>
    <w:p w14:paraId="36619970"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594826D1"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4006048E" w14:textId="30E45309"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41E99341"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38C2EC05"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28E559A1" w14:textId="6A10691D" w:rsidR="00AB098C" w:rsidRPr="00A46B6B" w:rsidRDefault="00CD2C46">
      <w:pPr>
        <w:pStyle w:val="NormalBold"/>
      </w:pPr>
      <w:r w:rsidRPr="00A46B6B">
        <w:rPr>
          <w:rStyle w:val="HideTWBExt"/>
        </w:rPr>
        <w:t>&lt;Article&gt;</w:t>
      </w:r>
      <w:r w:rsidRPr="00A46B6B">
        <w:t xml:space="preserve">Henvisning 23 a (ny) </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A46B6B" w:rsidRDefault="00AB098C"/>
        </w:tc>
      </w:tr>
      <w:tr w:rsidR="00BF3568" w:rsidRPr="00A46B6B" w14:paraId="0561F3F4" w14:textId="77777777">
        <w:trPr>
          <w:trHeight w:val="240"/>
          <w:jc w:val="center"/>
        </w:trPr>
        <w:tc>
          <w:tcPr>
            <w:tcW w:w="4876" w:type="dxa"/>
            <w:tcBorders>
              <w:top w:val="nil"/>
              <w:left w:val="nil"/>
              <w:bottom w:val="nil"/>
              <w:right w:val="nil"/>
            </w:tcBorders>
          </w:tcPr>
          <w:p w14:paraId="75D7C2A1"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71528269" w14:textId="77777777" w:rsidR="00AB098C" w:rsidRPr="00A46B6B" w:rsidRDefault="00CD2C46">
            <w:pPr>
              <w:pStyle w:val="AmColumnHeading"/>
            </w:pPr>
            <w:r w:rsidRPr="00A46B6B">
              <w:t>Ændringsforslag</w:t>
            </w:r>
          </w:p>
        </w:tc>
      </w:tr>
      <w:tr w:rsidR="00BF3568" w:rsidRPr="00A46B6B" w14:paraId="35A3F6BE" w14:textId="77777777">
        <w:trPr>
          <w:jc w:val="center"/>
        </w:trPr>
        <w:tc>
          <w:tcPr>
            <w:tcW w:w="4876" w:type="dxa"/>
            <w:tcBorders>
              <w:top w:val="nil"/>
              <w:left w:val="nil"/>
              <w:bottom w:val="nil"/>
              <w:right w:val="nil"/>
            </w:tcBorders>
          </w:tcPr>
          <w:p w14:paraId="19D88A38" w14:textId="77777777" w:rsidR="00AB098C" w:rsidRPr="00A46B6B" w:rsidRDefault="00AB098C">
            <w:pPr>
              <w:pStyle w:val="Normal6a"/>
            </w:pPr>
          </w:p>
        </w:tc>
        <w:tc>
          <w:tcPr>
            <w:tcW w:w="4876" w:type="dxa"/>
            <w:tcBorders>
              <w:top w:val="nil"/>
              <w:left w:val="nil"/>
              <w:bottom w:val="nil"/>
              <w:right w:val="nil"/>
            </w:tcBorders>
          </w:tcPr>
          <w:p w14:paraId="0374F855" w14:textId="457B656D" w:rsidR="00AB098C" w:rsidRPr="00A46B6B" w:rsidRDefault="00CD2C46">
            <w:pPr>
              <w:pStyle w:val="Normal6a"/>
              <w:pBdr>
                <w:bottom w:val="single" w:sz="12" w:space="1" w:color="auto"/>
              </w:pBdr>
              <w:rPr>
                <w:b/>
                <w:i/>
              </w:rPr>
            </w:pPr>
            <w:r w:rsidRPr="00A46B6B">
              <w:rPr>
                <w:b/>
                <w:i/>
              </w:rPr>
              <w:t>–</w:t>
            </w:r>
            <w:r w:rsidRPr="00A46B6B">
              <w:tab/>
            </w:r>
            <w:r w:rsidRPr="00A46B6B">
              <w:rPr>
                <w:b/>
                <w:i/>
              </w:rPr>
              <w:t>der henviser til EU-Domstolens domme af 16. februar 2022 i sag C-156/21, Ungarn mod Parlamentet og Rådet, og i sag C-157/21, Polen mod Parlamentet og Rådet</w:t>
            </w:r>
            <w:r w:rsidRPr="00A46B6B">
              <w:rPr>
                <w:b/>
                <w:i/>
                <w:vertAlign w:val="superscript"/>
              </w:rPr>
              <w:t>1a</w:t>
            </w:r>
            <w:r w:rsidRPr="00A46B6B">
              <w:rPr>
                <w:b/>
                <w:i/>
              </w:rPr>
              <w:t>, der bekræfter lovligheden af forordningen om konditionalitet,</w:t>
            </w:r>
          </w:p>
          <w:p w14:paraId="233B5120" w14:textId="7895A482" w:rsidR="0022097A" w:rsidRPr="00A46B6B" w:rsidRDefault="00CD2C46">
            <w:pPr>
              <w:pStyle w:val="Normal6a"/>
            </w:pPr>
            <w:r w:rsidRPr="00A46B6B">
              <w:rPr>
                <w:b/>
                <w:i/>
                <w:vertAlign w:val="superscript"/>
              </w:rPr>
              <w:t>1a</w:t>
            </w:r>
            <w:r w:rsidRPr="00A46B6B">
              <w:rPr>
                <w:b/>
                <w:i/>
              </w:rPr>
              <w:t xml:space="preserve"> ECLI:EU:C:2022:97 &amp; ECLI:EU:C:2022:98.</w:t>
            </w:r>
          </w:p>
        </w:tc>
      </w:tr>
    </w:tbl>
    <w:p w14:paraId="6E3DA0C0"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4D4CDBC3" w14:textId="77777777" w:rsidR="00AB098C" w:rsidRPr="00A46B6B" w:rsidRDefault="00CD2C46">
      <w:pPr>
        <w:sectPr w:rsidR="00AB098C" w:rsidRPr="00A46B6B">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A46B6B">
        <w:rPr>
          <w:rStyle w:val="HideTWBExt"/>
        </w:rPr>
        <w:t>&lt;/Amend&gt;</w:t>
      </w:r>
    </w:p>
    <w:p w14:paraId="1897A4FA"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51</w:t>
      </w:r>
      <w:r w:rsidRPr="00A46B6B">
        <w:rPr>
          <w:rStyle w:val="HideTWBExt"/>
        </w:rPr>
        <w:t>&lt;/NumAm&gt;</w:t>
      </w:r>
    </w:p>
    <w:p w14:paraId="0CA0DC32"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51</w:t>
      </w:r>
      <w:r w:rsidRPr="00A46B6B">
        <w:rPr>
          <w:rStyle w:val="HideTWBExt"/>
        </w:rPr>
        <w:t>&lt;/NumAm&gt;</w:t>
      </w:r>
    </w:p>
    <w:p w14:paraId="122C27AF"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42FB1CEC"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369153FD" w14:textId="77777777" w:rsidR="00AB098C" w:rsidRPr="00A46B6B" w:rsidRDefault="00CD2C46">
      <w:pPr>
        <w:pStyle w:val="NormalBold"/>
      </w:pPr>
      <w:r w:rsidRPr="00A46B6B">
        <w:rPr>
          <w:rStyle w:val="HideTWBExt"/>
          <w:b w:val="0"/>
        </w:rPr>
        <w:t>&lt;/By&gt;&lt;/RepeatBlock-By&gt;</w:t>
      </w:r>
    </w:p>
    <w:p w14:paraId="004FEAFA"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14F63909"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44F6DB4C" w14:textId="69E7F1E8"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4D47D053"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570FEAC6"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18AE99FB" w14:textId="77777777" w:rsidR="00AB098C" w:rsidRPr="00A46B6B" w:rsidRDefault="00CD2C46">
      <w:pPr>
        <w:pStyle w:val="NormalBold"/>
      </w:pPr>
      <w:r w:rsidRPr="00A46B6B">
        <w:rPr>
          <w:rStyle w:val="HideTWBExt"/>
        </w:rPr>
        <w:t>&lt;Article&gt;</w:t>
      </w:r>
      <w:r w:rsidRPr="00A46B6B">
        <w:t xml:space="preserve">Henvisning 25 b (ny) </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A46B6B" w:rsidRDefault="00AB098C"/>
        </w:tc>
      </w:tr>
      <w:tr w:rsidR="00BF3568" w:rsidRPr="00A46B6B" w14:paraId="689BD4CC" w14:textId="77777777">
        <w:trPr>
          <w:trHeight w:val="240"/>
          <w:jc w:val="center"/>
        </w:trPr>
        <w:tc>
          <w:tcPr>
            <w:tcW w:w="4876" w:type="dxa"/>
            <w:tcBorders>
              <w:top w:val="nil"/>
              <w:left w:val="nil"/>
              <w:bottom w:val="nil"/>
              <w:right w:val="nil"/>
            </w:tcBorders>
          </w:tcPr>
          <w:p w14:paraId="7076EBB8"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1D3DD833" w14:textId="77777777" w:rsidR="00AB098C" w:rsidRPr="00A46B6B" w:rsidRDefault="00CD2C46">
            <w:pPr>
              <w:pStyle w:val="AmColumnHeading"/>
            </w:pPr>
            <w:r w:rsidRPr="00A46B6B">
              <w:t>Ændringsforslag</w:t>
            </w:r>
          </w:p>
        </w:tc>
      </w:tr>
      <w:tr w:rsidR="00BF3568" w:rsidRPr="00A46B6B" w14:paraId="6BA02098" w14:textId="77777777">
        <w:trPr>
          <w:jc w:val="center"/>
        </w:trPr>
        <w:tc>
          <w:tcPr>
            <w:tcW w:w="4876" w:type="dxa"/>
            <w:tcBorders>
              <w:top w:val="nil"/>
              <w:left w:val="nil"/>
              <w:bottom w:val="nil"/>
              <w:right w:val="nil"/>
            </w:tcBorders>
          </w:tcPr>
          <w:p w14:paraId="3D3F7FC2" w14:textId="77777777" w:rsidR="00AB098C" w:rsidRPr="00A46B6B" w:rsidRDefault="00AB098C">
            <w:pPr>
              <w:pStyle w:val="Normal6a"/>
            </w:pPr>
          </w:p>
        </w:tc>
        <w:tc>
          <w:tcPr>
            <w:tcW w:w="4876" w:type="dxa"/>
            <w:tcBorders>
              <w:top w:val="nil"/>
              <w:left w:val="nil"/>
              <w:bottom w:val="nil"/>
              <w:right w:val="nil"/>
            </w:tcBorders>
          </w:tcPr>
          <w:p w14:paraId="481513A9" w14:textId="5E786CD9" w:rsidR="00AB098C" w:rsidRPr="00A46B6B" w:rsidRDefault="00CD2C46">
            <w:pPr>
              <w:pStyle w:val="Normal6a"/>
            </w:pPr>
            <w:r w:rsidRPr="00A46B6B">
              <w:rPr>
                <w:b/>
                <w:i/>
              </w:rPr>
              <w:t>–</w:t>
            </w:r>
            <w:r w:rsidRPr="00A46B6B">
              <w:tab/>
            </w:r>
            <w:r w:rsidRPr="00A46B6B">
              <w:rPr>
                <w:b/>
                <w:i/>
              </w:rPr>
              <w:t>der henviser til den igangværende undersøgelse, som EPPO indledte i juli 2025, af det påståede misbrug af EU-midler begået af den tidligere gruppe Identitet og Demokrati i Europa-Parlamentet,</w:t>
            </w:r>
          </w:p>
        </w:tc>
      </w:tr>
    </w:tbl>
    <w:p w14:paraId="790F5E20"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5D9AFC04"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1DC3122D"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52</w:t>
      </w:r>
      <w:r w:rsidRPr="00A46B6B">
        <w:rPr>
          <w:rStyle w:val="HideTWBExt"/>
        </w:rPr>
        <w:t>&lt;/NumAm&gt;</w:t>
      </w:r>
    </w:p>
    <w:p w14:paraId="5F9D1154"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52</w:t>
      </w:r>
      <w:r w:rsidRPr="00A46B6B">
        <w:rPr>
          <w:rStyle w:val="HideTWBExt"/>
        </w:rPr>
        <w:t>&lt;/NumAm&gt;</w:t>
      </w:r>
    </w:p>
    <w:p w14:paraId="27AE9A36"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705EC329"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7E71E8E9" w14:textId="77777777" w:rsidR="00AB098C" w:rsidRPr="00A46B6B" w:rsidRDefault="00CD2C46">
      <w:pPr>
        <w:pStyle w:val="NormalBold"/>
      </w:pPr>
      <w:r w:rsidRPr="00A46B6B">
        <w:rPr>
          <w:rStyle w:val="HideTWBExt"/>
          <w:b w:val="0"/>
        </w:rPr>
        <w:t>&lt;/By&gt;&lt;/RepeatBlock-By&gt;</w:t>
      </w:r>
    </w:p>
    <w:p w14:paraId="73013DEF"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11B1ED71"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71EEC604" w14:textId="4192E226"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702F699B"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65F35DB6"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445EF971" w14:textId="77777777" w:rsidR="00AB098C" w:rsidRPr="00A46B6B" w:rsidRDefault="00CD2C46">
      <w:pPr>
        <w:pStyle w:val="NormalBold"/>
      </w:pPr>
      <w:r w:rsidRPr="00A46B6B">
        <w:rPr>
          <w:rStyle w:val="HideTWBExt"/>
        </w:rPr>
        <w:t>&lt;Article&gt;</w:t>
      </w:r>
      <w:r w:rsidRPr="00A46B6B">
        <w:t>Punkt 2 a (nyt)</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A46B6B" w:rsidRDefault="00AB098C"/>
        </w:tc>
      </w:tr>
      <w:tr w:rsidR="00BF3568" w:rsidRPr="00A46B6B" w14:paraId="1FB50B3E" w14:textId="77777777">
        <w:trPr>
          <w:trHeight w:val="240"/>
          <w:jc w:val="center"/>
        </w:trPr>
        <w:tc>
          <w:tcPr>
            <w:tcW w:w="4876" w:type="dxa"/>
            <w:tcBorders>
              <w:top w:val="nil"/>
              <w:left w:val="nil"/>
              <w:bottom w:val="nil"/>
              <w:right w:val="nil"/>
            </w:tcBorders>
          </w:tcPr>
          <w:p w14:paraId="258B1CFF"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64E426E5" w14:textId="77777777" w:rsidR="00AB098C" w:rsidRPr="00A46B6B" w:rsidRDefault="00CD2C46">
            <w:pPr>
              <w:pStyle w:val="AmColumnHeading"/>
            </w:pPr>
            <w:r w:rsidRPr="00A46B6B">
              <w:t>Ændringsforslag</w:t>
            </w:r>
          </w:p>
        </w:tc>
      </w:tr>
      <w:tr w:rsidR="00BF3568" w:rsidRPr="00A46B6B" w14:paraId="1A4C7A08" w14:textId="77777777">
        <w:trPr>
          <w:jc w:val="center"/>
        </w:trPr>
        <w:tc>
          <w:tcPr>
            <w:tcW w:w="4876" w:type="dxa"/>
            <w:tcBorders>
              <w:top w:val="nil"/>
              <w:left w:val="nil"/>
              <w:bottom w:val="nil"/>
              <w:right w:val="nil"/>
            </w:tcBorders>
          </w:tcPr>
          <w:p w14:paraId="7F7CFA26" w14:textId="77777777" w:rsidR="00AB098C" w:rsidRPr="00A46B6B" w:rsidRDefault="00AB098C">
            <w:pPr>
              <w:pStyle w:val="Normal6a"/>
            </w:pPr>
          </w:p>
        </w:tc>
        <w:tc>
          <w:tcPr>
            <w:tcW w:w="4876" w:type="dxa"/>
            <w:tcBorders>
              <w:top w:val="nil"/>
              <w:left w:val="nil"/>
              <w:bottom w:val="nil"/>
              <w:right w:val="nil"/>
            </w:tcBorders>
          </w:tcPr>
          <w:p w14:paraId="78957F95" w14:textId="3A1F513C" w:rsidR="00AB098C" w:rsidRPr="00A46B6B" w:rsidRDefault="00CD2C46">
            <w:pPr>
              <w:pStyle w:val="Normal6a"/>
            </w:pPr>
            <w:r w:rsidRPr="00A46B6B">
              <w:rPr>
                <w:b/>
                <w:i/>
              </w:rPr>
              <w:t>2a.</w:t>
            </w:r>
            <w:r w:rsidRPr="00A46B6B">
              <w:tab/>
            </w:r>
            <w:r w:rsidRPr="00A46B6B">
              <w:rPr>
                <w:b/>
                <w:i/>
              </w:rPr>
              <w:t>beklager, at ikke alle medlemsstater deltager i EPPO, hvilket skaber håndhævelsesmangler, der svækker EU's evne til at beskytte sine finansielle interesser på et ensartet grundlag; bemærker, at EPPO udstedte et betydeligt antal europæiske efterforskningskendelser og anmodninger om gensidig retshjælp, der involverede ikkedeltagende medlemsstater i 2024, hvilket skabte yderligere proceduremæssige byrder og risikerede at føre til tab af bevismateriale; gentager opfordringen til alle resterende ikkedeltagende medlemsstater om at tilslutte sig EPPO uden yderligere forsinkelse;</w:t>
            </w:r>
          </w:p>
        </w:tc>
      </w:tr>
    </w:tbl>
    <w:p w14:paraId="02F244F9"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234CC38C"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52F6A974"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53</w:t>
      </w:r>
      <w:r w:rsidRPr="00A46B6B">
        <w:rPr>
          <w:rStyle w:val="HideTWBExt"/>
        </w:rPr>
        <w:t>&lt;/NumAm&gt;</w:t>
      </w:r>
    </w:p>
    <w:p w14:paraId="5BCF9E95"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53</w:t>
      </w:r>
      <w:r w:rsidRPr="00A46B6B">
        <w:rPr>
          <w:rStyle w:val="HideTWBExt"/>
        </w:rPr>
        <w:t>&lt;/NumAm&gt;</w:t>
      </w:r>
    </w:p>
    <w:p w14:paraId="470392FE"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6F2B0472"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60567203" w14:textId="77777777" w:rsidR="00AB098C" w:rsidRPr="00A46B6B" w:rsidRDefault="00CD2C46">
      <w:pPr>
        <w:pStyle w:val="NormalBold"/>
      </w:pPr>
      <w:r w:rsidRPr="00A46B6B">
        <w:rPr>
          <w:rStyle w:val="HideTWBExt"/>
          <w:b w:val="0"/>
        </w:rPr>
        <w:t>&lt;/By&gt;&lt;/RepeatBlock-By&gt;</w:t>
      </w:r>
    </w:p>
    <w:p w14:paraId="6F60CCCE"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6F9DF45E"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19B4ABF8" w14:textId="5CA79DD2"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4335F946"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08A8C468"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4D837251" w14:textId="77777777" w:rsidR="00AB098C" w:rsidRPr="00A46B6B" w:rsidRDefault="00CD2C46">
      <w:pPr>
        <w:pStyle w:val="NormalBold"/>
      </w:pPr>
      <w:r w:rsidRPr="00A46B6B">
        <w:rPr>
          <w:rStyle w:val="HideTWBExt"/>
        </w:rPr>
        <w:t>&lt;Article&gt;</w:t>
      </w:r>
      <w:r w:rsidRPr="00A46B6B">
        <w:t>Punkt 3</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A46B6B" w:rsidRDefault="00AB098C"/>
        </w:tc>
      </w:tr>
      <w:tr w:rsidR="00BF3568" w:rsidRPr="00A46B6B" w14:paraId="4A9D3AC4" w14:textId="77777777">
        <w:trPr>
          <w:trHeight w:val="240"/>
          <w:jc w:val="center"/>
        </w:trPr>
        <w:tc>
          <w:tcPr>
            <w:tcW w:w="4876" w:type="dxa"/>
            <w:tcBorders>
              <w:top w:val="nil"/>
              <w:left w:val="nil"/>
              <w:bottom w:val="nil"/>
              <w:right w:val="nil"/>
            </w:tcBorders>
          </w:tcPr>
          <w:p w14:paraId="077A804A"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01984BB6" w14:textId="77777777" w:rsidR="00AB098C" w:rsidRPr="00A46B6B" w:rsidRDefault="00CD2C46">
            <w:pPr>
              <w:pStyle w:val="AmColumnHeading"/>
            </w:pPr>
            <w:r w:rsidRPr="00A46B6B">
              <w:t>Ændringsforslag</w:t>
            </w:r>
          </w:p>
        </w:tc>
      </w:tr>
      <w:tr w:rsidR="00BF3568" w:rsidRPr="00A46B6B" w14:paraId="461AF8AA" w14:textId="77777777">
        <w:trPr>
          <w:jc w:val="center"/>
        </w:trPr>
        <w:tc>
          <w:tcPr>
            <w:tcW w:w="4876" w:type="dxa"/>
            <w:tcBorders>
              <w:top w:val="nil"/>
              <w:left w:val="nil"/>
              <w:bottom w:val="nil"/>
              <w:right w:val="nil"/>
            </w:tcBorders>
          </w:tcPr>
          <w:p w14:paraId="0CE44D25" w14:textId="339AE777" w:rsidR="00AB098C" w:rsidRPr="00A46B6B" w:rsidRDefault="00CD2C46">
            <w:pPr>
              <w:pStyle w:val="Normal6a"/>
            </w:pPr>
            <w:r w:rsidRPr="00A46B6B">
              <w:t>3.</w:t>
            </w:r>
            <w:r w:rsidRPr="00A46B6B">
              <w:tab/>
              <w:t xml:space="preserve">understreger, at retsstatsprincippet er en hjørnesten i EU og er afgørende for at beskytte EU's finansielle interesser i alle medlemsstater; understreger, at konditionalitetsmekanismen vedrørende retsstatsprincippet skal anvendes, når overtrædelser </w:t>
            </w:r>
            <w:r w:rsidRPr="00A46B6B">
              <w:rPr>
                <w:b/>
                <w:i/>
              </w:rPr>
              <w:t>direkte</w:t>
            </w:r>
            <w:r w:rsidRPr="00A46B6B">
              <w:t xml:space="preserve"> påvirker EU-budgettet; understreger, at beslutninger om at beskytte EU's finansielle interesser skal være baseret på tekniske og juridiske resultater; opfordrer Kommissionen til at sikre en konsekvent og forholdsmæssig anvendelse af mekanismen, samtidig med at medlemsstaternes primære ansvar for at opretholde retsstatsprincippet og sikre sammenhæng på tværs af EU-instrumenter respekteres;</w:t>
            </w:r>
          </w:p>
        </w:tc>
        <w:tc>
          <w:tcPr>
            <w:tcW w:w="4876" w:type="dxa"/>
            <w:tcBorders>
              <w:top w:val="nil"/>
              <w:left w:val="nil"/>
              <w:bottom w:val="nil"/>
              <w:right w:val="nil"/>
            </w:tcBorders>
          </w:tcPr>
          <w:p w14:paraId="2D703E83" w14:textId="077BD94F" w:rsidR="00AB098C" w:rsidRPr="00A46B6B" w:rsidRDefault="00CD2C46">
            <w:pPr>
              <w:pStyle w:val="Normal6a"/>
            </w:pPr>
            <w:r w:rsidRPr="00A46B6B">
              <w:t>3.</w:t>
            </w:r>
            <w:r w:rsidRPr="00A46B6B">
              <w:tab/>
              <w:t xml:space="preserve">understreger, at retsstatsprincippet er en hjørnesten i EU og er afgørende for at beskytte EU's finansielle interesser i alle medlemsstater; understreger, at konditionalitetsmekanismen vedrørende retsstatsprincippet skal anvendes, når overtrædelser </w:t>
            </w:r>
            <w:r w:rsidRPr="00A46B6B">
              <w:rPr>
                <w:b/>
                <w:i/>
              </w:rPr>
              <w:t>af retsvæsenets uafhængighed, anklagemyndighedens kapacitet, ansvarlighed eller gennemsigtighed</w:t>
            </w:r>
            <w:r w:rsidRPr="00A46B6B">
              <w:t xml:space="preserve"> påvirker </w:t>
            </w:r>
            <w:r w:rsidRPr="00A46B6B">
              <w:rPr>
                <w:b/>
                <w:i/>
              </w:rPr>
              <w:t>eller risikerer at påvirke den forsvarlige økonomiske forvaltning af</w:t>
            </w:r>
            <w:r w:rsidRPr="00A46B6B">
              <w:t xml:space="preserve"> EU-budgettet </w:t>
            </w:r>
            <w:r w:rsidRPr="00A46B6B">
              <w:rPr>
                <w:b/>
                <w:i/>
              </w:rPr>
              <w:t>i overensstemmelse med Domstolens faste praksis</w:t>
            </w:r>
            <w:r w:rsidRPr="00A46B6B">
              <w:t>; understreger, at beslutninger om at beskytte EU's finansielle interesser skal være baseret på tekniske og juridiske resultater; opfordrer Kommissionen til at sikre en konsekvent og forholdsmæssig anvendelse af mekanismen, samtidig med at medlemsstaternes primære ansvar for at opretholde retsstatsprincippet og sikre sammenhæng på tværs af EU-instrumenter respekteres;</w:t>
            </w:r>
          </w:p>
        </w:tc>
      </w:tr>
    </w:tbl>
    <w:p w14:paraId="13C259C4"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21FA7D09"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219B8B07"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54</w:t>
      </w:r>
      <w:r w:rsidRPr="00A46B6B">
        <w:rPr>
          <w:rStyle w:val="HideTWBExt"/>
        </w:rPr>
        <w:t>&lt;/NumAm&gt;</w:t>
      </w:r>
    </w:p>
    <w:p w14:paraId="67314D54"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54</w:t>
      </w:r>
      <w:r w:rsidRPr="00A46B6B">
        <w:rPr>
          <w:rStyle w:val="HideTWBExt"/>
        </w:rPr>
        <w:t>&lt;/NumAm&gt;</w:t>
      </w:r>
    </w:p>
    <w:p w14:paraId="69707BC9"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1B49B9EB"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766E356C" w14:textId="77777777" w:rsidR="00AB098C" w:rsidRPr="00A46B6B" w:rsidRDefault="00CD2C46">
      <w:pPr>
        <w:pStyle w:val="NormalBold"/>
      </w:pPr>
      <w:r w:rsidRPr="00A46B6B">
        <w:rPr>
          <w:rStyle w:val="HideTWBExt"/>
          <w:b w:val="0"/>
        </w:rPr>
        <w:t>&lt;/By&gt;&lt;/RepeatBlock-By&gt;</w:t>
      </w:r>
    </w:p>
    <w:p w14:paraId="7D047441"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2EECE3EA"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50F05D0D" w14:textId="50C0726E"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302E9BC8"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071B1C41"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36179FDD" w14:textId="77777777" w:rsidR="00AB098C" w:rsidRPr="00A46B6B" w:rsidRDefault="00CD2C46">
      <w:pPr>
        <w:pStyle w:val="NormalBold"/>
      </w:pPr>
      <w:r w:rsidRPr="00A46B6B">
        <w:rPr>
          <w:rStyle w:val="HideTWBExt"/>
        </w:rPr>
        <w:t>&lt;Article&gt;</w:t>
      </w:r>
      <w:r w:rsidRPr="00A46B6B">
        <w:t>Punkt 3 a (nyt)</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A46B6B" w:rsidRDefault="00AB098C"/>
        </w:tc>
      </w:tr>
      <w:tr w:rsidR="00BF3568" w:rsidRPr="00A46B6B" w14:paraId="5BFEF2D6" w14:textId="77777777">
        <w:trPr>
          <w:trHeight w:val="240"/>
          <w:jc w:val="center"/>
        </w:trPr>
        <w:tc>
          <w:tcPr>
            <w:tcW w:w="4876" w:type="dxa"/>
            <w:tcBorders>
              <w:top w:val="nil"/>
              <w:left w:val="nil"/>
              <w:bottom w:val="nil"/>
              <w:right w:val="nil"/>
            </w:tcBorders>
          </w:tcPr>
          <w:p w14:paraId="5F59DC8D"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156EF022" w14:textId="77777777" w:rsidR="00AB098C" w:rsidRPr="00A46B6B" w:rsidRDefault="00CD2C46">
            <w:pPr>
              <w:pStyle w:val="AmColumnHeading"/>
            </w:pPr>
            <w:r w:rsidRPr="00A46B6B">
              <w:t>Ændringsforslag</w:t>
            </w:r>
          </w:p>
        </w:tc>
      </w:tr>
      <w:tr w:rsidR="00BF3568" w:rsidRPr="00A46B6B" w14:paraId="4ADC2E69" w14:textId="77777777">
        <w:trPr>
          <w:jc w:val="center"/>
        </w:trPr>
        <w:tc>
          <w:tcPr>
            <w:tcW w:w="4876" w:type="dxa"/>
            <w:tcBorders>
              <w:top w:val="nil"/>
              <w:left w:val="nil"/>
              <w:bottom w:val="nil"/>
              <w:right w:val="nil"/>
            </w:tcBorders>
          </w:tcPr>
          <w:p w14:paraId="5EB6D534" w14:textId="77777777" w:rsidR="00AB098C" w:rsidRPr="00A46B6B" w:rsidRDefault="00AB098C">
            <w:pPr>
              <w:pStyle w:val="Normal6a"/>
            </w:pPr>
          </w:p>
        </w:tc>
        <w:tc>
          <w:tcPr>
            <w:tcW w:w="4876" w:type="dxa"/>
            <w:tcBorders>
              <w:top w:val="nil"/>
              <w:left w:val="nil"/>
              <w:bottom w:val="nil"/>
              <w:right w:val="nil"/>
            </w:tcBorders>
          </w:tcPr>
          <w:p w14:paraId="271E2773" w14:textId="583C3293" w:rsidR="00AB098C" w:rsidRPr="00A46B6B" w:rsidRDefault="00CD2C46">
            <w:pPr>
              <w:pStyle w:val="Normal6a"/>
            </w:pPr>
            <w:r w:rsidRPr="00A46B6B">
              <w:rPr>
                <w:b/>
                <w:i/>
              </w:rPr>
              <w:t>3a.</w:t>
            </w:r>
            <w:r w:rsidRPr="00A46B6B">
              <w:tab/>
            </w:r>
            <w:r w:rsidRPr="00A46B6B">
              <w:rPr>
                <w:b/>
                <w:i/>
              </w:rPr>
              <w:t>bemærker med alvorlig bekymring den fortsatte forværring af retsstatsprincippet i visse medlemsstater, navnlig i Ungarn, hvor der gentagne gange er blevet konstateret systemiske risici for Unionens finansielle interesser, herunder af Den Europæiske Revisionsret, OLAF og EPPO; minder om, at Rådet i december 2022 suspenderede 6,3 mia. EUR i samhørighedsmidler til Ungarn i henhold til forordningen om konditionalitet, og at betydelige beløb fortsat er indefrosset på grund af uløste bekymringer med hensyn til offentlige udbud og rammer for bekæmpelse af korruption; understreger, at disse resultater ikke er politiske, men baseret på objektive, dokumenterede og gentagne gange verificerede beviser; gentager, at konditionalitet vedrørende retsstatsprincippet ikke er et politisk instrument, men en sikkerhedsforanstaltning for Unionens budget, der skal anvendes konsekvent, når der opstår risici;</w:t>
            </w:r>
          </w:p>
        </w:tc>
      </w:tr>
    </w:tbl>
    <w:p w14:paraId="7BED3E7E"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57836B7F"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67BFCD90"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55</w:t>
      </w:r>
      <w:r w:rsidRPr="00A46B6B">
        <w:rPr>
          <w:rStyle w:val="HideTWBExt"/>
        </w:rPr>
        <w:t>&lt;/NumAm&gt;</w:t>
      </w:r>
    </w:p>
    <w:p w14:paraId="443DF2C4"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55</w:t>
      </w:r>
      <w:r w:rsidRPr="00A46B6B">
        <w:rPr>
          <w:rStyle w:val="HideTWBExt"/>
        </w:rPr>
        <w:t>&lt;/NumAm&gt;</w:t>
      </w:r>
    </w:p>
    <w:p w14:paraId="179720CC"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1BD1F28D"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6052C6CA" w14:textId="77777777" w:rsidR="00AB098C" w:rsidRPr="00A46B6B" w:rsidRDefault="00CD2C46">
      <w:pPr>
        <w:pStyle w:val="NormalBold"/>
      </w:pPr>
      <w:r w:rsidRPr="00A46B6B">
        <w:rPr>
          <w:rStyle w:val="HideTWBExt"/>
          <w:b w:val="0"/>
        </w:rPr>
        <w:t>&lt;/By&gt;&lt;/RepeatBlock-By&gt;</w:t>
      </w:r>
    </w:p>
    <w:p w14:paraId="62A11CBB"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59D81A9B"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5281A2FF" w14:textId="2D351118"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5256DFAF"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69D02E9D"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72992868" w14:textId="77777777" w:rsidR="00AB098C" w:rsidRPr="00A46B6B" w:rsidRDefault="00CD2C46">
      <w:pPr>
        <w:pStyle w:val="NormalBold"/>
      </w:pPr>
      <w:r w:rsidRPr="00A46B6B">
        <w:rPr>
          <w:rStyle w:val="HideTWBExt"/>
        </w:rPr>
        <w:t>&lt;Article&gt;</w:t>
      </w:r>
      <w:r w:rsidRPr="00A46B6B">
        <w:t>Punkt 25 a (nyt)</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A46B6B" w:rsidRDefault="00AB098C"/>
        </w:tc>
      </w:tr>
      <w:tr w:rsidR="00BF3568" w:rsidRPr="00A46B6B" w14:paraId="69E23460" w14:textId="77777777">
        <w:trPr>
          <w:trHeight w:val="240"/>
          <w:jc w:val="center"/>
        </w:trPr>
        <w:tc>
          <w:tcPr>
            <w:tcW w:w="4876" w:type="dxa"/>
            <w:tcBorders>
              <w:top w:val="nil"/>
              <w:left w:val="nil"/>
              <w:bottom w:val="nil"/>
              <w:right w:val="nil"/>
            </w:tcBorders>
          </w:tcPr>
          <w:p w14:paraId="0B6AFD80"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228BD7CA" w14:textId="77777777" w:rsidR="00AB098C" w:rsidRPr="00A46B6B" w:rsidRDefault="00CD2C46">
            <w:pPr>
              <w:pStyle w:val="AmColumnHeading"/>
            </w:pPr>
            <w:r w:rsidRPr="00A46B6B">
              <w:t>Ændringsforslag</w:t>
            </w:r>
          </w:p>
        </w:tc>
      </w:tr>
      <w:tr w:rsidR="00BF3568" w:rsidRPr="00A46B6B" w14:paraId="4CCF76E6" w14:textId="77777777">
        <w:trPr>
          <w:jc w:val="center"/>
        </w:trPr>
        <w:tc>
          <w:tcPr>
            <w:tcW w:w="4876" w:type="dxa"/>
            <w:tcBorders>
              <w:top w:val="nil"/>
              <w:left w:val="nil"/>
              <w:bottom w:val="nil"/>
              <w:right w:val="nil"/>
            </w:tcBorders>
          </w:tcPr>
          <w:p w14:paraId="26003878" w14:textId="77777777" w:rsidR="00AB098C" w:rsidRPr="00A46B6B" w:rsidRDefault="00AB098C">
            <w:pPr>
              <w:pStyle w:val="Normal6a"/>
            </w:pPr>
          </w:p>
        </w:tc>
        <w:tc>
          <w:tcPr>
            <w:tcW w:w="4876" w:type="dxa"/>
            <w:tcBorders>
              <w:top w:val="nil"/>
              <w:left w:val="nil"/>
              <w:bottom w:val="nil"/>
              <w:right w:val="nil"/>
            </w:tcBorders>
          </w:tcPr>
          <w:p w14:paraId="71831527" w14:textId="0CB06975" w:rsidR="00AB098C" w:rsidRPr="00A46B6B" w:rsidRDefault="00CD2C46">
            <w:pPr>
              <w:pStyle w:val="Normal6a"/>
            </w:pPr>
            <w:r w:rsidRPr="00A46B6B">
              <w:rPr>
                <w:b/>
                <w:i/>
              </w:rPr>
              <w:t>25a.</w:t>
            </w:r>
            <w:r w:rsidRPr="00A46B6B">
              <w:tab/>
            </w:r>
            <w:r w:rsidRPr="00A46B6B">
              <w:rPr>
                <w:b/>
                <w:i/>
              </w:rPr>
              <w:t>anerkender den afgørende rolle, som civilsamfundsorganisationer, ikkestatslige organisationer og fagforeninger spiller med hensyn til at overvåge anvendelsen af EU-midler, indberette mistanke om svig, støtte whistleblowere og foretage uafhængig kontrol, der supplerer arbejdet i EU's organer til bekæmpelse af svig; afviser ethvert forsøg på at instrumentalisere bekymringer over ikkestatslige organisationers anvendelse af EU-midler til at retfærdiggøre generelle restriktioner for civilsamfundet; minder om, at uforholdsmæssige restriktioner for civilsamfundsorganisationer i sig selv er et rødt flag for forringelsen af retsstatsprincippet;</w:t>
            </w:r>
          </w:p>
        </w:tc>
      </w:tr>
    </w:tbl>
    <w:p w14:paraId="4E11279A"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032914D1"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5A104F8B"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56</w:t>
      </w:r>
      <w:r w:rsidRPr="00A46B6B">
        <w:rPr>
          <w:rStyle w:val="HideTWBExt"/>
        </w:rPr>
        <w:t>&lt;/NumAm&gt;</w:t>
      </w:r>
    </w:p>
    <w:p w14:paraId="3EC87B7D"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56</w:t>
      </w:r>
      <w:r w:rsidRPr="00A46B6B">
        <w:rPr>
          <w:rStyle w:val="HideTWBExt"/>
        </w:rPr>
        <w:t>&lt;/NumAm&gt;</w:t>
      </w:r>
    </w:p>
    <w:p w14:paraId="2C363BC9"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37A04B89"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1B7EA57B" w14:textId="77777777" w:rsidR="00AB098C" w:rsidRPr="00A46B6B" w:rsidRDefault="00CD2C46">
      <w:pPr>
        <w:pStyle w:val="NormalBold"/>
      </w:pPr>
      <w:r w:rsidRPr="00A46B6B">
        <w:rPr>
          <w:rStyle w:val="HideTWBExt"/>
          <w:b w:val="0"/>
        </w:rPr>
        <w:t>&lt;/By&gt;&lt;/RepeatBlock-By&gt;</w:t>
      </w:r>
    </w:p>
    <w:p w14:paraId="649F29F0"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4918B640"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54149BD3" w14:textId="37F21427"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35AAE10B"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77883258"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3F004185" w14:textId="77777777" w:rsidR="00AB098C" w:rsidRPr="00A46B6B" w:rsidRDefault="00CD2C46">
      <w:pPr>
        <w:pStyle w:val="NormalBold"/>
      </w:pPr>
      <w:r w:rsidRPr="00A46B6B">
        <w:rPr>
          <w:rStyle w:val="HideTWBExt"/>
        </w:rPr>
        <w:t>&lt;Article&gt;</w:t>
      </w:r>
      <w:r w:rsidRPr="00A46B6B">
        <w:t>Punkt 43 a (nyt)</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A46B6B" w:rsidRDefault="00AB098C"/>
        </w:tc>
      </w:tr>
      <w:tr w:rsidR="00BF3568" w:rsidRPr="00A46B6B" w14:paraId="6AA85220" w14:textId="77777777">
        <w:trPr>
          <w:trHeight w:val="240"/>
          <w:jc w:val="center"/>
        </w:trPr>
        <w:tc>
          <w:tcPr>
            <w:tcW w:w="4876" w:type="dxa"/>
            <w:tcBorders>
              <w:top w:val="nil"/>
              <w:left w:val="nil"/>
              <w:bottom w:val="nil"/>
              <w:right w:val="nil"/>
            </w:tcBorders>
          </w:tcPr>
          <w:p w14:paraId="595F1F88"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314978B4" w14:textId="77777777" w:rsidR="00AB098C" w:rsidRPr="00A46B6B" w:rsidRDefault="00CD2C46">
            <w:pPr>
              <w:pStyle w:val="AmColumnHeading"/>
            </w:pPr>
            <w:r w:rsidRPr="00A46B6B">
              <w:t>Ændringsforslag</w:t>
            </w:r>
          </w:p>
        </w:tc>
      </w:tr>
      <w:tr w:rsidR="00BF3568" w:rsidRPr="00A46B6B" w14:paraId="540177D3" w14:textId="77777777">
        <w:trPr>
          <w:jc w:val="center"/>
        </w:trPr>
        <w:tc>
          <w:tcPr>
            <w:tcW w:w="4876" w:type="dxa"/>
            <w:tcBorders>
              <w:top w:val="nil"/>
              <w:left w:val="nil"/>
              <w:bottom w:val="nil"/>
              <w:right w:val="nil"/>
            </w:tcBorders>
          </w:tcPr>
          <w:p w14:paraId="5663936E" w14:textId="77777777" w:rsidR="00AB098C" w:rsidRPr="00A46B6B" w:rsidRDefault="00AB098C">
            <w:pPr>
              <w:pStyle w:val="Normal6a"/>
            </w:pPr>
          </w:p>
        </w:tc>
        <w:tc>
          <w:tcPr>
            <w:tcW w:w="4876" w:type="dxa"/>
            <w:tcBorders>
              <w:top w:val="nil"/>
              <w:left w:val="nil"/>
              <w:bottom w:val="nil"/>
              <w:right w:val="nil"/>
            </w:tcBorders>
          </w:tcPr>
          <w:p w14:paraId="451BBBD3" w14:textId="37E9973A" w:rsidR="00AB098C" w:rsidRPr="00A46B6B" w:rsidRDefault="00CD2C46">
            <w:pPr>
              <w:pStyle w:val="Normal6a"/>
            </w:pPr>
            <w:r w:rsidRPr="00A46B6B">
              <w:rPr>
                <w:b/>
                <w:i/>
              </w:rPr>
              <w:t>43a.</w:t>
            </w:r>
            <w:r w:rsidRPr="00A46B6B">
              <w:tab/>
            </w:r>
            <w:r w:rsidRPr="00A46B6B">
              <w:rPr>
                <w:b/>
                <w:i/>
              </w:rPr>
              <w:t>understreger, at AI-baserede desinformationskampagner rettet mod EU-institutionerne, herunder koordineret indhold, der har til formål at undergrave tilliden til organer til bekæmpelse af svig, Unionens budget og retsstatsprincippet, udgør en direkte risiko for Unionens finansielle interesser ved at udhule offentlighedens støtte til beskyttelsesmekanismer og ved at dække over svigagtig praksis; opfordrer Kommissionen til i samarbejde med OLAF, EPPO og Europol at udvikle EU-dækkende kapacitet til at opdage, dokumentere og bekæmpe AI-baserede desinformationskampagner rettet mod Unionens finansielle forvaltning;</w:t>
            </w:r>
          </w:p>
        </w:tc>
      </w:tr>
    </w:tbl>
    <w:p w14:paraId="575EC240"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694F00F7"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16E4FD44"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57</w:t>
      </w:r>
      <w:r w:rsidRPr="00A46B6B">
        <w:rPr>
          <w:rStyle w:val="HideTWBExt"/>
        </w:rPr>
        <w:t>&lt;/NumAm&gt;</w:t>
      </w:r>
    </w:p>
    <w:p w14:paraId="69D4E501"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57</w:t>
      </w:r>
      <w:r w:rsidRPr="00A46B6B">
        <w:rPr>
          <w:rStyle w:val="HideTWBExt"/>
        </w:rPr>
        <w:t>&lt;/NumAm&gt;</w:t>
      </w:r>
    </w:p>
    <w:p w14:paraId="27624642"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002E253A"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0556CDFB" w14:textId="77777777" w:rsidR="00AB098C" w:rsidRPr="00A46B6B" w:rsidRDefault="00CD2C46">
      <w:pPr>
        <w:pStyle w:val="NormalBold"/>
      </w:pPr>
      <w:r w:rsidRPr="00A46B6B">
        <w:rPr>
          <w:rStyle w:val="HideTWBExt"/>
          <w:b w:val="0"/>
        </w:rPr>
        <w:t>&lt;/By&gt;&lt;/RepeatBlock-By&gt;</w:t>
      </w:r>
    </w:p>
    <w:p w14:paraId="6E28DA98"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3056DB36"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0F248029" w14:textId="2567AF97"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06555AB2"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1385222D"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757CE512" w14:textId="77777777" w:rsidR="00AB098C" w:rsidRPr="00A46B6B" w:rsidRDefault="00CD2C46">
      <w:pPr>
        <w:pStyle w:val="NormalBold"/>
      </w:pPr>
      <w:r w:rsidRPr="00A46B6B">
        <w:rPr>
          <w:rStyle w:val="HideTWBExt"/>
        </w:rPr>
        <w:t>&lt;Article&gt;</w:t>
      </w:r>
      <w:r w:rsidRPr="00A46B6B">
        <w:t>Punkt 53</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A46B6B" w:rsidRDefault="00AB098C"/>
        </w:tc>
      </w:tr>
      <w:tr w:rsidR="00BF3568" w:rsidRPr="00A46B6B" w14:paraId="35E7FF05" w14:textId="77777777">
        <w:trPr>
          <w:trHeight w:val="240"/>
          <w:jc w:val="center"/>
        </w:trPr>
        <w:tc>
          <w:tcPr>
            <w:tcW w:w="4876" w:type="dxa"/>
            <w:tcBorders>
              <w:top w:val="nil"/>
              <w:left w:val="nil"/>
              <w:bottom w:val="nil"/>
              <w:right w:val="nil"/>
            </w:tcBorders>
          </w:tcPr>
          <w:p w14:paraId="5B3B82EC"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151A8834" w14:textId="77777777" w:rsidR="00AB098C" w:rsidRPr="00A46B6B" w:rsidRDefault="00CD2C46">
            <w:pPr>
              <w:pStyle w:val="AmColumnHeading"/>
            </w:pPr>
            <w:r w:rsidRPr="00A46B6B">
              <w:t>Ændringsforslag</w:t>
            </w:r>
          </w:p>
        </w:tc>
      </w:tr>
      <w:tr w:rsidR="00BF3568" w:rsidRPr="00A46B6B" w14:paraId="143B3E26" w14:textId="77777777">
        <w:trPr>
          <w:jc w:val="center"/>
        </w:trPr>
        <w:tc>
          <w:tcPr>
            <w:tcW w:w="4876" w:type="dxa"/>
            <w:tcBorders>
              <w:top w:val="nil"/>
              <w:left w:val="nil"/>
              <w:bottom w:val="nil"/>
              <w:right w:val="nil"/>
            </w:tcBorders>
          </w:tcPr>
          <w:p w14:paraId="202F2B46" w14:textId="77777777" w:rsidR="00AB098C" w:rsidRPr="00A46B6B" w:rsidRDefault="00CD2C46">
            <w:pPr>
              <w:pStyle w:val="Normal6a"/>
            </w:pPr>
            <w:r w:rsidRPr="00A46B6B">
              <w:t>53.</w:t>
            </w:r>
            <w:r w:rsidRPr="00A46B6B">
              <w:tab/>
              <w:t xml:space="preserve">minder om, at den budgetmæssige konditionalitetsmekanisme, der er oprettet ved forordningen om konditionalitet, er et retligt reguleret redskab til at forebygge risikoen for skade på EU-budgettet; </w:t>
            </w:r>
            <w:r w:rsidRPr="00A46B6B">
              <w:rPr>
                <w:b/>
                <w:i/>
              </w:rPr>
              <w:t>bemærker</w:t>
            </w:r>
            <w:r w:rsidRPr="00A46B6B">
              <w:t xml:space="preserve">, at </w:t>
            </w:r>
            <w:r w:rsidRPr="00A46B6B">
              <w:rPr>
                <w:b/>
                <w:i/>
              </w:rPr>
              <w:t>anvendelsen heraf imidlertid kun kan begrundes, hvis</w:t>
            </w:r>
            <w:r w:rsidRPr="00A46B6B">
              <w:t xml:space="preserve"> der </w:t>
            </w:r>
            <w:r w:rsidRPr="00A46B6B">
              <w:rPr>
                <w:b/>
                <w:i/>
              </w:rPr>
              <w:t>er en direkte</w:t>
            </w:r>
            <w:r w:rsidRPr="00A46B6B">
              <w:t xml:space="preserve">, </w:t>
            </w:r>
            <w:r w:rsidRPr="00A46B6B">
              <w:rPr>
                <w:b/>
                <w:i/>
              </w:rPr>
              <w:t>reel og påvist forbindelse mellem de konstaterede mangler og skaden på EU's</w:t>
            </w:r>
            <w:r w:rsidRPr="00A46B6B">
              <w:t xml:space="preserve"> finansielle interesser;</w:t>
            </w:r>
            <w:r w:rsidRPr="00A46B6B">
              <w:rPr>
                <w:b/>
                <w:i/>
              </w:rPr>
              <w:t xml:space="preserve"> udtrykker bekymring over</w:t>
            </w:r>
            <w:r w:rsidRPr="00A46B6B">
              <w:t xml:space="preserve">, at </w:t>
            </w:r>
            <w:r w:rsidRPr="00A46B6B">
              <w:rPr>
                <w:b/>
                <w:i/>
              </w:rPr>
              <w:t>enhver udvidelse</w:t>
            </w:r>
            <w:r w:rsidRPr="00A46B6B">
              <w:t xml:space="preserve"> af dens anvendelsesområde </w:t>
            </w:r>
            <w:r w:rsidRPr="00A46B6B">
              <w:rPr>
                <w:b/>
                <w:i/>
              </w:rPr>
              <w:t>ud over dette budgetformål ville være i strid med traktaternes ånd og proportionalitetsprincippet</w:t>
            </w:r>
            <w:r w:rsidRPr="00A46B6B">
              <w:t xml:space="preserve">; minder om, at legitimiteten af denne mekanisme er baseret på </w:t>
            </w:r>
            <w:r w:rsidRPr="00A46B6B">
              <w:rPr>
                <w:b/>
                <w:i/>
              </w:rPr>
              <w:t>en strengt</w:t>
            </w:r>
            <w:r w:rsidRPr="00A46B6B">
              <w:t xml:space="preserve"> objektiv anvendelse</w:t>
            </w:r>
            <w:r w:rsidRPr="00A46B6B">
              <w:rPr>
                <w:b/>
                <w:i/>
              </w:rPr>
              <w:t>, der er fri for politiske overvejelser og respekterer ligebehandling mellem medlemsstaterne; bemærker, at gennemførelsen heraf har skabt praktiske og operationelle udfordringer som fremhævet i Revisionsrettens særberetning 03/2024 om retsstatsprincippet i EU</w:t>
            </w:r>
            <w:r w:rsidRPr="00A46B6B">
              <w:t xml:space="preserve">; opfordrer Kommissionen til at anvende </w:t>
            </w:r>
            <w:r w:rsidRPr="00A46B6B">
              <w:rPr>
                <w:b/>
                <w:i/>
              </w:rPr>
              <w:t>mekanismen</w:t>
            </w:r>
            <w:r w:rsidRPr="00A46B6B">
              <w:t xml:space="preserve"> konsekvent og </w:t>
            </w:r>
            <w:r w:rsidRPr="00A46B6B">
              <w:rPr>
                <w:b/>
                <w:i/>
              </w:rPr>
              <w:t>gennemsigtigt på grundlag</w:t>
            </w:r>
            <w:r w:rsidRPr="00A46B6B">
              <w:t xml:space="preserve"> af </w:t>
            </w:r>
            <w:r w:rsidRPr="00A46B6B">
              <w:rPr>
                <w:b/>
                <w:i/>
              </w:rPr>
              <w:t>objektive beviser</w:t>
            </w:r>
            <w:r w:rsidRPr="00A46B6B">
              <w:t>;</w:t>
            </w:r>
          </w:p>
        </w:tc>
        <w:tc>
          <w:tcPr>
            <w:tcW w:w="4876" w:type="dxa"/>
            <w:tcBorders>
              <w:top w:val="nil"/>
              <w:left w:val="nil"/>
              <w:bottom w:val="nil"/>
              <w:right w:val="nil"/>
            </w:tcBorders>
          </w:tcPr>
          <w:p w14:paraId="4C9BE8B5" w14:textId="33A03B6B" w:rsidR="00AB098C" w:rsidRPr="00A46B6B" w:rsidRDefault="00CD2C46">
            <w:pPr>
              <w:pStyle w:val="Normal6a"/>
            </w:pPr>
            <w:r w:rsidRPr="00A46B6B">
              <w:t>53.</w:t>
            </w:r>
            <w:r w:rsidRPr="00A46B6B">
              <w:tab/>
              <w:t xml:space="preserve">minder om, at den budgetmæssige konditionalitetsmekanisme, der er oprettet ved forordningen om konditionalitet, er et retligt reguleret redskab til at forebygge risikoen for skade på EU-budgettet; </w:t>
            </w:r>
            <w:r w:rsidRPr="00A46B6B">
              <w:rPr>
                <w:b/>
                <w:i/>
              </w:rPr>
              <w:t>minder om</w:t>
            </w:r>
            <w:r w:rsidRPr="00A46B6B">
              <w:t xml:space="preserve">, at </w:t>
            </w:r>
            <w:r w:rsidRPr="00A46B6B">
              <w:rPr>
                <w:b/>
                <w:i/>
              </w:rPr>
              <w:t>forordningen om konditionalitet er en budgetmæssig sikkerhedsforanstaltning,</w:t>
            </w:r>
            <w:r w:rsidRPr="00A46B6B">
              <w:t xml:space="preserve"> der </w:t>
            </w:r>
            <w:r w:rsidRPr="00A46B6B">
              <w:rPr>
                <w:b/>
                <w:i/>
              </w:rPr>
              <w:t>har til formål at beskytte Unionens budget</w:t>
            </w:r>
            <w:r w:rsidRPr="00A46B6B">
              <w:t xml:space="preserve">, </w:t>
            </w:r>
            <w:r w:rsidRPr="00A46B6B">
              <w:rPr>
                <w:b/>
                <w:i/>
              </w:rPr>
              <w:t>når tilsidesættelser af retsstatsprincippet påvirker eller udgør en alvorlig risiko for at påvirke den forsvarlige økonomiske forvaltning af Unionens</w:t>
            </w:r>
            <w:r w:rsidRPr="00A46B6B">
              <w:t xml:space="preserve"> finansielle interesser;</w:t>
            </w:r>
            <w:r w:rsidRPr="00A46B6B">
              <w:rPr>
                <w:b/>
                <w:i/>
              </w:rPr>
              <w:t xml:space="preserve"> minder om</w:t>
            </w:r>
            <w:r w:rsidRPr="00A46B6B">
              <w:t xml:space="preserve">, at </w:t>
            </w:r>
            <w:r w:rsidRPr="00A46B6B">
              <w:rPr>
                <w:b/>
                <w:i/>
              </w:rPr>
              <w:t>Domstolen i sag C-156/21 og C-157/21 bekræftede lovligheden</w:t>
            </w:r>
            <w:r w:rsidRPr="00A46B6B">
              <w:t xml:space="preserve"> af </w:t>
            </w:r>
            <w:r w:rsidRPr="00A46B6B">
              <w:rPr>
                <w:b/>
                <w:i/>
              </w:rPr>
              <w:t>forordningen om konditionalitet og</w:t>
            </w:r>
            <w:r w:rsidRPr="00A46B6B">
              <w:t xml:space="preserve"> dens </w:t>
            </w:r>
            <w:r w:rsidRPr="00A46B6B">
              <w:rPr>
                <w:b/>
                <w:i/>
              </w:rPr>
              <w:t>brede</w:t>
            </w:r>
            <w:r w:rsidRPr="00A46B6B">
              <w:t xml:space="preserve"> anvendelsesområde </w:t>
            </w:r>
            <w:r w:rsidRPr="00A46B6B">
              <w:rPr>
                <w:b/>
                <w:i/>
              </w:rPr>
              <w:t>med hensyn til at beskytte Unionens budget mod overtrædelser af retsstatsprincippet</w:t>
            </w:r>
            <w:r w:rsidRPr="00A46B6B">
              <w:t xml:space="preserve">; minder om, at legitimiteten af denne mekanisme er baseret på objektiv anvendelse </w:t>
            </w:r>
            <w:r w:rsidRPr="00A46B6B">
              <w:rPr>
                <w:b/>
                <w:i/>
              </w:rPr>
              <w:t>uden dobbeltstandarder; understreger, at systemiske mangler i retsvæsenets uafhængighed, rammerne for bekæmpelse af korruption og anklagemyndighedens kapacitet kan udgøre en sådan risiko, selv inden et direkte, specifikt økonomisk tab kan kvantificeres</w:t>
            </w:r>
            <w:r w:rsidRPr="00A46B6B">
              <w:t xml:space="preserve">; opfordrer Kommissionen til at anvende </w:t>
            </w:r>
            <w:r w:rsidRPr="00A46B6B">
              <w:rPr>
                <w:b/>
                <w:i/>
              </w:rPr>
              <w:t>forordningen om konditionalitet rettidigt og</w:t>
            </w:r>
            <w:r w:rsidRPr="00A46B6B">
              <w:t xml:space="preserve"> konsekvent</w:t>
            </w:r>
            <w:r w:rsidRPr="00A46B6B">
              <w:rPr>
                <w:b/>
                <w:i/>
              </w:rPr>
              <w:t>, når det er nødvendigt,</w:t>
            </w:r>
            <w:r w:rsidRPr="00A46B6B">
              <w:t xml:space="preserve"> og </w:t>
            </w:r>
            <w:r w:rsidRPr="00A46B6B">
              <w:rPr>
                <w:b/>
                <w:i/>
              </w:rPr>
              <w:t xml:space="preserve">til årligt at aflægge </w:t>
            </w:r>
            <w:r w:rsidRPr="00A46B6B">
              <w:rPr>
                <w:b/>
                <w:i/>
              </w:rPr>
              <w:lastRenderedPageBreak/>
              <w:t>rapport til Parlamentet om sin vurdering</w:t>
            </w:r>
            <w:r w:rsidRPr="00A46B6B">
              <w:t xml:space="preserve"> af </w:t>
            </w:r>
            <w:r w:rsidRPr="00A46B6B">
              <w:rPr>
                <w:b/>
                <w:i/>
              </w:rPr>
              <w:t>retsstatsrisici for Unionens budget i alle medlemsstater</w:t>
            </w:r>
            <w:r w:rsidRPr="00A46B6B">
              <w:t>;</w:t>
            </w:r>
          </w:p>
        </w:tc>
      </w:tr>
    </w:tbl>
    <w:p w14:paraId="3FCBFBD7" w14:textId="77777777" w:rsidR="00AB098C" w:rsidRPr="00A46B6B" w:rsidRDefault="00CD2C46">
      <w:pPr>
        <w:pStyle w:val="AmOrLang"/>
      </w:pPr>
      <w:r w:rsidRPr="00A46B6B">
        <w:lastRenderedPageBreak/>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0F893E40"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1F25DA3E"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58</w:t>
      </w:r>
      <w:r w:rsidRPr="00A46B6B">
        <w:rPr>
          <w:rStyle w:val="HideTWBExt"/>
        </w:rPr>
        <w:t>&lt;/NumAm&gt;</w:t>
      </w:r>
    </w:p>
    <w:p w14:paraId="0A3250D2"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58</w:t>
      </w:r>
      <w:r w:rsidRPr="00A46B6B">
        <w:rPr>
          <w:rStyle w:val="HideTWBExt"/>
        </w:rPr>
        <w:t>&lt;/NumAm&gt;</w:t>
      </w:r>
    </w:p>
    <w:p w14:paraId="47534907"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612568FC"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73396469" w14:textId="77777777" w:rsidR="00AB098C" w:rsidRPr="00A46B6B" w:rsidRDefault="00CD2C46">
      <w:pPr>
        <w:pStyle w:val="NormalBold"/>
      </w:pPr>
      <w:r w:rsidRPr="00A46B6B">
        <w:rPr>
          <w:rStyle w:val="HideTWBExt"/>
          <w:b w:val="0"/>
        </w:rPr>
        <w:t>&lt;/By&gt;&lt;/RepeatBlock-By&gt;</w:t>
      </w:r>
    </w:p>
    <w:p w14:paraId="7BCDFA51"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2808DE1A"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773D5BD7" w14:textId="17532782"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07F9437D"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009ED9F9"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691CC47A" w14:textId="77777777" w:rsidR="00AB098C" w:rsidRPr="00A46B6B" w:rsidRDefault="00CD2C46">
      <w:pPr>
        <w:pStyle w:val="NormalBold"/>
      </w:pPr>
      <w:r w:rsidRPr="00A46B6B">
        <w:rPr>
          <w:rStyle w:val="HideTWBExt"/>
        </w:rPr>
        <w:t>&lt;Article&gt;</w:t>
      </w:r>
      <w:r w:rsidRPr="00A46B6B">
        <w:t>Punkt 54</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A46B6B" w:rsidRDefault="00AB098C"/>
        </w:tc>
      </w:tr>
      <w:tr w:rsidR="00BF3568" w:rsidRPr="00A46B6B" w14:paraId="4160E3E8" w14:textId="77777777">
        <w:trPr>
          <w:trHeight w:val="240"/>
          <w:jc w:val="center"/>
        </w:trPr>
        <w:tc>
          <w:tcPr>
            <w:tcW w:w="4876" w:type="dxa"/>
            <w:tcBorders>
              <w:top w:val="nil"/>
              <w:left w:val="nil"/>
              <w:bottom w:val="nil"/>
              <w:right w:val="nil"/>
            </w:tcBorders>
          </w:tcPr>
          <w:p w14:paraId="6B8B7520"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6019305A" w14:textId="77777777" w:rsidR="00AB098C" w:rsidRPr="00A46B6B" w:rsidRDefault="00CD2C46">
            <w:pPr>
              <w:pStyle w:val="AmColumnHeading"/>
            </w:pPr>
            <w:r w:rsidRPr="00A46B6B">
              <w:t>Ændringsforslag</w:t>
            </w:r>
          </w:p>
        </w:tc>
      </w:tr>
      <w:tr w:rsidR="00BF3568" w:rsidRPr="00A46B6B" w14:paraId="53F1F3C2" w14:textId="77777777">
        <w:trPr>
          <w:jc w:val="center"/>
        </w:trPr>
        <w:tc>
          <w:tcPr>
            <w:tcW w:w="4876" w:type="dxa"/>
            <w:tcBorders>
              <w:top w:val="nil"/>
              <w:left w:val="nil"/>
              <w:bottom w:val="nil"/>
              <w:right w:val="nil"/>
            </w:tcBorders>
          </w:tcPr>
          <w:p w14:paraId="3D1414BF" w14:textId="05D52C3B" w:rsidR="00AB098C" w:rsidRPr="00A46B6B" w:rsidRDefault="00CD2C46">
            <w:pPr>
              <w:pStyle w:val="Normal6a"/>
            </w:pPr>
            <w:r w:rsidRPr="00A46B6B">
              <w:t>54.</w:t>
            </w:r>
            <w:r w:rsidRPr="00A46B6B">
              <w:tab/>
            </w:r>
            <w:r w:rsidRPr="00A46B6B">
              <w:rPr>
                <w:b/>
                <w:i/>
              </w:rPr>
              <w:t>fastholder</w:t>
            </w:r>
            <w:r w:rsidRPr="00A46B6B">
              <w:t xml:space="preserve">, at </w:t>
            </w:r>
            <w:r w:rsidRPr="00A46B6B">
              <w:rPr>
                <w:b/>
                <w:i/>
              </w:rPr>
              <w:t>integriteten og omdømmet af</w:t>
            </w:r>
            <w:r w:rsidRPr="00A46B6B">
              <w:t xml:space="preserve"> EU's </w:t>
            </w:r>
            <w:r w:rsidRPr="00A46B6B">
              <w:rPr>
                <w:b/>
                <w:i/>
              </w:rPr>
              <w:t>institutioner, organer, kontorer og agenturer er et centralt element</w:t>
            </w:r>
            <w:r w:rsidRPr="00A46B6B">
              <w:t xml:space="preserve"> i </w:t>
            </w:r>
            <w:r w:rsidRPr="00A46B6B">
              <w:rPr>
                <w:b/>
                <w:i/>
              </w:rPr>
              <w:t>borgernes tillid</w:t>
            </w:r>
            <w:r w:rsidRPr="00A46B6B">
              <w:t>;</w:t>
            </w:r>
            <w:r w:rsidRPr="00A46B6B">
              <w:rPr>
                <w:b/>
                <w:i/>
              </w:rPr>
              <w:t xml:space="preserve"> mener</w:t>
            </w:r>
            <w:r w:rsidRPr="00A46B6B">
              <w:t xml:space="preserve">, at </w:t>
            </w:r>
            <w:r w:rsidRPr="00A46B6B">
              <w:rPr>
                <w:b/>
                <w:i/>
              </w:rPr>
              <w:t>ansvarlighed i forbindelse med anvendelsen</w:t>
            </w:r>
            <w:r w:rsidRPr="00A46B6B">
              <w:t xml:space="preserve"> af </w:t>
            </w:r>
            <w:r w:rsidRPr="00A46B6B">
              <w:rPr>
                <w:b/>
                <w:i/>
              </w:rPr>
              <w:t>EU's budgetmidler er afgørende for den demokratiske legitimitet</w:t>
            </w:r>
            <w:r w:rsidRPr="00A46B6B">
              <w:t xml:space="preserve">, </w:t>
            </w:r>
            <w:r w:rsidRPr="00A46B6B">
              <w:rPr>
                <w:b/>
                <w:i/>
              </w:rPr>
              <w:t>og at kravene vedrørende gennemsigtighed og beskyttelse af EU's finansielle interesser skal gælde ligeligt for</w:t>
            </w:r>
            <w:r w:rsidRPr="00A46B6B">
              <w:t xml:space="preserve"> alle </w:t>
            </w:r>
            <w:r w:rsidRPr="00A46B6B">
              <w:rPr>
                <w:b/>
                <w:i/>
              </w:rPr>
              <w:t>modtagere</w:t>
            </w:r>
            <w:r w:rsidRPr="00A46B6B">
              <w:t xml:space="preserve"> og </w:t>
            </w:r>
            <w:r w:rsidRPr="00A46B6B">
              <w:rPr>
                <w:b/>
                <w:i/>
              </w:rPr>
              <w:t>uden undtagelse inden</w:t>
            </w:r>
            <w:r w:rsidRPr="00A46B6B">
              <w:t xml:space="preserve"> for </w:t>
            </w:r>
            <w:r w:rsidRPr="00A46B6B">
              <w:rPr>
                <w:b/>
                <w:i/>
              </w:rPr>
              <w:t>hver EU-institution, herunder Parlamentet</w:t>
            </w:r>
            <w:r w:rsidRPr="00A46B6B">
              <w:t xml:space="preserve">, for at </w:t>
            </w:r>
            <w:r w:rsidRPr="00A46B6B">
              <w:rPr>
                <w:b/>
                <w:i/>
              </w:rPr>
              <w:t>sikre forsvarlig økonomisk forvaltning og effektiv kontrol med offentlige midler</w:t>
            </w:r>
            <w:r w:rsidRPr="00A46B6B">
              <w:t>;</w:t>
            </w:r>
          </w:p>
        </w:tc>
        <w:tc>
          <w:tcPr>
            <w:tcW w:w="4876" w:type="dxa"/>
            <w:tcBorders>
              <w:top w:val="nil"/>
              <w:left w:val="nil"/>
              <w:bottom w:val="nil"/>
              <w:right w:val="nil"/>
            </w:tcBorders>
          </w:tcPr>
          <w:p w14:paraId="466CB895" w14:textId="33F903FD" w:rsidR="00AB098C" w:rsidRPr="00A46B6B" w:rsidRDefault="00CD2C46">
            <w:pPr>
              <w:pStyle w:val="Normal6a"/>
            </w:pPr>
            <w:r w:rsidRPr="00A46B6B">
              <w:t>54.</w:t>
            </w:r>
            <w:r w:rsidRPr="00A46B6B">
              <w:tab/>
            </w:r>
            <w:r w:rsidRPr="00A46B6B">
              <w:rPr>
                <w:b/>
                <w:i/>
              </w:rPr>
              <w:t>minder om</w:t>
            </w:r>
            <w:r w:rsidRPr="00A46B6B">
              <w:t xml:space="preserve">, at </w:t>
            </w:r>
            <w:r w:rsidRPr="00A46B6B">
              <w:rPr>
                <w:b/>
                <w:i/>
              </w:rPr>
              <w:t>pligten til at beskytte</w:t>
            </w:r>
            <w:r w:rsidRPr="00A46B6B">
              <w:t xml:space="preserve"> EU's </w:t>
            </w:r>
            <w:r w:rsidRPr="00A46B6B">
              <w:rPr>
                <w:b/>
                <w:i/>
              </w:rPr>
              <w:t>finansielle interesser gælder på samme måde for alle modtagere af EU-midler, herunder politiske grupper, der er aktive</w:t>
            </w:r>
            <w:r w:rsidRPr="00A46B6B">
              <w:t xml:space="preserve"> i </w:t>
            </w:r>
            <w:r w:rsidRPr="00A46B6B">
              <w:rPr>
                <w:b/>
                <w:i/>
              </w:rPr>
              <w:t>Europa-Parlamentet</w:t>
            </w:r>
            <w:r w:rsidRPr="00A46B6B">
              <w:t>;</w:t>
            </w:r>
            <w:r w:rsidRPr="00A46B6B">
              <w:rPr>
                <w:b/>
                <w:i/>
              </w:rPr>
              <w:t xml:space="preserve"> bemærker</w:t>
            </w:r>
            <w:r w:rsidRPr="00A46B6B">
              <w:t xml:space="preserve">, at </w:t>
            </w:r>
            <w:r w:rsidR="00FA6A1A" w:rsidRPr="00A46B6B">
              <w:rPr>
                <w:b/>
                <w:bCs/>
                <w:i/>
                <w:iCs/>
              </w:rPr>
              <w:t>de nylige</w:t>
            </w:r>
            <w:r w:rsidR="00FA6A1A" w:rsidRPr="00A46B6B">
              <w:t xml:space="preserve"> </w:t>
            </w:r>
            <w:r w:rsidRPr="00A46B6B">
              <w:rPr>
                <w:b/>
                <w:i/>
              </w:rPr>
              <w:t>undersøgelser og inddrivelsesforanstaltninger vedrørende den tidligere Gruppe Identitet og Demokratis formodede misbrug</w:t>
            </w:r>
            <w:r w:rsidRPr="00A46B6B">
              <w:t xml:space="preserve"> af </w:t>
            </w:r>
            <w:r w:rsidRPr="00A46B6B">
              <w:rPr>
                <w:b/>
                <w:i/>
              </w:rPr>
              <w:t>EU-midler fremhæver betydningen af solide interne kontroller</w:t>
            </w:r>
            <w:r w:rsidRPr="00A46B6B">
              <w:t xml:space="preserve">, </w:t>
            </w:r>
            <w:r w:rsidRPr="00A46B6B">
              <w:rPr>
                <w:b/>
                <w:i/>
              </w:rPr>
              <w:t>effektiv efterfølgende kontrol og hurtige inddrivelsesmekanismer i Parlamentets administration;</w:t>
            </w:r>
            <w:r w:rsidRPr="00A46B6B">
              <w:t xml:space="preserve"> </w:t>
            </w:r>
            <w:r w:rsidRPr="00A46B6B">
              <w:rPr>
                <w:b/>
                <w:i/>
              </w:rPr>
              <w:t>opfordrer Parlamentets administration til straks at afslutte alle udestående inddrivelsesprocedurer og til at henvise alle beviser for regelstridige udgifter til OLAF og EPPO; understreger, at troværdigheden af EU's struktur for bekæmpelse af svig afhænger af, at den anvendes konsekvent over for alle støttemodtagere, herunder dem i selve Parlamentet;</w:t>
            </w:r>
          </w:p>
        </w:tc>
      </w:tr>
    </w:tbl>
    <w:p w14:paraId="04214C32"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0C74D12A" w14:textId="77777777" w:rsidR="00AB098C" w:rsidRPr="00A46B6B" w:rsidRDefault="00CD2C46">
      <w:pPr>
        <w:sectPr w:rsidR="00AB098C" w:rsidRPr="00A46B6B">
          <w:pgSz w:w="11909" w:h="16834"/>
          <w:pgMar w:top="1134" w:right="1417" w:bottom="1417" w:left="1417" w:header="1134" w:footer="567" w:gutter="0"/>
          <w:cols w:space="720"/>
        </w:sectPr>
      </w:pPr>
      <w:r w:rsidRPr="00A46B6B">
        <w:rPr>
          <w:rStyle w:val="HideTWBExt"/>
        </w:rPr>
        <w:t>&lt;/Amend&gt;</w:t>
      </w:r>
    </w:p>
    <w:p w14:paraId="7888F82B" w14:textId="77777777" w:rsidR="00AB098C" w:rsidRPr="00A46B6B" w:rsidRDefault="00CD2C46">
      <w:pPr>
        <w:pStyle w:val="AmDateTab"/>
      </w:pPr>
      <w:r w:rsidRPr="00A46B6B">
        <w:rPr>
          <w:rStyle w:val="HideTWBExt"/>
        </w:rPr>
        <w:lastRenderedPageBreak/>
        <w:t>&lt;Amend&gt;&lt;Date&gt;</w:t>
      </w:r>
      <w:r w:rsidRPr="00A46B6B">
        <w:rPr>
          <w:rStyle w:val="HideTWBInt"/>
          <w:color w:val="auto"/>
        </w:rPr>
        <w:t>{22/04/2026}</w:t>
      </w:r>
      <w:r w:rsidRPr="00A46B6B">
        <w:t>22.4.2026</w:t>
      </w:r>
      <w:r w:rsidRPr="00A46B6B">
        <w:rPr>
          <w:rStyle w:val="HideTWBExt"/>
        </w:rPr>
        <w:t>&lt;/Date&gt;</w:t>
      </w:r>
      <w:r w:rsidRPr="00A46B6B">
        <w:tab/>
      </w:r>
      <w:r w:rsidRPr="00A46B6B">
        <w:rPr>
          <w:rStyle w:val="HideTWBExt"/>
        </w:rPr>
        <w:t>&lt;ANo&gt;</w:t>
      </w:r>
      <w:r w:rsidRPr="00A46B6B">
        <w:t>A10-0080</w:t>
      </w:r>
      <w:r w:rsidRPr="00A46B6B">
        <w:rPr>
          <w:rStyle w:val="HideTWBExt"/>
        </w:rPr>
        <w:t>&lt;/ANo&gt;</w:t>
      </w:r>
      <w:r w:rsidRPr="00A46B6B">
        <w:t>/</w:t>
      </w:r>
      <w:r w:rsidRPr="00A46B6B">
        <w:rPr>
          <w:rStyle w:val="HideTWBExt"/>
        </w:rPr>
        <w:t>&lt;NumAm&gt;</w:t>
      </w:r>
      <w:r w:rsidRPr="00A46B6B">
        <w:t>59</w:t>
      </w:r>
      <w:r w:rsidRPr="00A46B6B">
        <w:rPr>
          <w:rStyle w:val="HideTWBExt"/>
        </w:rPr>
        <w:t>&lt;/NumAm&gt;</w:t>
      </w:r>
    </w:p>
    <w:p w14:paraId="39A58780" w14:textId="77777777" w:rsidR="00AB098C" w:rsidRPr="00A46B6B" w:rsidRDefault="00CD2C46">
      <w:pPr>
        <w:pStyle w:val="AmNumberTabs"/>
      </w:pPr>
      <w:r w:rsidRPr="00A46B6B">
        <w:t>Ændringsforslag</w:t>
      </w:r>
      <w:r w:rsidRPr="00A46B6B">
        <w:tab/>
      </w:r>
      <w:r w:rsidRPr="00A46B6B">
        <w:tab/>
      </w:r>
      <w:r w:rsidRPr="00A46B6B">
        <w:rPr>
          <w:rStyle w:val="HideTWBExt"/>
        </w:rPr>
        <w:t>&lt;NumAm&gt;</w:t>
      </w:r>
      <w:r w:rsidRPr="00A46B6B">
        <w:t>59</w:t>
      </w:r>
      <w:r w:rsidRPr="00A46B6B">
        <w:rPr>
          <w:rStyle w:val="HideTWBExt"/>
        </w:rPr>
        <w:t>&lt;/NumAm&gt;</w:t>
      </w:r>
    </w:p>
    <w:p w14:paraId="1E4C1956" w14:textId="77777777" w:rsidR="00AB098C" w:rsidRPr="00A46B6B" w:rsidRDefault="00CD2C46">
      <w:pPr>
        <w:pStyle w:val="NormalBold"/>
      </w:pPr>
      <w:r w:rsidRPr="00A46B6B">
        <w:rPr>
          <w:rStyle w:val="HideTWBExt"/>
          <w:b w:val="0"/>
        </w:rPr>
        <w:t>&lt;RepeatBlock-By&gt;&lt;By&gt;&lt;Members&gt;</w:t>
      </w:r>
      <w:r w:rsidRPr="00A46B6B">
        <w:t>Daniel Freund</w:t>
      </w:r>
      <w:r w:rsidRPr="00A46B6B">
        <w:rPr>
          <w:rStyle w:val="HideTWBExt"/>
          <w:b w:val="0"/>
        </w:rPr>
        <w:t>&lt;/Members&gt;</w:t>
      </w:r>
    </w:p>
    <w:p w14:paraId="6874B7EE" w14:textId="77777777" w:rsidR="00AB098C" w:rsidRPr="00A46B6B" w:rsidRDefault="00CD2C46">
      <w:r w:rsidRPr="00A46B6B">
        <w:rPr>
          <w:rStyle w:val="HideTWBExt"/>
        </w:rPr>
        <w:t>&lt;AuNomDe&gt;</w:t>
      </w:r>
      <w:r w:rsidRPr="00A46B6B">
        <w:rPr>
          <w:rStyle w:val="HideTWBInt"/>
          <w:color w:val="auto"/>
        </w:rPr>
        <w:t>{Verts/ALE}</w:t>
      </w:r>
      <w:r w:rsidRPr="00A46B6B">
        <w:t>for Verts/ALE-Gruppen</w:t>
      </w:r>
      <w:r w:rsidRPr="00A46B6B">
        <w:rPr>
          <w:rStyle w:val="HideTWBExt"/>
        </w:rPr>
        <w:t>&lt;/AuNomDe&gt;</w:t>
      </w:r>
    </w:p>
    <w:p w14:paraId="60C10E6F" w14:textId="77777777" w:rsidR="00AB098C" w:rsidRPr="00A46B6B" w:rsidRDefault="00CD2C46">
      <w:pPr>
        <w:pStyle w:val="NormalBold"/>
      </w:pPr>
      <w:r w:rsidRPr="00A46B6B">
        <w:rPr>
          <w:rStyle w:val="HideTWBExt"/>
          <w:b w:val="0"/>
        </w:rPr>
        <w:t>&lt;/By&gt;&lt;/RepeatBlock-By&gt;</w:t>
      </w:r>
    </w:p>
    <w:p w14:paraId="6953A485" w14:textId="77777777" w:rsidR="00AB098C" w:rsidRPr="00A46B6B" w:rsidRDefault="00CD2C46">
      <w:pPr>
        <w:pStyle w:val="AmDocTypeTab"/>
      </w:pPr>
      <w:r w:rsidRPr="00A46B6B">
        <w:rPr>
          <w:rStyle w:val="HideTWBExt"/>
        </w:rPr>
        <w:t>&lt;TitreType&gt;</w:t>
      </w:r>
      <w:r w:rsidRPr="00A46B6B">
        <w:t>Betænkning</w:t>
      </w:r>
      <w:r w:rsidRPr="00A46B6B">
        <w:rPr>
          <w:rStyle w:val="HideTWBExt"/>
        </w:rPr>
        <w:t>&lt;/TitreType&gt;</w:t>
      </w:r>
      <w:r w:rsidRPr="00A46B6B">
        <w:tab/>
        <w:t>A10-0080/2026</w:t>
      </w:r>
    </w:p>
    <w:p w14:paraId="48DB673F" w14:textId="77777777" w:rsidR="00AB098C" w:rsidRPr="00A46B6B" w:rsidRDefault="00CD2C46">
      <w:pPr>
        <w:pStyle w:val="NormalBold"/>
      </w:pPr>
      <w:r w:rsidRPr="00A46B6B">
        <w:rPr>
          <w:rStyle w:val="HideTWBExt"/>
        </w:rPr>
        <w:t>&lt;Rapporteur&gt;</w:t>
      </w:r>
      <w:r w:rsidRPr="00A46B6B">
        <w:t>Julien Sanchez</w:t>
      </w:r>
      <w:r w:rsidRPr="00A46B6B">
        <w:rPr>
          <w:rStyle w:val="HideTWBExt"/>
        </w:rPr>
        <w:t>&lt;/Rapporteur&gt;</w:t>
      </w:r>
    </w:p>
    <w:p w14:paraId="2414A911" w14:textId="193E84CA" w:rsidR="00AB098C" w:rsidRPr="00A46B6B" w:rsidRDefault="00CD2C46">
      <w:r w:rsidRPr="00A46B6B">
        <w:rPr>
          <w:rStyle w:val="HideTWBExt"/>
        </w:rPr>
        <w:t>&lt;Titre&gt;</w:t>
      </w:r>
      <w:r w:rsidRPr="00A46B6B">
        <w:t>Beskyttelse af Den Europæiske Unions finansielle interesser – bekæmpelse af svig – årlig betænkning 2024</w:t>
      </w:r>
      <w:r w:rsidRPr="00A46B6B">
        <w:rPr>
          <w:rStyle w:val="HideTWBExt"/>
        </w:rPr>
        <w:t>&lt;/Titre&gt;</w:t>
      </w:r>
    </w:p>
    <w:p w14:paraId="47A6A819" w14:textId="77777777" w:rsidR="00AB098C" w:rsidRPr="00A46B6B" w:rsidRDefault="00CD2C46">
      <w:pPr>
        <w:pStyle w:val="Normal12a"/>
      </w:pPr>
      <w:r w:rsidRPr="00A46B6B">
        <w:rPr>
          <w:rStyle w:val="HideTWBExt"/>
        </w:rPr>
        <w:t>&lt;DocRef&gt;</w:t>
      </w:r>
      <w:r w:rsidRPr="00A46B6B">
        <w:t>(2025/2238(INI))</w:t>
      </w:r>
      <w:r w:rsidRPr="00A46B6B">
        <w:rPr>
          <w:rStyle w:val="HideTWBExt"/>
        </w:rPr>
        <w:t>&lt;/DocRef&gt;</w:t>
      </w:r>
    </w:p>
    <w:p w14:paraId="5F8BA664" w14:textId="77777777" w:rsidR="00AB098C" w:rsidRPr="00A46B6B" w:rsidRDefault="00CD2C46">
      <w:pPr>
        <w:pStyle w:val="NormalBold"/>
      </w:pPr>
      <w:r w:rsidRPr="00A46B6B">
        <w:rPr>
          <w:rStyle w:val="HideTWBExt"/>
        </w:rPr>
        <w:t>&lt;DocAmend&gt;</w:t>
      </w:r>
      <w:r w:rsidRPr="00A46B6B">
        <w:t>Forslag til beslutning</w:t>
      </w:r>
      <w:r w:rsidRPr="00A46B6B">
        <w:rPr>
          <w:rStyle w:val="HideTWBExt"/>
        </w:rPr>
        <w:t>&lt;/DocAmend&gt;</w:t>
      </w:r>
    </w:p>
    <w:p w14:paraId="0B7B25F8" w14:textId="77777777" w:rsidR="00AB098C" w:rsidRPr="00A46B6B" w:rsidRDefault="00CD2C46">
      <w:pPr>
        <w:pStyle w:val="NormalBold"/>
      </w:pPr>
      <w:r w:rsidRPr="00A46B6B">
        <w:rPr>
          <w:rStyle w:val="HideTWBExt"/>
        </w:rPr>
        <w:t>&lt;Article&gt;</w:t>
      </w:r>
      <w:r w:rsidRPr="00A46B6B">
        <w:t>Punkt 54 a (nyt)</w:t>
      </w:r>
      <w:r w:rsidRPr="00A46B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3568" w:rsidRPr="00A46B6B"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A46B6B" w:rsidRDefault="00AB098C"/>
        </w:tc>
      </w:tr>
      <w:tr w:rsidR="00BF3568" w:rsidRPr="00A46B6B" w14:paraId="36BC4A92" w14:textId="77777777">
        <w:trPr>
          <w:trHeight w:val="240"/>
          <w:jc w:val="center"/>
        </w:trPr>
        <w:tc>
          <w:tcPr>
            <w:tcW w:w="4876" w:type="dxa"/>
            <w:tcBorders>
              <w:top w:val="nil"/>
              <w:left w:val="nil"/>
              <w:bottom w:val="nil"/>
              <w:right w:val="nil"/>
            </w:tcBorders>
          </w:tcPr>
          <w:p w14:paraId="666F0D4E" w14:textId="77777777" w:rsidR="00AB098C" w:rsidRPr="00A46B6B" w:rsidRDefault="00CD2C46">
            <w:pPr>
              <w:pStyle w:val="AmColumnHeading"/>
            </w:pPr>
            <w:r w:rsidRPr="00A46B6B">
              <w:t>Forslag til beslutning</w:t>
            </w:r>
          </w:p>
        </w:tc>
        <w:tc>
          <w:tcPr>
            <w:tcW w:w="4876" w:type="dxa"/>
            <w:tcBorders>
              <w:top w:val="nil"/>
              <w:left w:val="nil"/>
              <w:bottom w:val="nil"/>
              <w:right w:val="nil"/>
            </w:tcBorders>
          </w:tcPr>
          <w:p w14:paraId="4D5E53A9" w14:textId="77777777" w:rsidR="00AB098C" w:rsidRPr="00A46B6B" w:rsidRDefault="00CD2C46">
            <w:pPr>
              <w:pStyle w:val="AmColumnHeading"/>
            </w:pPr>
            <w:r w:rsidRPr="00A46B6B">
              <w:t>Ændringsforslag</w:t>
            </w:r>
          </w:p>
        </w:tc>
      </w:tr>
      <w:tr w:rsidR="00BF3568" w:rsidRPr="00A46B6B" w14:paraId="1DA9569E" w14:textId="77777777">
        <w:trPr>
          <w:jc w:val="center"/>
        </w:trPr>
        <w:tc>
          <w:tcPr>
            <w:tcW w:w="4876" w:type="dxa"/>
            <w:tcBorders>
              <w:top w:val="nil"/>
              <w:left w:val="nil"/>
              <w:bottom w:val="nil"/>
              <w:right w:val="nil"/>
            </w:tcBorders>
          </w:tcPr>
          <w:p w14:paraId="70858426" w14:textId="77777777" w:rsidR="00AB098C" w:rsidRPr="00A46B6B" w:rsidRDefault="00AB098C">
            <w:pPr>
              <w:pStyle w:val="Normal6a"/>
            </w:pPr>
          </w:p>
        </w:tc>
        <w:tc>
          <w:tcPr>
            <w:tcW w:w="4876" w:type="dxa"/>
            <w:tcBorders>
              <w:top w:val="nil"/>
              <w:left w:val="nil"/>
              <w:bottom w:val="nil"/>
              <w:right w:val="nil"/>
            </w:tcBorders>
          </w:tcPr>
          <w:p w14:paraId="4D2BA016" w14:textId="31C58401" w:rsidR="00AB098C" w:rsidRPr="00A46B6B" w:rsidRDefault="00CD2C46">
            <w:pPr>
              <w:pStyle w:val="Normal6a"/>
            </w:pPr>
            <w:r w:rsidRPr="00A46B6B">
              <w:rPr>
                <w:b/>
                <w:i/>
              </w:rPr>
              <w:t>54a.</w:t>
            </w:r>
            <w:r w:rsidRPr="00A46B6B">
              <w:tab/>
            </w:r>
            <w:r w:rsidRPr="00A46B6B">
              <w:rPr>
                <w:b/>
                <w:i/>
              </w:rPr>
              <w:t>bemærker, at Parlamentets administration konstaterede, at mindst 4 333 635,78 EUR af bevillingerne på budgetpost 400 blev uretmæssigt brugt af den tidligere gruppe Identitet og Demokrati i valgperioden 2019-2024, og at EPPO i juli 2025 indledte en undersøgelse af gruppens påståede misbrug af EU-midler; understreger, at troværdigheden af Unionens struktur for bekæmpelse af svig kræver en konsekvent anvendelse af gennemsigtigheds-, ansvarligheds- og inddrivelsesforanstaltninger over for alle støttemodtagere uden undtagelse; opfordrer Parlamentets administration til sideløbende med EPPO's strafferetlige efterforskning at træffe administrative midlertidige beskyttelsesforanstaltninger mod Unionens finansielle interesser; mener, at opløsningen af Gruppen Identitet og Demokrati i 2024 og de deraf følgende finansielle procedurer har vist, at den nuværende ramme er utilstrækkelig til at sikre rettidig opdagelse, indberetning og inddrivelse; opfordrer Parlamentets Præsidium til hurtigst muligt at revidere og styrke den interne ramme for finansiel kontrol, der gælder for de politiske grupper i Europa-Parlamentet;</w:t>
            </w:r>
          </w:p>
        </w:tc>
      </w:tr>
    </w:tbl>
    <w:p w14:paraId="046CB116" w14:textId="77777777" w:rsidR="00AB098C" w:rsidRPr="00A46B6B" w:rsidRDefault="00CD2C46">
      <w:pPr>
        <w:pStyle w:val="AmOrLang"/>
      </w:pPr>
      <w:r w:rsidRPr="00A46B6B">
        <w:t xml:space="preserve">Or. </w:t>
      </w:r>
      <w:r w:rsidRPr="00A46B6B">
        <w:rPr>
          <w:rStyle w:val="HideTWBExt"/>
        </w:rPr>
        <w:t>&lt;Original&gt;</w:t>
      </w:r>
      <w:r w:rsidRPr="00A46B6B">
        <w:rPr>
          <w:rStyle w:val="HideTWBInt"/>
        </w:rPr>
        <w:t>{EN}</w:t>
      </w:r>
      <w:r w:rsidRPr="00A46B6B">
        <w:t>en</w:t>
      </w:r>
      <w:r w:rsidRPr="00A46B6B">
        <w:rPr>
          <w:rStyle w:val="HideTWBExt"/>
        </w:rPr>
        <w:t>&lt;/Original&gt;</w:t>
      </w:r>
    </w:p>
    <w:p w14:paraId="58D2499F" w14:textId="77777777" w:rsidR="00AB098C" w:rsidRPr="00A46B6B" w:rsidRDefault="00CD2C46">
      <w:r w:rsidRPr="00A46B6B">
        <w:rPr>
          <w:rStyle w:val="HideTWBExt"/>
        </w:rPr>
        <w:lastRenderedPageBreak/>
        <w:t>&lt;/Amend&gt;</w:t>
      </w:r>
    </w:p>
    <w:p w14:paraId="165F2E2F" w14:textId="77777777" w:rsidR="00AB098C" w:rsidRPr="00A46B6B" w:rsidRDefault="00CD2C46">
      <w:r w:rsidRPr="00A46B6B">
        <w:rPr>
          <w:rStyle w:val="HideTWBExt"/>
        </w:rPr>
        <w:t>&lt;/RepeatBlock-Amend&gt;</w:t>
      </w:r>
    </w:p>
    <w:sectPr w:rsidR="00AB098C" w:rsidRPr="00A46B6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22003" w14:textId="77777777" w:rsidR="00CD2C46" w:rsidRPr="00A46B6B" w:rsidRDefault="00CD2C46">
      <w:r w:rsidRPr="00A46B6B">
        <w:separator/>
      </w:r>
    </w:p>
  </w:endnote>
  <w:endnote w:type="continuationSeparator" w:id="0">
    <w:p w14:paraId="0694A3AA" w14:textId="77777777" w:rsidR="00CD2C46" w:rsidRPr="00A46B6B" w:rsidRDefault="00CD2C46">
      <w:r w:rsidRPr="00A46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F5B6" w14:textId="77777777" w:rsidR="00CE3CD7" w:rsidRDefault="00CE3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957B" w14:textId="3B874629" w:rsidR="00FA6A1A" w:rsidRPr="00A46B6B" w:rsidRDefault="00FA6A1A" w:rsidP="00FA6A1A">
    <w:pPr>
      <w:pStyle w:val="EPFooter"/>
    </w:pPr>
    <w:r w:rsidRPr="00A46B6B">
      <w:rPr>
        <w:rStyle w:val="HideTWBExt"/>
      </w:rPr>
      <w:t>&lt;PathFdR&gt;</w:t>
    </w:r>
    <w:r w:rsidR="00A46B6B" w:rsidRPr="00A46B6B">
      <w:t>AM\1342225DA.docx</w:t>
    </w:r>
    <w:r w:rsidRPr="00A46B6B">
      <w:rPr>
        <w:rStyle w:val="HideTWBExt"/>
      </w:rPr>
      <w:t>&lt;/PathFdR&gt;</w:t>
    </w:r>
    <w:r w:rsidRPr="00A46B6B">
      <w:tab/>
    </w:r>
    <w:r w:rsidRPr="00A46B6B">
      <w:tab/>
      <w:t>PE</w:t>
    </w:r>
    <w:r w:rsidRPr="00A46B6B">
      <w:rPr>
        <w:rStyle w:val="HideTWBExt"/>
      </w:rPr>
      <w:t>&lt;NoPE&gt;</w:t>
    </w:r>
    <w:r w:rsidRPr="00A46B6B">
      <w:t>783.022</w:t>
    </w:r>
    <w:r w:rsidRPr="00A46B6B">
      <w:rPr>
        <w:rStyle w:val="HideTWBExt"/>
      </w:rPr>
      <w:t>&lt;/NoPE&gt;&lt;Version&gt;</w:t>
    </w:r>
    <w:r w:rsidRPr="00A46B6B">
      <w:t>v01-00</w:t>
    </w:r>
    <w:r w:rsidRPr="00A46B6B">
      <w:rPr>
        <w:rStyle w:val="HideTWBExt"/>
      </w:rPr>
      <w:t>&lt;/Version&gt;</w:t>
    </w:r>
  </w:p>
  <w:p w14:paraId="7CDB53C2" w14:textId="7F17193B" w:rsidR="00AB098C" w:rsidRPr="00A46B6B" w:rsidRDefault="00FA6A1A" w:rsidP="00FA6A1A">
    <w:pPr>
      <w:pStyle w:val="EPFooter2"/>
    </w:pPr>
    <w:r w:rsidRPr="00A46B6B">
      <w:t>DA</w:t>
    </w:r>
    <w:r w:rsidRPr="00A46B6B">
      <w:tab/>
    </w:r>
    <w:r w:rsidRPr="00A46B6B">
      <w:rPr>
        <w:b w:val="0"/>
        <w:i/>
        <w:color w:val="C0C0C0"/>
        <w:sz w:val="22"/>
      </w:rPr>
      <w:t>Forenet i mangfoldighed</w:t>
    </w:r>
    <w:r w:rsidRPr="00A46B6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B4F5" w14:textId="77777777" w:rsidR="00CE3CD7" w:rsidRDefault="00CE3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D43D" w14:textId="77777777" w:rsidR="00CD2C46" w:rsidRPr="00A46B6B" w:rsidRDefault="00CD2C46">
      <w:r w:rsidRPr="00A46B6B">
        <w:separator/>
      </w:r>
    </w:p>
  </w:footnote>
  <w:footnote w:type="continuationSeparator" w:id="0">
    <w:p w14:paraId="1B27B545" w14:textId="77777777" w:rsidR="00CD2C46" w:rsidRPr="00A46B6B" w:rsidRDefault="00CD2C46">
      <w:r w:rsidRPr="00A46B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A0B7" w14:textId="77777777" w:rsidR="00CE3CD7" w:rsidRDefault="00CE3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30EA" w14:textId="77777777" w:rsidR="00CE3CD7" w:rsidRDefault="00CE3C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60A8" w14:textId="77777777" w:rsidR="00CE3CD7" w:rsidRDefault="00CE3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DA"/>
    <w:docVar w:name="TXTLANGUEMIN" w:val="da"/>
    <w:docVar w:name="TXTNRPE" w:val="783.022"/>
    <w:docVar w:name="TXTPEorAP" w:val="PE"/>
    <w:docVar w:name="TXTROUTE" w:val="AM\1342225DA.docx"/>
    <w:docVar w:name="TXTVERSION" w:val="01-00"/>
  </w:docVars>
  <w:rsids>
    <w:rsidRoot w:val="00A77B3E"/>
    <w:rsid w:val="00006442"/>
    <w:rsid w:val="001E6DCE"/>
    <w:rsid w:val="0022097A"/>
    <w:rsid w:val="002C4F66"/>
    <w:rsid w:val="0034105C"/>
    <w:rsid w:val="00380094"/>
    <w:rsid w:val="0044003A"/>
    <w:rsid w:val="004A2B70"/>
    <w:rsid w:val="00566641"/>
    <w:rsid w:val="0057010A"/>
    <w:rsid w:val="005744EE"/>
    <w:rsid w:val="005D1D4D"/>
    <w:rsid w:val="006447B6"/>
    <w:rsid w:val="006A13A9"/>
    <w:rsid w:val="006F1F54"/>
    <w:rsid w:val="00705A00"/>
    <w:rsid w:val="007B6BE6"/>
    <w:rsid w:val="007F6359"/>
    <w:rsid w:val="009C0B53"/>
    <w:rsid w:val="009F6C83"/>
    <w:rsid w:val="00A46B6B"/>
    <w:rsid w:val="00A77B3E"/>
    <w:rsid w:val="00AB098C"/>
    <w:rsid w:val="00BF3568"/>
    <w:rsid w:val="00C62949"/>
    <w:rsid w:val="00CA2A55"/>
    <w:rsid w:val="00CD2C46"/>
    <w:rsid w:val="00CE3CD7"/>
    <w:rsid w:val="00F628DF"/>
    <w:rsid w:val="00FA6A1A"/>
    <w:rsid w:val="00FA74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1617</Words>
  <Characters>14486</Characters>
  <Application>Microsoft Office Word</Application>
  <DocSecurity>0</DocSecurity>
  <Lines>579</Lines>
  <Paragraphs>206</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RORMAND Mia</cp:lastModifiedBy>
  <cp:revision>2</cp:revision>
  <cp:lastPrinted>2026-04-22T17:39:00Z</cp:lastPrinted>
  <dcterms:created xsi:type="dcterms:W3CDTF">2026-04-29T08:45:00Z</dcterms:created>
  <dcterms:modified xsi:type="dcterms:W3CDTF">2026-04-29T08:45:00Z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AM\1342225DA.docx</vt:lpwstr>
  </property>
  <property fmtid="{D5CDD505-2E9C-101B-9397-08002B2CF9AE}" pid="10" name="LastEdited with">
    <vt:lpwstr>10.3.0 Build [20260401]</vt:lpwstr>
  </property>
  <property fmtid="{D5CDD505-2E9C-101B-9397-08002B2CF9AE}" pid="11" name="PE Number">
    <vt:lpwstr>783.022</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eu.europa.europarl-DIN1-2026-0000109521_01.00-en-01.00_text-xml</vt:lpwstr>
  </property>
</Properties>
</file>