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763E" w14:textId="77777777" w:rsidR="00AB098C" w:rsidRPr="00840785" w:rsidRDefault="00840785">
      <w:pPr>
        <w:pStyle w:val="AmDateTab"/>
        <w:rPr>
          <w:lang w:val="pt-PT"/>
        </w:rPr>
      </w:pPr>
      <w:r w:rsidRPr="00840785">
        <w:rPr>
          <w:rStyle w:val="HideTWBExt"/>
          <w:lang w:val="pt-PT"/>
        </w:rPr>
        <w:t>&lt;RepeatBlock-Amend&gt;&lt;Amend&gt;&lt;Date&gt;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50</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6F54DC25" w14:textId="7C7A96BF"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50</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258E7D6A"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666E1CA7"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294E2802" w14:textId="77777777" w:rsidR="00AB098C" w:rsidRPr="00840785" w:rsidRDefault="00840785">
      <w:pPr>
        <w:pStyle w:val="NormalBold"/>
        <w:rPr>
          <w:lang w:val="en-GB"/>
        </w:rPr>
      </w:pPr>
      <w:r w:rsidRPr="00840785">
        <w:rPr>
          <w:rStyle w:val="HideTWBExt"/>
          <w:b w:val="0"/>
          <w:lang w:val="en-GB"/>
        </w:rPr>
        <w:t>&lt;/By&gt;&lt;/RepeatBlock-By&gt;</w:t>
      </w:r>
    </w:p>
    <w:p w14:paraId="36619970" w14:textId="147DAE63"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594826D1"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4006048E" w14:textId="30E45309"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41E99341"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38C2EC05" w14:textId="31E0E640"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28E559A1" w14:textId="7CE21660" w:rsidR="00AB098C" w:rsidRPr="00A83493" w:rsidRDefault="00840785">
      <w:pPr>
        <w:pStyle w:val="NormalBold"/>
      </w:pPr>
      <w:r>
        <w:rPr>
          <w:rStyle w:val="HideTWBExt"/>
        </w:rPr>
        <w:t>&lt;Article&gt;</w:t>
      </w:r>
      <w:r>
        <w:t xml:space="preserve">Bezugsvermerk 23 a (neu)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14:paraId="470DC1FC" w14:textId="77777777">
        <w:trPr>
          <w:trHeight w:hRule="exact" w:val="240"/>
          <w:jc w:val="center"/>
        </w:trPr>
        <w:tc>
          <w:tcPr>
            <w:tcW w:w="9752" w:type="dxa"/>
            <w:gridSpan w:val="2"/>
            <w:tcBorders>
              <w:top w:val="nil"/>
              <w:left w:val="nil"/>
              <w:bottom w:val="nil"/>
              <w:right w:val="nil"/>
            </w:tcBorders>
          </w:tcPr>
          <w:p w14:paraId="01AC38DA" w14:textId="77777777" w:rsidR="00AB098C" w:rsidRPr="00A83493" w:rsidRDefault="00AB098C"/>
        </w:tc>
      </w:tr>
      <w:tr w:rsidR="00B42586" w14:paraId="0561F3F4" w14:textId="77777777">
        <w:trPr>
          <w:trHeight w:val="240"/>
          <w:jc w:val="center"/>
        </w:trPr>
        <w:tc>
          <w:tcPr>
            <w:tcW w:w="4876" w:type="dxa"/>
            <w:tcBorders>
              <w:top w:val="nil"/>
              <w:left w:val="nil"/>
              <w:bottom w:val="nil"/>
              <w:right w:val="nil"/>
            </w:tcBorders>
          </w:tcPr>
          <w:p w14:paraId="75D7C2A1" w14:textId="7AD0958D" w:rsidR="00AB098C" w:rsidRPr="00A83493" w:rsidRDefault="00840785" w:rsidP="001C534A">
            <w:pPr>
              <w:pStyle w:val="AmColumnHeading"/>
            </w:pPr>
            <w:r>
              <w:t>Entschließungsantrag</w:t>
            </w:r>
          </w:p>
        </w:tc>
        <w:tc>
          <w:tcPr>
            <w:tcW w:w="4876" w:type="dxa"/>
            <w:tcBorders>
              <w:top w:val="nil"/>
              <w:left w:val="nil"/>
              <w:bottom w:val="nil"/>
              <w:right w:val="nil"/>
            </w:tcBorders>
          </w:tcPr>
          <w:p w14:paraId="71528269" w14:textId="1D47B6E2" w:rsidR="00AB098C" w:rsidRPr="00A83493" w:rsidRDefault="00840785">
            <w:pPr>
              <w:pStyle w:val="AmColumnHeading"/>
            </w:pPr>
            <w:r>
              <w:t>Geänderter Text</w:t>
            </w:r>
          </w:p>
        </w:tc>
      </w:tr>
      <w:tr w:rsidR="00B42586" w:rsidRPr="00840785" w14:paraId="35A3F6BE" w14:textId="77777777">
        <w:trPr>
          <w:jc w:val="center"/>
        </w:trPr>
        <w:tc>
          <w:tcPr>
            <w:tcW w:w="4876" w:type="dxa"/>
            <w:tcBorders>
              <w:top w:val="nil"/>
              <w:left w:val="nil"/>
              <w:bottom w:val="nil"/>
              <w:right w:val="nil"/>
            </w:tcBorders>
          </w:tcPr>
          <w:p w14:paraId="19D88A38" w14:textId="77777777" w:rsidR="00AB098C" w:rsidRPr="00A83493" w:rsidRDefault="00AB098C">
            <w:pPr>
              <w:pStyle w:val="Normal6a"/>
            </w:pPr>
          </w:p>
        </w:tc>
        <w:tc>
          <w:tcPr>
            <w:tcW w:w="4876" w:type="dxa"/>
            <w:tcBorders>
              <w:top w:val="nil"/>
              <w:left w:val="nil"/>
              <w:bottom w:val="nil"/>
              <w:right w:val="nil"/>
            </w:tcBorders>
          </w:tcPr>
          <w:p w14:paraId="0374F855" w14:textId="457B656D" w:rsidR="00AB098C" w:rsidRPr="00A83493" w:rsidRDefault="00840785">
            <w:pPr>
              <w:pStyle w:val="Normal6a"/>
              <w:pBdr>
                <w:bottom w:val="single" w:sz="12" w:space="1" w:color="auto"/>
              </w:pBdr>
              <w:rPr>
                <w:b/>
                <w:i/>
              </w:rPr>
            </w:pPr>
            <w:r>
              <w:rPr>
                <w:b/>
                <w:i/>
              </w:rPr>
              <w:t>–</w:t>
            </w:r>
            <w:r>
              <w:tab/>
            </w:r>
            <w:r>
              <w:rPr>
                <w:b/>
                <w:i/>
              </w:rPr>
              <w:t xml:space="preserve">unter Hinweis auf die Urteile des Gerichtshofs der Europäischen Union vom 16. Februar 2022 in </w:t>
            </w:r>
            <w:r>
              <w:rPr>
                <w:b/>
                <w:i/>
              </w:rPr>
              <w:t>der Rechtssache C-156/21 Ungarn/Parlament und Rat und in der Rechtssache C-157/21 Polen/Parlament und Rat</w:t>
            </w:r>
            <w:r>
              <w:rPr>
                <w:b/>
                <w:i/>
                <w:vertAlign w:val="superscript"/>
              </w:rPr>
              <w:t>1a</w:t>
            </w:r>
            <w:r>
              <w:rPr>
                <w:b/>
                <w:i/>
              </w:rPr>
              <w:t xml:space="preserve">, in denen die Rechtmäßigkeit der </w:t>
            </w:r>
            <w:proofErr w:type="spellStart"/>
            <w:r>
              <w:rPr>
                <w:b/>
                <w:i/>
              </w:rPr>
              <w:t>Konditionalitätsverordnung</w:t>
            </w:r>
            <w:proofErr w:type="spellEnd"/>
            <w:r>
              <w:rPr>
                <w:b/>
                <w:i/>
              </w:rPr>
              <w:t xml:space="preserve"> bestätigt wurde,</w:t>
            </w:r>
          </w:p>
          <w:p w14:paraId="233B5120" w14:textId="7895A482" w:rsidR="0022097A" w:rsidRPr="00840785" w:rsidRDefault="00840785">
            <w:pPr>
              <w:pStyle w:val="Normal6a"/>
              <w:rPr>
                <w:lang w:val="pt-PT"/>
              </w:rPr>
            </w:pPr>
            <w:r w:rsidRPr="00840785">
              <w:rPr>
                <w:b/>
                <w:i/>
                <w:vertAlign w:val="superscript"/>
                <w:lang w:val="pt-PT"/>
              </w:rPr>
              <w:t>1a</w:t>
            </w:r>
            <w:r w:rsidRPr="00840785">
              <w:rPr>
                <w:b/>
                <w:i/>
                <w:lang w:val="pt-PT"/>
              </w:rPr>
              <w:t xml:space="preserve"> ECLI:EU:</w:t>
            </w:r>
            <w:proofErr w:type="gramStart"/>
            <w:r w:rsidRPr="00840785">
              <w:rPr>
                <w:b/>
                <w:i/>
                <w:lang w:val="pt-PT"/>
              </w:rPr>
              <w:t>C:2022:97</w:t>
            </w:r>
            <w:proofErr w:type="gramEnd"/>
            <w:r w:rsidRPr="00840785">
              <w:rPr>
                <w:b/>
                <w:i/>
                <w:lang w:val="pt-PT"/>
              </w:rPr>
              <w:t xml:space="preserve"> </w:t>
            </w:r>
            <w:proofErr w:type="spellStart"/>
            <w:r w:rsidRPr="00840785">
              <w:rPr>
                <w:b/>
                <w:i/>
                <w:lang w:val="pt-PT"/>
              </w:rPr>
              <w:t>und</w:t>
            </w:r>
            <w:proofErr w:type="spellEnd"/>
            <w:r w:rsidRPr="00840785">
              <w:rPr>
                <w:b/>
                <w:i/>
                <w:lang w:val="pt-PT"/>
              </w:rPr>
              <w:t xml:space="preserve"> ECLI:EU:C:2022:98.</w:t>
            </w:r>
          </w:p>
        </w:tc>
      </w:tr>
    </w:tbl>
    <w:p w14:paraId="6E3DA0C0"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4D4CDBC3" w14:textId="77777777" w:rsidR="00AB098C" w:rsidRPr="00840785" w:rsidRDefault="00840785">
      <w:pPr>
        <w:rPr>
          <w:lang w:val="en-GB"/>
        </w:rPr>
        <w:sectPr w:rsidR="00AB098C" w:rsidRPr="00840785">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840785">
        <w:rPr>
          <w:rStyle w:val="HideTWBExt"/>
          <w:lang w:val="en-GB"/>
        </w:rPr>
        <w:t>&lt;/Amend&gt;</w:t>
      </w:r>
    </w:p>
    <w:p w14:paraId="1897A4FA"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51</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0CA0DC32" w14:textId="4E83940C"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51</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122C27AF"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42FB1CEC"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369153FD" w14:textId="77777777" w:rsidR="00AB098C" w:rsidRPr="00840785" w:rsidRDefault="00840785">
      <w:pPr>
        <w:pStyle w:val="NormalBold"/>
        <w:rPr>
          <w:lang w:val="en-GB"/>
        </w:rPr>
      </w:pPr>
      <w:r w:rsidRPr="00840785">
        <w:rPr>
          <w:rStyle w:val="HideTWBExt"/>
          <w:b w:val="0"/>
          <w:lang w:val="en-GB"/>
        </w:rPr>
        <w:t>&lt;/By&gt;&lt;/RepeatBlock-By&gt;</w:t>
      </w:r>
    </w:p>
    <w:p w14:paraId="004FEAFA" w14:textId="3B7B9087"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14F63909" w14:textId="77777777" w:rsidR="00AB098C" w:rsidRPr="00A83493" w:rsidRDefault="00840785">
      <w:pPr>
        <w:pStyle w:val="NormalBold"/>
      </w:pPr>
      <w:r>
        <w:rPr>
          <w:rStyle w:val="HideTWBExt"/>
        </w:rPr>
        <w:t>&lt;Rapporteur&gt;</w:t>
      </w:r>
      <w:r>
        <w:t xml:space="preserve">Julien </w:t>
      </w:r>
      <w:r>
        <w:t>Sanchez</w:t>
      </w:r>
      <w:r>
        <w:rPr>
          <w:rStyle w:val="HideTWBExt"/>
        </w:rPr>
        <w:t>&lt;/</w:t>
      </w:r>
      <w:proofErr w:type="spellStart"/>
      <w:r>
        <w:rPr>
          <w:rStyle w:val="HideTWBExt"/>
        </w:rPr>
        <w:t>Rapporteur</w:t>
      </w:r>
      <w:proofErr w:type="spellEnd"/>
      <w:r>
        <w:rPr>
          <w:rStyle w:val="HideTWBExt"/>
        </w:rPr>
        <w:t>&gt;</w:t>
      </w:r>
    </w:p>
    <w:p w14:paraId="44F6DB4C" w14:textId="69E7F1E8"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4D47D053"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570FEAC6" w14:textId="5C7CA8B1"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18AE99FB" w14:textId="67F73CAE" w:rsidR="00AB098C" w:rsidRPr="00A83493" w:rsidRDefault="00840785">
      <w:pPr>
        <w:pStyle w:val="NormalBold"/>
      </w:pPr>
      <w:r>
        <w:rPr>
          <w:rStyle w:val="HideTWBExt"/>
        </w:rPr>
        <w:t>&lt;Article&gt;</w:t>
      </w:r>
      <w:r>
        <w:t xml:space="preserve">Bezugsvermerk 25 b (neu)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14:paraId="62EB1AFB" w14:textId="77777777">
        <w:trPr>
          <w:trHeight w:hRule="exact" w:val="240"/>
          <w:jc w:val="center"/>
        </w:trPr>
        <w:tc>
          <w:tcPr>
            <w:tcW w:w="9752" w:type="dxa"/>
            <w:gridSpan w:val="2"/>
            <w:tcBorders>
              <w:top w:val="nil"/>
              <w:left w:val="nil"/>
              <w:bottom w:val="nil"/>
              <w:right w:val="nil"/>
            </w:tcBorders>
          </w:tcPr>
          <w:p w14:paraId="7D55E2CF" w14:textId="77777777" w:rsidR="00AB098C" w:rsidRPr="00A83493" w:rsidRDefault="00AB098C"/>
        </w:tc>
      </w:tr>
      <w:tr w:rsidR="00B42586" w14:paraId="689BD4CC" w14:textId="77777777">
        <w:trPr>
          <w:trHeight w:val="240"/>
          <w:jc w:val="center"/>
        </w:trPr>
        <w:tc>
          <w:tcPr>
            <w:tcW w:w="4876" w:type="dxa"/>
            <w:tcBorders>
              <w:top w:val="nil"/>
              <w:left w:val="nil"/>
              <w:bottom w:val="nil"/>
              <w:right w:val="nil"/>
            </w:tcBorders>
          </w:tcPr>
          <w:p w14:paraId="7076EBB8" w14:textId="1C51F6D1" w:rsidR="00AB098C" w:rsidRPr="00A83493" w:rsidRDefault="00840785" w:rsidP="001C534A">
            <w:pPr>
              <w:pStyle w:val="AmColumnHeading"/>
            </w:pPr>
            <w:r>
              <w:t>Entschließungsantrag</w:t>
            </w:r>
          </w:p>
        </w:tc>
        <w:tc>
          <w:tcPr>
            <w:tcW w:w="4876" w:type="dxa"/>
            <w:tcBorders>
              <w:top w:val="nil"/>
              <w:left w:val="nil"/>
              <w:bottom w:val="nil"/>
              <w:right w:val="nil"/>
            </w:tcBorders>
          </w:tcPr>
          <w:p w14:paraId="1D3DD833" w14:textId="1FF17367" w:rsidR="00AB098C" w:rsidRPr="00A83493" w:rsidRDefault="00840785">
            <w:pPr>
              <w:pStyle w:val="AmColumnHeading"/>
            </w:pPr>
            <w:r>
              <w:t>Geänderter Text</w:t>
            </w:r>
          </w:p>
        </w:tc>
      </w:tr>
      <w:tr w:rsidR="00B42586" w14:paraId="6BA02098" w14:textId="77777777">
        <w:trPr>
          <w:jc w:val="center"/>
        </w:trPr>
        <w:tc>
          <w:tcPr>
            <w:tcW w:w="4876" w:type="dxa"/>
            <w:tcBorders>
              <w:top w:val="nil"/>
              <w:left w:val="nil"/>
              <w:bottom w:val="nil"/>
              <w:right w:val="nil"/>
            </w:tcBorders>
          </w:tcPr>
          <w:p w14:paraId="3D3F7FC2" w14:textId="77777777" w:rsidR="00AB098C" w:rsidRPr="00A83493" w:rsidRDefault="00AB098C">
            <w:pPr>
              <w:pStyle w:val="Normal6a"/>
            </w:pPr>
          </w:p>
        </w:tc>
        <w:tc>
          <w:tcPr>
            <w:tcW w:w="4876" w:type="dxa"/>
            <w:tcBorders>
              <w:top w:val="nil"/>
              <w:left w:val="nil"/>
              <w:bottom w:val="nil"/>
              <w:right w:val="nil"/>
            </w:tcBorders>
          </w:tcPr>
          <w:p w14:paraId="481513A9" w14:textId="5E786CD9" w:rsidR="00AB098C" w:rsidRPr="00A83493" w:rsidRDefault="00840785">
            <w:pPr>
              <w:pStyle w:val="Normal6a"/>
            </w:pPr>
            <w:r>
              <w:rPr>
                <w:b/>
                <w:i/>
              </w:rPr>
              <w:t>–</w:t>
            </w:r>
            <w:r>
              <w:tab/>
            </w:r>
            <w:r>
              <w:rPr>
                <w:b/>
                <w:i/>
              </w:rPr>
              <w:t xml:space="preserve">unter Hinweis auf die von der </w:t>
            </w:r>
            <w:proofErr w:type="spellStart"/>
            <w:r>
              <w:rPr>
                <w:b/>
                <w:i/>
              </w:rPr>
              <w:t>EUStA</w:t>
            </w:r>
            <w:proofErr w:type="spellEnd"/>
            <w:r>
              <w:rPr>
                <w:b/>
                <w:i/>
              </w:rPr>
              <w:t xml:space="preserve"> im Juli 2025 eingeleitete und noch laufende Untersuchung im Zusammenhang mit der mutmaßlichen missbräuchlichen Verwendung von Unionsmitteln durch die ehemalige Fraktion </w:t>
            </w:r>
            <w:r>
              <w:rPr>
                <w:b/>
                <w:i/>
              </w:rPr>
              <w:t>Identität und Demokratie des Europäischen Parlaments,</w:t>
            </w:r>
          </w:p>
        </w:tc>
      </w:tr>
    </w:tbl>
    <w:p w14:paraId="790F5E20"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5D9AFC04"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1DC3122D"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52</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5F9D1154" w14:textId="51B2174B"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52</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27AE9A36"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705EC329"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7E71E8E9" w14:textId="77777777" w:rsidR="00AB098C" w:rsidRPr="00840785" w:rsidRDefault="00840785">
      <w:pPr>
        <w:pStyle w:val="NormalBold"/>
        <w:rPr>
          <w:lang w:val="en-GB"/>
        </w:rPr>
      </w:pPr>
      <w:r w:rsidRPr="00840785">
        <w:rPr>
          <w:rStyle w:val="HideTWBExt"/>
          <w:b w:val="0"/>
          <w:lang w:val="en-GB"/>
        </w:rPr>
        <w:t>&lt;/By&gt;&lt;/RepeatBlock-By&gt;</w:t>
      </w:r>
    </w:p>
    <w:p w14:paraId="73013DEF" w14:textId="3A543CBC"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11B1ED71"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71EEC604" w14:textId="4192E226" w:rsidR="00AB098C" w:rsidRPr="00A83493" w:rsidRDefault="00840785">
      <w:r>
        <w:rPr>
          <w:rStyle w:val="HideTWBExt"/>
        </w:rPr>
        <w:t>&lt;Titre&gt;</w:t>
      </w:r>
      <w:r>
        <w:t xml:space="preserve">Schutz der finanziellen Interessen der </w:t>
      </w:r>
      <w:r>
        <w:t>Europäischen Union – Betrugsbekämpfung – Jahresbericht 2024</w:t>
      </w:r>
      <w:r>
        <w:rPr>
          <w:rStyle w:val="HideTWBExt"/>
        </w:rPr>
        <w:t>&lt;/</w:t>
      </w:r>
      <w:proofErr w:type="spellStart"/>
      <w:r>
        <w:rPr>
          <w:rStyle w:val="HideTWBExt"/>
        </w:rPr>
        <w:t>Titre</w:t>
      </w:r>
      <w:proofErr w:type="spellEnd"/>
      <w:r>
        <w:rPr>
          <w:rStyle w:val="HideTWBExt"/>
        </w:rPr>
        <w:t>&gt;</w:t>
      </w:r>
    </w:p>
    <w:p w14:paraId="702F699B"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65F35DB6" w14:textId="508A879A"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445EF971" w14:textId="5CA1F66B" w:rsidR="00AB098C" w:rsidRPr="00840785" w:rsidRDefault="00840785">
      <w:pPr>
        <w:pStyle w:val="NormalBold"/>
        <w:rPr>
          <w:lang w:val="fr-BE"/>
        </w:rPr>
      </w:pPr>
      <w:r>
        <w:rPr>
          <w:rStyle w:val="HideTWBExt"/>
          <w:lang w:val="fr-BE"/>
        </w:rPr>
        <w:t>&lt;Article&gt;</w:t>
      </w:r>
      <w:proofErr w:type="spellStart"/>
      <w:r w:rsidRPr="00840785">
        <w:rPr>
          <w:lang w:val="fr-BE"/>
        </w:rPr>
        <w:t>Ziffer</w:t>
      </w:r>
      <w:proofErr w:type="spellEnd"/>
      <w:r w:rsidRPr="00840785">
        <w:rPr>
          <w:lang w:val="fr-BE"/>
        </w:rPr>
        <w:t xml:space="preserve"> 2 a (</w:t>
      </w:r>
      <w:proofErr w:type="spellStart"/>
      <w:r w:rsidRPr="00840785">
        <w:rPr>
          <w:lang w:val="fr-BE"/>
        </w:rPr>
        <w:t>neu</w:t>
      </w:r>
      <w:proofErr w:type="spellEnd"/>
      <w:r w:rsidRPr="00840785">
        <w:rPr>
          <w:lang w:val="fr-BE"/>
        </w:rPr>
        <w:t>)</w:t>
      </w:r>
      <w:r>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rsidRPr="00840785" w14:paraId="72A4562E" w14:textId="77777777">
        <w:trPr>
          <w:trHeight w:hRule="exact" w:val="240"/>
          <w:jc w:val="center"/>
        </w:trPr>
        <w:tc>
          <w:tcPr>
            <w:tcW w:w="9752" w:type="dxa"/>
            <w:gridSpan w:val="2"/>
            <w:tcBorders>
              <w:top w:val="nil"/>
              <w:left w:val="nil"/>
              <w:bottom w:val="nil"/>
              <w:right w:val="nil"/>
            </w:tcBorders>
          </w:tcPr>
          <w:p w14:paraId="0A94343A" w14:textId="77777777" w:rsidR="00AB098C" w:rsidRPr="001C534A" w:rsidRDefault="00AB098C">
            <w:pPr>
              <w:rPr>
                <w:lang w:val="fr-BE"/>
              </w:rPr>
            </w:pPr>
          </w:p>
        </w:tc>
      </w:tr>
      <w:tr w:rsidR="00B42586" w14:paraId="1FB50B3E" w14:textId="77777777">
        <w:trPr>
          <w:trHeight w:val="240"/>
          <w:jc w:val="center"/>
        </w:trPr>
        <w:tc>
          <w:tcPr>
            <w:tcW w:w="4876" w:type="dxa"/>
            <w:tcBorders>
              <w:top w:val="nil"/>
              <w:left w:val="nil"/>
              <w:bottom w:val="nil"/>
              <w:right w:val="nil"/>
            </w:tcBorders>
          </w:tcPr>
          <w:p w14:paraId="258B1CFF" w14:textId="4BD317F6" w:rsidR="00AB098C" w:rsidRPr="00A83493" w:rsidRDefault="00840785" w:rsidP="001C534A">
            <w:pPr>
              <w:pStyle w:val="AmColumnHeading"/>
            </w:pPr>
            <w:r>
              <w:t>Entschließungsantrag</w:t>
            </w:r>
          </w:p>
        </w:tc>
        <w:tc>
          <w:tcPr>
            <w:tcW w:w="4876" w:type="dxa"/>
            <w:tcBorders>
              <w:top w:val="nil"/>
              <w:left w:val="nil"/>
              <w:bottom w:val="nil"/>
              <w:right w:val="nil"/>
            </w:tcBorders>
          </w:tcPr>
          <w:p w14:paraId="64E426E5" w14:textId="461E7A28" w:rsidR="00AB098C" w:rsidRPr="00A83493" w:rsidRDefault="00840785">
            <w:pPr>
              <w:pStyle w:val="AmColumnHeading"/>
            </w:pPr>
            <w:r>
              <w:t>Geänderter Text</w:t>
            </w:r>
          </w:p>
        </w:tc>
      </w:tr>
      <w:tr w:rsidR="00B42586" w14:paraId="1A4C7A08" w14:textId="77777777">
        <w:trPr>
          <w:jc w:val="center"/>
        </w:trPr>
        <w:tc>
          <w:tcPr>
            <w:tcW w:w="4876" w:type="dxa"/>
            <w:tcBorders>
              <w:top w:val="nil"/>
              <w:left w:val="nil"/>
              <w:bottom w:val="nil"/>
              <w:right w:val="nil"/>
            </w:tcBorders>
          </w:tcPr>
          <w:p w14:paraId="7F7CFA26" w14:textId="77777777" w:rsidR="00AB098C" w:rsidRPr="00A83493" w:rsidRDefault="00AB098C">
            <w:pPr>
              <w:pStyle w:val="Normal6a"/>
            </w:pPr>
          </w:p>
        </w:tc>
        <w:tc>
          <w:tcPr>
            <w:tcW w:w="4876" w:type="dxa"/>
            <w:tcBorders>
              <w:top w:val="nil"/>
              <w:left w:val="nil"/>
              <w:bottom w:val="nil"/>
              <w:right w:val="nil"/>
            </w:tcBorders>
          </w:tcPr>
          <w:p w14:paraId="78957F95" w14:textId="3A1F513C" w:rsidR="00AB098C" w:rsidRPr="00A83493" w:rsidRDefault="00840785">
            <w:pPr>
              <w:pStyle w:val="Normal6a"/>
            </w:pPr>
            <w:r>
              <w:rPr>
                <w:b/>
                <w:i/>
              </w:rPr>
              <w:t>2a.</w:t>
            </w:r>
            <w:r>
              <w:tab/>
            </w:r>
            <w:r>
              <w:rPr>
                <w:b/>
                <w:i/>
              </w:rPr>
              <w:t xml:space="preserve">bedauert, dass sich nicht </w:t>
            </w:r>
            <w:r>
              <w:rPr>
                <w:b/>
                <w:i/>
              </w:rPr>
              <w:t xml:space="preserve">alle Mitgliedstaaten an der </w:t>
            </w:r>
            <w:proofErr w:type="spellStart"/>
            <w:r>
              <w:rPr>
                <w:b/>
                <w:i/>
              </w:rPr>
              <w:t>EUStA</w:t>
            </w:r>
            <w:proofErr w:type="spellEnd"/>
            <w:r>
              <w:rPr>
                <w:b/>
                <w:i/>
              </w:rPr>
              <w:t xml:space="preserve"> beteiligen, was zu Durchsetzungslücken führt, die die Fähigkeit der EU schwächen, ihre finanziellen Interessen auf einer einheitlichen Grundlage zu schützen; stellt fest, dass die </w:t>
            </w:r>
            <w:proofErr w:type="spellStart"/>
            <w:r>
              <w:rPr>
                <w:b/>
                <w:i/>
              </w:rPr>
              <w:t>EUStA</w:t>
            </w:r>
            <w:proofErr w:type="spellEnd"/>
            <w:r>
              <w:rPr>
                <w:b/>
                <w:i/>
              </w:rPr>
              <w:t xml:space="preserve"> im Jahr 2024 eine erhebliche Zahl von Europäischen Ermittlungsanordnungen und Rechtshilfeersuchen erlassen hat, an denen nicht teilnehmende Mitgliedstaaten beteiligt waren, was zu zusätzlichem Verfahrensaufwand führte und die Gefahr mit sich brachte, dass Beweismittel verloren gehen; fordert</w:t>
            </w:r>
            <w:r>
              <w:rPr>
                <w:b/>
                <w:i/>
              </w:rPr>
              <w:t xml:space="preserve"> die verbleibenden nicht teilnehmenden Mitgliedstaaten erneut auf, sich unverzüglich der </w:t>
            </w:r>
            <w:proofErr w:type="spellStart"/>
            <w:r>
              <w:rPr>
                <w:b/>
                <w:i/>
              </w:rPr>
              <w:t>EUStA</w:t>
            </w:r>
            <w:proofErr w:type="spellEnd"/>
            <w:r>
              <w:rPr>
                <w:b/>
                <w:i/>
              </w:rPr>
              <w:t xml:space="preserve"> anzuschließen;</w:t>
            </w:r>
          </w:p>
        </w:tc>
      </w:tr>
    </w:tbl>
    <w:p w14:paraId="02F244F9"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234CC38C"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52F6A974"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53</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5BCF9E95" w14:textId="50655804"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53</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470392FE"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6F2B0472"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60567203" w14:textId="77777777" w:rsidR="00AB098C" w:rsidRPr="00840785" w:rsidRDefault="00840785">
      <w:pPr>
        <w:pStyle w:val="NormalBold"/>
        <w:rPr>
          <w:lang w:val="en-GB"/>
        </w:rPr>
      </w:pPr>
      <w:r w:rsidRPr="00840785">
        <w:rPr>
          <w:rStyle w:val="HideTWBExt"/>
          <w:b w:val="0"/>
          <w:lang w:val="en-GB"/>
        </w:rPr>
        <w:t>&lt;/By&gt;&lt;/RepeatBlock-By&gt;</w:t>
      </w:r>
    </w:p>
    <w:p w14:paraId="6F60CCCE" w14:textId="4EB14CE1"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6F9DF45E"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19B4ABF8" w14:textId="5CA79DD2"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4335F946"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08A8C468" w14:textId="0673789A"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4D837251" w14:textId="3C2D615A" w:rsidR="00AB098C" w:rsidRPr="00A83493" w:rsidRDefault="00840785">
      <w:pPr>
        <w:pStyle w:val="NormalBold"/>
      </w:pPr>
      <w:r>
        <w:rPr>
          <w:rStyle w:val="HideTWBExt"/>
        </w:rPr>
        <w:t>&lt;Article&gt;</w:t>
      </w:r>
      <w:r>
        <w:t>Ziffer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14:paraId="1FA13BA9" w14:textId="77777777">
        <w:trPr>
          <w:trHeight w:hRule="exact" w:val="240"/>
          <w:jc w:val="center"/>
        </w:trPr>
        <w:tc>
          <w:tcPr>
            <w:tcW w:w="9752" w:type="dxa"/>
            <w:gridSpan w:val="2"/>
            <w:tcBorders>
              <w:top w:val="nil"/>
              <w:left w:val="nil"/>
              <w:bottom w:val="nil"/>
              <w:right w:val="nil"/>
            </w:tcBorders>
          </w:tcPr>
          <w:p w14:paraId="46C57188" w14:textId="77777777" w:rsidR="00AB098C" w:rsidRPr="00A83493" w:rsidRDefault="00AB098C"/>
        </w:tc>
      </w:tr>
      <w:tr w:rsidR="00B42586" w14:paraId="4A9D3AC4" w14:textId="77777777">
        <w:trPr>
          <w:trHeight w:val="240"/>
          <w:jc w:val="center"/>
        </w:trPr>
        <w:tc>
          <w:tcPr>
            <w:tcW w:w="4876" w:type="dxa"/>
            <w:tcBorders>
              <w:top w:val="nil"/>
              <w:left w:val="nil"/>
              <w:bottom w:val="nil"/>
              <w:right w:val="nil"/>
            </w:tcBorders>
          </w:tcPr>
          <w:p w14:paraId="077A804A" w14:textId="6656F4D0" w:rsidR="00AB098C" w:rsidRPr="00A83493" w:rsidRDefault="00840785" w:rsidP="001C534A">
            <w:pPr>
              <w:pStyle w:val="AmColumnHeading"/>
            </w:pPr>
            <w:r>
              <w:t>Entschließungsantrag</w:t>
            </w:r>
          </w:p>
        </w:tc>
        <w:tc>
          <w:tcPr>
            <w:tcW w:w="4876" w:type="dxa"/>
            <w:tcBorders>
              <w:top w:val="nil"/>
              <w:left w:val="nil"/>
              <w:bottom w:val="nil"/>
              <w:right w:val="nil"/>
            </w:tcBorders>
          </w:tcPr>
          <w:p w14:paraId="01984BB6" w14:textId="4EB8EA91" w:rsidR="00AB098C" w:rsidRPr="00A83493" w:rsidRDefault="00840785">
            <w:pPr>
              <w:pStyle w:val="AmColumnHeading"/>
            </w:pPr>
            <w:r>
              <w:t>Geänderter Text</w:t>
            </w:r>
          </w:p>
        </w:tc>
      </w:tr>
      <w:tr w:rsidR="00B42586" w14:paraId="461AF8AA" w14:textId="77777777">
        <w:trPr>
          <w:jc w:val="center"/>
        </w:trPr>
        <w:tc>
          <w:tcPr>
            <w:tcW w:w="4876" w:type="dxa"/>
            <w:tcBorders>
              <w:top w:val="nil"/>
              <w:left w:val="nil"/>
              <w:bottom w:val="nil"/>
              <w:right w:val="nil"/>
            </w:tcBorders>
          </w:tcPr>
          <w:p w14:paraId="0CE44D25" w14:textId="339AE777" w:rsidR="00AB098C" w:rsidRPr="00A83493" w:rsidRDefault="00840785">
            <w:pPr>
              <w:pStyle w:val="Normal6a"/>
            </w:pPr>
            <w:r>
              <w:t>3.</w:t>
            </w:r>
            <w:r>
              <w:tab/>
              <w:t xml:space="preserve">betont, dass die Rechtsstaatlichkeit ein Eckpfeiler der EU und von wesentlicher Bedeutung für den Schutz der finanziellen Interessen der EU in allen Mitgliedstaaten ist; </w:t>
            </w:r>
            <w:r>
              <w:t xml:space="preserve">betont, dass der an die Rechtsstaatlichkeit geknüpfte </w:t>
            </w:r>
            <w:proofErr w:type="spellStart"/>
            <w:r>
              <w:t>Konditionalitätsmechanismus</w:t>
            </w:r>
            <w:proofErr w:type="spellEnd"/>
            <w:r>
              <w:t xml:space="preserve"> angewandt werden muss, wenn sich Verstöße </w:t>
            </w:r>
            <w:r>
              <w:rPr>
                <w:b/>
                <w:i/>
              </w:rPr>
              <w:t>unmittelbar</w:t>
            </w:r>
            <w:r>
              <w:t xml:space="preserve"> auf den EU-Haushalt auswirken; betont, dass Beschlüsse zum Schutz der finanziellen Interessen der EU auf technischen und rechtlichen Erkenntnissen beruhen müssen; fordert die Kommission auf, für eine kohärente und verhältnismäßige Nutzung des Mechanismus zu sorgen und gleichzeitig die primäre Verantwortung der Mitgliedstaaten für die Wahrung der Grundsätze der Rechtsstaatli</w:t>
            </w:r>
            <w:r>
              <w:t>chkeit zu achten und für Kohärenz zwischen den EU-Instrumenten zu sorgen;</w:t>
            </w:r>
          </w:p>
        </w:tc>
        <w:tc>
          <w:tcPr>
            <w:tcW w:w="4876" w:type="dxa"/>
            <w:tcBorders>
              <w:top w:val="nil"/>
              <w:left w:val="nil"/>
              <w:bottom w:val="nil"/>
              <w:right w:val="nil"/>
            </w:tcBorders>
          </w:tcPr>
          <w:p w14:paraId="2D703E83" w14:textId="077BD94F" w:rsidR="00AB098C" w:rsidRPr="00A83493" w:rsidRDefault="00840785">
            <w:pPr>
              <w:pStyle w:val="Normal6a"/>
            </w:pPr>
            <w:r>
              <w:t>3.</w:t>
            </w:r>
            <w:r>
              <w:tab/>
              <w:t xml:space="preserve">betont, dass die Rechtsstaatlichkeit ein Eckpfeiler der EU und von wesentlicher Bedeutung für den Schutz der finanziellen Interessen der EU in allen Mitgliedstaaten ist; betont, dass der an die Rechtsstaatlichkeit geknüpfte </w:t>
            </w:r>
            <w:proofErr w:type="spellStart"/>
            <w:r>
              <w:t>Konditionalitätsmechanismus</w:t>
            </w:r>
            <w:proofErr w:type="spellEnd"/>
            <w:r>
              <w:t xml:space="preserve"> </w:t>
            </w:r>
            <w:r>
              <w:rPr>
                <w:b/>
                <w:i/>
              </w:rPr>
              <w:t>im Einklang mit der ständigen Rechtsprechung des Gerichtshofs</w:t>
            </w:r>
            <w:r>
              <w:t xml:space="preserve"> angewandt werden muss, wenn sich Verstöße </w:t>
            </w:r>
            <w:r>
              <w:rPr>
                <w:b/>
                <w:i/>
              </w:rPr>
              <w:t>gegen die Unabhängigkeit der Justiz, die staatsanwaltschaftlichen Fähigkeiten, die Rechenschaftspflicht oder die Transparenz</w:t>
            </w:r>
            <w:r>
              <w:t xml:space="preserve"> auf </w:t>
            </w:r>
            <w:r>
              <w:rPr>
                <w:b/>
                <w:i/>
              </w:rPr>
              <w:t>die Wirtschaftlichkeit der</w:t>
            </w:r>
            <w:r>
              <w:rPr>
                <w:b/>
                <w:i/>
              </w:rPr>
              <w:t xml:space="preserve"> Haushaltsführung der EU</w:t>
            </w:r>
            <w:r>
              <w:t xml:space="preserve"> auswirken </w:t>
            </w:r>
            <w:r>
              <w:rPr>
                <w:b/>
                <w:i/>
              </w:rPr>
              <w:t>oder auszuwirken drohen</w:t>
            </w:r>
            <w:r>
              <w:t>; betont, dass Beschlüsse zum Schutz der finanziellen Interessen der EU auf technischen und rechtlichen Erkenntnissen beruhen müssen; fordert die Kommission auf, für einen kohärenten und verhältnismäßigen Einsatz des Mechanismus zu sorgen, gleichzeitig die primäre Verantwortung der Mitgliedstaaten für die Wahrung der Grundsätze der Rechtsstaatlichkeit zu achten und für Kohärenz zwischen den EU-Instrumenten zu sorgen;</w:t>
            </w:r>
          </w:p>
        </w:tc>
      </w:tr>
    </w:tbl>
    <w:p w14:paraId="13C259C4"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21FA7D09"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219B8B07"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54</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67314D54" w14:textId="07888E91"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54</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69707BC9"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1B49B9EB"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766E356C" w14:textId="77777777" w:rsidR="00AB098C" w:rsidRPr="00840785" w:rsidRDefault="00840785">
      <w:pPr>
        <w:pStyle w:val="NormalBold"/>
        <w:rPr>
          <w:lang w:val="en-GB"/>
        </w:rPr>
      </w:pPr>
      <w:r w:rsidRPr="00840785">
        <w:rPr>
          <w:rStyle w:val="HideTWBExt"/>
          <w:b w:val="0"/>
          <w:lang w:val="en-GB"/>
        </w:rPr>
        <w:t>&lt;/By&gt;&lt;/RepeatBlock-By&gt;</w:t>
      </w:r>
    </w:p>
    <w:p w14:paraId="7D047441" w14:textId="48E6E14A"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2EECE3EA"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50F05D0D" w14:textId="50C0726E" w:rsidR="00AB098C" w:rsidRPr="00A83493" w:rsidRDefault="00840785">
      <w:r>
        <w:rPr>
          <w:rStyle w:val="HideTWBExt"/>
        </w:rPr>
        <w:t>&lt;Titre&gt;</w:t>
      </w:r>
      <w:r>
        <w:t xml:space="preserve">Schutz der finanziellen Interessen der </w:t>
      </w:r>
      <w:r>
        <w:t>Europäischen Union – Betrugsbekämpfung – Jahresbericht 2024</w:t>
      </w:r>
      <w:r>
        <w:rPr>
          <w:rStyle w:val="HideTWBExt"/>
        </w:rPr>
        <w:t>&lt;/</w:t>
      </w:r>
      <w:proofErr w:type="spellStart"/>
      <w:r>
        <w:rPr>
          <w:rStyle w:val="HideTWBExt"/>
        </w:rPr>
        <w:t>Titre</w:t>
      </w:r>
      <w:proofErr w:type="spellEnd"/>
      <w:r>
        <w:rPr>
          <w:rStyle w:val="HideTWBExt"/>
        </w:rPr>
        <w:t>&gt;</w:t>
      </w:r>
    </w:p>
    <w:p w14:paraId="302E9BC8"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071B1C41" w14:textId="20127675"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36179FDD" w14:textId="7CCB93E5" w:rsidR="00AB098C" w:rsidRPr="00840785" w:rsidRDefault="00840785">
      <w:pPr>
        <w:pStyle w:val="NormalBold"/>
        <w:rPr>
          <w:lang w:val="fr-BE"/>
        </w:rPr>
      </w:pPr>
      <w:r>
        <w:rPr>
          <w:rStyle w:val="HideTWBExt"/>
          <w:lang w:val="fr-BE"/>
        </w:rPr>
        <w:t>&lt;Article&gt;</w:t>
      </w:r>
      <w:proofErr w:type="spellStart"/>
      <w:r w:rsidRPr="00840785">
        <w:rPr>
          <w:lang w:val="fr-BE"/>
        </w:rPr>
        <w:t>Ziffer</w:t>
      </w:r>
      <w:proofErr w:type="spellEnd"/>
      <w:r w:rsidRPr="00840785">
        <w:rPr>
          <w:lang w:val="fr-BE"/>
        </w:rPr>
        <w:t xml:space="preserve"> 3 a (</w:t>
      </w:r>
      <w:proofErr w:type="spellStart"/>
      <w:r w:rsidRPr="00840785">
        <w:rPr>
          <w:lang w:val="fr-BE"/>
        </w:rPr>
        <w:t>neu</w:t>
      </w:r>
      <w:proofErr w:type="spellEnd"/>
      <w:r w:rsidRPr="00840785">
        <w:rPr>
          <w:lang w:val="fr-BE"/>
        </w:rPr>
        <w:t>)</w:t>
      </w:r>
      <w:r>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rsidRPr="00840785" w14:paraId="54AF2CE3" w14:textId="77777777">
        <w:trPr>
          <w:trHeight w:hRule="exact" w:val="240"/>
          <w:jc w:val="center"/>
        </w:trPr>
        <w:tc>
          <w:tcPr>
            <w:tcW w:w="9752" w:type="dxa"/>
            <w:gridSpan w:val="2"/>
            <w:tcBorders>
              <w:top w:val="nil"/>
              <w:left w:val="nil"/>
              <w:bottom w:val="nil"/>
              <w:right w:val="nil"/>
            </w:tcBorders>
          </w:tcPr>
          <w:p w14:paraId="435CA83E" w14:textId="77777777" w:rsidR="00AB098C" w:rsidRPr="001C534A" w:rsidRDefault="00AB098C">
            <w:pPr>
              <w:rPr>
                <w:lang w:val="fr-BE"/>
              </w:rPr>
            </w:pPr>
          </w:p>
        </w:tc>
      </w:tr>
      <w:tr w:rsidR="00B42586" w14:paraId="5BFEF2D6" w14:textId="77777777">
        <w:trPr>
          <w:trHeight w:val="240"/>
          <w:jc w:val="center"/>
        </w:trPr>
        <w:tc>
          <w:tcPr>
            <w:tcW w:w="4876" w:type="dxa"/>
            <w:tcBorders>
              <w:top w:val="nil"/>
              <w:left w:val="nil"/>
              <w:bottom w:val="nil"/>
              <w:right w:val="nil"/>
            </w:tcBorders>
          </w:tcPr>
          <w:p w14:paraId="5F59DC8D" w14:textId="1E60C224" w:rsidR="00AB098C" w:rsidRPr="00A83493" w:rsidRDefault="00840785" w:rsidP="001C534A">
            <w:pPr>
              <w:pStyle w:val="AmColumnHeading"/>
            </w:pPr>
            <w:r>
              <w:t>Entschließungsantrag</w:t>
            </w:r>
          </w:p>
        </w:tc>
        <w:tc>
          <w:tcPr>
            <w:tcW w:w="4876" w:type="dxa"/>
            <w:tcBorders>
              <w:top w:val="nil"/>
              <w:left w:val="nil"/>
              <w:bottom w:val="nil"/>
              <w:right w:val="nil"/>
            </w:tcBorders>
          </w:tcPr>
          <w:p w14:paraId="156EF022" w14:textId="020A5E18" w:rsidR="00AB098C" w:rsidRPr="00A83493" w:rsidRDefault="00840785">
            <w:pPr>
              <w:pStyle w:val="AmColumnHeading"/>
            </w:pPr>
            <w:r>
              <w:t>Geänderter Text</w:t>
            </w:r>
          </w:p>
        </w:tc>
      </w:tr>
      <w:tr w:rsidR="00B42586" w14:paraId="4ADC2E69" w14:textId="77777777">
        <w:trPr>
          <w:jc w:val="center"/>
        </w:trPr>
        <w:tc>
          <w:tcPr>
            <w:tcW w:w="4876" w:type="dxa"/>
            <w:tcBorders>
              <w:top w:val="nil"/>
              <w:left w:val="nil"/>
              <w:bottom w:val="nil"/>
              <w:right w:val="nil"/>
            </w:tcBorders>
          </w:tcPr>
          <w:p w14:paraId="5EB6D534" w14:textId="77777777" w:rsidR="00AB098C" w:rsidRPr="00A83493" w:rsidRDefault="00AB098C">
            <w:pPr>
              <w:pStyle w:val="Normal6a"/>
            </w:pPr>
          </w:p>
        </w:tc>
        <w:tc>
          <w:tcPr>
            <w:tcW w:w="4876" w:type="dxa"/>
            <w:tcBorders>
              <w:top w:val="nil"/>
              <w:left w:val="nil"/>
              <w:bottom w:val="nil"/>
              <w:right w:val="nil"/>
            </w:tcBorders>
          </w:tcPr>
          <w:p w14:paraId="271E2773" w14:textId="583C3293" w:rsidR="00AB098C" w:rsidRPr="00A83493" w:rsidRDefault="00840785">
            <w:pPr>
              <w:pStyle w:val="Normal6a"/>
            </w:pPr>
            <w:r>
              <w:rPr>
                <w:b/>
                <w:i/>
              </w:rPr>
              <w:t>3a.</w:t>
            </w:r>
            <w:r>
              <w:tab/>
            </w:r>
            <w:r>
              <w:rPr>
                <w:b/>
                <w:i/>
              </w:rPr>
              <w:t xml:space="preserve">stellt mit großer </w:t>
            </w:r>
            <w:r>
              <w:rPr>
                <w:b/>
                <w:i/>
              </w:rPr>
              <w:t xml:space="preserve">Besorgnis fest, dass sich die Rechtsstaatlichkeit in bestimmten Mitgliedstaaten laufend verschlechtert, insbesondere in Ungarn, wo wiederholt systemische Risiken für die finanziellen Interessen der Union festgestellt wurden, unter anderem durch den Europäischen Rechnungshof, das OLAF und die </w:t>
            </w:r>
            <w:proofErr w:type="spellStart"/>
            <w:r>
              <w:rPr>
                <w:b/>
                <w:i/>
              </w:rPr>
              <w:t>EUStA</w:t>
            </w:r>
            <w:proofErr w:type="spellEnd"/>
            <w:r>
              <w:rPr>
                <w:b/>
                <w:i/>
              </w:rPr>
              <w:t xml:space="preserve">; weist darauf hin, dass der Rat im Dezember 2022 im Rahmen der </w:t>
            </w:r>
            <w:proofErr w:type="spellStart"/>
            <w:r>
              <w:rPr>
                <w:b/>
                <w:i/>
              </w:rPr>
              <w:t>Konditionalitätsverordnung</w:t>
            </w:r>
            <w:proofErr w:type="spellEnd"/>
            <w:r>
              <w:rPr>
                <w:b/>
                <w:i/>
              </w:rPr>
              <w:t xml:space="preserve"> 6,3 Mrd. EUR an Kohäsionsmitteln für Ungarn ausgesetzt hat und dass erhebliche Beträge aufgrund weiterhin bestehender Beden</w:t>
            </w:r>
            <w:r>
              <w:rPr>
                <w:b/>
                <w:i/>
              </w:rPr>
              <w:t>ken hinsichtlich der Vergabe öffentlicher Aufträge und des Rahmens für die Korruptionsbekämpfung nach wie vor eingefroren sind; betont, dass diese Feststellungen nicht politischer Natur sind, sondern auf objektiven, dokumentierten und wiederholt überprüften Nachweisen beruhen; bekräftigt, dass die an die Rechtsstaatlichkeit geknüpfte Konditionalität kein politisches Instrument ist, sondern dem Schutz des Unionshaushalts dient und konsequent anzuwenden ist, wenn Risiken eintreten;</w:t>
            </w:r>
          </w:p>
        </w:tc>
      </w:tr>
    </w:tbl>
    <w:p w14:paraId="7BED3E7E"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57836B7F"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lastRenderedPageBreak/>
        <w:t>&lt;/Amend&gt;</w:t>
      </w:r>
    </w:p>
    <w:p w14:paraId="67BFCD90"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55</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443DF2C4" w14:textId="42FB5B0D"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55</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179720CC"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1BD1F28D"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6052C6CA" w14:textId="77777777" w:rsidR="00AB098C" w:rsidRPr="00840785" w:rsidRDefault="00840785">
      <w:pPr>
        <w:pStyle w:val="NormalBold"/>
        <w:rPr>
          <w:lang w:val="en-GB"/>
        </w:rPr>
      </w:pPr>
      <w:r w:rsidRPr="00840785">
        <w:rPr>
          <w:rStyle w:val="HideTWBExt"/>
          <w:b w:val="0"/>
          <w:lang w:val="en-GB"/>
        </w:rPr>
        <w:t>&lt;/By&gt;&lt;/RepeatBlock-By&gt;</w:t>
      </w:r>
    </w:p>
    <w:p w14:paraId="62A11CBB" w14:textId="0F7CEACB"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59D81A9B"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5281A2FF" w14:textId="2D351118"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5256DFAF"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69D02E9D" w14:textId="503E0DCC"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72992868" w14:textId="73348917" w:rsidR="00AB098C" w:rsidRPr="00840785" w:rsidRDefault="00840785">
      <w:pPr>
        <w:pStyle w:val="NormalBold"/>
        <w:rPr>
          <w:lang w:val="fr-BE"/>
        </w:rPr>
      </w:pPr>
      <w:r>
        <w:rPr>
          <w:rStyle w:val="HideTWBExt"/>
          <w:lang w:val="fr-BE"/>
        </w:rPr>
        <w:t>&lt;Article&gt;</w:t>
      </w:r>
      <w:proofErr w:type="spellStart"/>
      <w:r w:rsidRPr="00840785">
        <w:rPr>
          <w:lang w:val="fr-BE"/>
        </w:rPr>
        <w:t>Ziffer</w:t>
      </w:r>
      <w:proofErr w:type="spellEnd"/>
      <w:r w:rsidRPr="00840785">
        <w:rPr>
          <w:lang w:val="fr-BE"/>
        </w:rPr>
        <w:t xml:space="preserve"> 25 a (</w:t>
      </w:r>
      <w:proofErr w:type="spellStart"/>
      <w:r w:rsidRPr="00840785">
        <w:rPr>
          <w:lang w:val="fr-BE"/>
        </w:rPr>
        <w:t>neu</w:t>
      </w:r>
      <w:proofErr w:type="spellEnd"/>
      <w:r w:rsidRPr="00840785">
        <w:rPr>
          <w:lang w:val="fr-BE"/>
        </w:rPr>
        <w:t>)</w:t>
      </w:r>
      <w:r>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rsidRPr="00840785" w14:paraId="1367AD2B" w14:textId="77777777">
        <w:trPr>
          <w:trHeight w:hRule="exact" w:val="240"/>
          <w:jc w:val="center"/>
        </w:trPr>
        <w:tc>
          <w:tcPr>
            <w:tcW w:w="9752" w:type="dxa"/>
            <w:gridSpan w:val="2"/>
            <w:tcBorders>
              <w:top w:val="nil"/>
              <w:left w:val="nil"/>
              <w:bottom w:val="nil"/>
              <w:right w:val="nil"/>
            </w:tcBorders>
          </w:tcPr>
          <w:p w14:paraId="78B002C8" w14:textId="77777777" w:rsidR="00AB098C" w:rsidRPr="001C534A" w:rsidRDefault="00AB098C">
            <w:pPr>
              <w:rPr>
                <w:lang w:val="fr-BE"/>
              </w:rPr>
            </w:pPr>
          </w:p>
        </w:tc>
      </w:tr>
      <w:tr w:rsidR="00B42586" w14:paraId="69E23460" w14:textId="77777777">
        <w:trPr>
          <w:trHeight w:val="240"/>
          <w:jc w:val="center"/>
        </w:trPr>
        <w:tc>
          <w:tcPr>
            <w:tcW w:w="4876" w:type="dxa"/>
            <w:tcBorders>
              <w:top w:val="nil"/>
              <w:left w:val="nil"/>
              <w:bottom w:val="nil"/>
              <w:right w:val="nil"/>
            </w:tcBorders>
          </w:tcPr>
          <w:p w14:paraId="0B6AFD80" w14:textId="282F1AFC" w:rsidR="00AB098C" w:rsidRPr="00A83493" w:rsidRDefault="00840785" w:rsidP="001C534A">
            <w:pPr>
              <w:pStyle w:val="AmColumnHeading"/>
            </w:pPr>
            <w:r>
              <w:t>Entschließungsantrag</w:t>
            </w:r>
          </w:p>
        </w:tc>
        <w:tc>
          <w:tcPr>
            <w:tcW w:w="4876" w:type="dxa"/>
            <w:tcBorders>
              <w:top w:val="nil"/>
              <w:left w:val="nil"/>
              <w:bottom w:val="nil"/>
              <w:right w:val="nil"/>
            </w:tcBorders>
          </w:tcPr>
          <w:p w14:paraId="228BD7CA" w14:textId="40E2A20B" w:rsidR="00AB098C" w:rsidRPr="00A83493" w:rsidRDefault="00840785">
            <w:pPr>
              <w:pStyle w:val="AmColumnHeading"/>
            </w:pPr>
            <w:r>
              <w:t>Geänderter Text</w:t>
            </w:r>
          </w:p>
        </w:tc>
      </w:tr>
      <w:tr w:rsidR="00B42586" w14:paraId="4CCF76E6" w14:textId="77777777">
        <w:trPr>
          <w:jc w:val="center"/>
        </w:trPr>
        <w:tc>
          <w:tcPr>
            <w:tcW w:w="4876" w:type="dxa"/>
            <w:tcBorders>
              <w:top w:val="nil"/>
              <w:left w:val="nil"/>
              <w:bottom w:val="nil"/>
              <w:right w:val="nil"/>
            </w:tcBorders>
          </w:tcPr>
          <w:p w14:paraId="26003878" w14:textId="77777777" w:rsidR="00AB098C" w:rsidRPr="00A83493" w:rsidRDefault="00AB098C">
            <w:pPr>
              <w:pStyle w:val="Normal6a"/>
            </w:pPr>
          </w:p>
        </w:tc>
        <w:tc>
          <w:tcPr>
            <w:tcW w:w="4876" w:type="dxa"/>
            <w:tcBorders>
              <w:top w:val="nil"/>
              <w:left w:val="nil"/>
              <w:bottom w:val="nil"/>
              <w:right w:val="nil"/>
            </w:tcBorders>
          </w:tcPr>
          <w:p w14:paraId="71831527" w14:textId="0CB06975" w:rsidR="00AB098C" w:rsidRPr="00A83493" w:rsidRDefault="00840785">
            <w:pPr>
              <w:pStyle w:val="Normal6a"/>
            </w:pPr>
            <w:r>
              <w:rPr>
                <w:b/>
                <w:i/>
              </w:rPr>
              <w:t>25a.</w:t>
            </w:r>
            <w:r>
              <w:tab/>
            </w:r>
            <w:r>
              <w:rPr>
                <w:b/>
                <w:i/>
              </w:rPr>
              <w:t xml:space="preserve">erkennt die wesentliche Rolle von Organisationen der </w:t>
            </w:r>
            <w:r>
              <w:rPr>
                <w:b/>
                <w:i/>
              </w:rPr>
              <w:t>Zivilgesellschaft, nichtstaatlichen Organisationen und Gewerkschaften bei der Überwachung der Verwendung von Unionsmitteln, der Meldung mutmaßlicher Betrugsfälle, der Unterstützung von Hinweisgebern und der Bereitstellung einer unabhängigen Kontrolle an, die die Arbeit der Betrugsbekämpfungsstellen der EU ergänzt; lehnt alle Versuche ab, Bedenken hinsichtlich der Verwendung von Unionsmitteln durch nichtstaatliche Organisationen zu instrumentalisieren, um allgemeine Beschränkungen für die Zivilgesellschaft z</w:t>
            </w:r>
            <w:r>
              <w:rPr>
                <w:b/>
                <w:i/>
              </w:rPr>
              <w:t>u rechtfertigen; weist darauf hin, dass unverhältnismäßige Beschränkungen für Organisationen der Zivilgesellschaft selbst ein Warnsignal für die Verschlechterung der Rechtsstaatlichkeit sind;</w:t>
            </w:r>
          </w:p>
        </w:tc>
      </w:tr>
    </w:tbl>
    <w:p w14:paraId="4E11279A"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032914D1"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5A104F8B"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56</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3EC87B7D" w14:textId="30DB0EE8"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56</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2C363BC9"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37A04B89"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1B7EA57B" w14:textId="77777777" w:rsidR="00AB098C" w:rsidRPr="00840785" w:rsidRDefault="00840785">
      <w:pPr>
        <w:pStyle w:val="NormalBold"/>
        <w:rPr>
          <w:lang w:val="en-GB"/>
        </w:rPr>
      </w:pPr>
      <w:r w:rsidRPr="00840785">
        <w:rPr>
          <w:rStyle w:val="HideTWBExt"/>
          <w:b w:val="0"/>
          <w:lang w:val="en-GB"/>
        </w:rPr>
        <w:t>&lt;/By&gt;&lt;/RepeatBlock-By&gt;</w:t>
      </w:r>
    </w:p>
    <w:p w14:paraId="649F29F0" w14:textId="57FB9BB5"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4918B640"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54149BD3" w14:textId="37F21427"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35AAE10B"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77883258" w14:textId="6FA8CA42"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3F004185" w14:textId="55F354B1" w:rsidR="00AB098C" w:rsidRPr="00840785" w:rsidRDefault="00840785">
      <w:pPr>
        <w:pStyle w:val="NormalBold"/>
        <w:rPr>
          <w:lang w:val="fr-BE"/>
        </w:rPr>
      </w:pPr>
      <w:r>
        <w:rPr>
          <w:rStyle w:val="HideTWBExt"/>
          <w:lang w:val="fr-BE"/>
        </w:rPr>
        <w:t>&lt;Article&gt;</w:t>
      </w:r>
      <w:proofErr w:type="spellStart"/>
      <w:r w:rsidRPr="00840785">
        <w:rPr>
          <w:lang w:val="fr-BE"/>
        </w:rPr>
        <w:t>Ziffer</w:t>
      </w:r>
      <w:proofErr w:type="spellEnd"/>
      <w:r w:rsidRPr="00840785">
        <w:rPr>
          <w:lang w:val="fr-BE"/>
        </w:rPr>
        <w:t xml:space="preserve"> 43 a (</w:t>
      </w:r>
      <w:proofErr w:type="spellStart"/>
      <w:r w:rsidRPr="00840785">
        <w:rPr>
          <w:lang w:val="fr-BE"/>
        </w:rPr>
        <w:t>neu</w:t>
      </w:r>
      <w:proofErr w:type="spellEnd"/>
      <w:r w:rsidRPr="00840785">
        <w:rPr>
          <w:lang w:val="fr-BE"/>
        </w:rPr>
        <w:t>)</w:t>
      </w:r>
      <w:r>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rsidRPr="00840785" w14:paraId="7A097F21" w14:textId="77777777">
        <w:trPr>
          <w:trHeight w:hRule="exact" w:val="240"/>
          <w:jc w:val="center"/>
        </w:trPr>
        <w:tc>
          <w:tcPr>
            <w:tcW w:w="9752" w:type="dxa"/>
            <w:gridSpan w:val="2"/>
            <w:tcBorders>
              <w:top w:val="nil"/>
              <w:left w:val="nil"/>
              <w:bottom w:val="nil"/>
              <w:right w:val="nil"/>
            </w:tcBorders>
          </w:tcPr>
          <w:p w14:paraId="07DE665C" w14:textId="77777777" w:rsidR="00AB098C" w:rsidRPr="001C534A" w:rsidRDefault="00AB098C">
            <w:pPr>
              <w:rPr>
                <w:lang w:val="fr-BE"/>
              </w:rPr>
            </w:pPr>
          </w:p>
        </w:tc>
      </w:tr>
      <w:tr w:rsidR="00B42586" w14:paraId="6AA85220" w14:textId="77777777">
        <w:trPr>
          <w:trHeight w:val="240"/>
          <w:jc w:val="center"/>
        </w:trPr>
        <w:tc>
          <w:tcPr>
            <w:tcW w:w="4876" w:type="dxa"/>
            <w:tcBorders>
              <w:top w:val="nil"/>
              <w:left w:val="nil"/>
              <w:bottom w:val="nil"/>
              <w:right w:val="nil"/>
            </w:tcBorders>
          </w:tcPr>
          <w:p w14:paraId="595F1F88" w14:textId="33E120DA" w:rsidR="00AB098C" w:rsidRPr="00A83493" w:rsidRDefault="00840785" w:rsidP="001C534A">
            <w:pPr>
              <w:pStyle w:val="AmColumnHeading"/>
            </w:pPr>
            <w:r>
              <w:t>Entschließungsantrag</w:t>
            </w:r>
          </w:p>
        </w:tc>
        <w:tc>
          <w:tcPr>
            <w:tcW w:w="4876" w:type="dxa"/>
            <w:tcBorders>
              <w:top w:val="nil"/>
              <w:left w:val="nil"/>
              <w:bottom w:val="nil"/>
              <w:right w:val="nil"/>
            </w:tcBorders>
          </w:tcPr>
          <w:p w14:paraId="314978B4" w14:textId="36D0A42F" w:rsidR="00AB098C" w:rsidRPr="00A83493" w:rsidRDefault="00840785">
            <w:pPr>
              <w:pStyle w:val="AmColumnHeading"/>
            </w:pPr>
            <w:r>
              <w:t>Geänderter Text</w:t>
            </w:r>
          </w:p>
        </w:tc>
      </w:tr>
      <w:tr w:rsidR="00B42586" w14:paraId="540177D3" w14:textId="77777777">
        <w:trPr>
          <w:jc w:val="center"/>
        </w:trPr>
        <w:tc>
          <w:tcPr>
            <w:tcW w:w="4876" w:type="dxa"/>
            <w:tcBorders>
              <w:top w:val="nil"/>
              <w:left w:val="nil"/>
              <w:bottom w:val="nil"/>
              <w:right w:val="nil"/>
            </w:tcBorders>
          </w:tcPr>
          <w:p w14:paraId="5663936E" w14:textId="77777777" w:rsidR="00AB098C" w:rsidRPr="00A83493" w:rsidRDefault="00AB098C">
            <w:pPr>
              <w:pStyle w:val="Normal6a"/>
            </w:pPr>
          </w:p>
        </w:tc>
        <w:tc>
          <w:tcPr>
            <w:tcW w:w="4876" w:type="dxa"/>
            <w:tcBorders>
              <w:top w:val="nil"/>
              <w:left w:val="nil"/>
              <w:bottom w:val="nil"/>
              <w:right w:val="nil"/>
            </w:tcBorders>
          </w:tcPr>
          <w:p w14:paraId="451BBBD3" w14:textId="37E9973A" w:rsidR="00AB098C" w:rsidRPr="00A83493" w:rsidRDefault="00840785">
            <w:pPr>
              <w:pStyle w:val="Normal6a"/>
            </w:pPr>
            <w:r>
              <w:rPr>
                <w:b/>
                <w:i/>
              </w:rPr>
              <w:t>43a.</w:t>
            </w:r>
            <w:r>
              <w:tab/>
            </w:r>
            <w:r>
              <w:rPr>
                <w:b/>
                <w:i/>
              </w:rPr>
              <w:t xml:space="preserve">betont, dass KI-gestützte Desinformationskampagnen, die sich gegen die Organe der EU richten, </w:t>
            </w:r>
            <w:r>
              <w:rPr>
                <w:b/>
                <w:i/>
              </w:rPr>
              <w:t xml:space="preserve">einschließlich koordinierter Inhalte, die das Vertrauen in Betrugsbekämpfungsstellen, den Unionshaushalt und die Rechtsstaatlichkeit schwächen sollen, ein unmittelbares Risiko für die finanziellen Interessen der Union darstellen, da sie die öffentliche Unterstützung für Schutzmechanismen untergraben und betrügerische Praktiken decken; fordert die Kommission auf, in Zusammenarbeit mit dem OLAF, der </w:t>
            </w:r>
            <w:proofErr w:type="spellStart"/>
            <w:r>
              <w:rPr>
                <w:b/>
                <w:i/>
              </w:rPr>
              <w:t>EUStA</w:t>
            </w:r>
            <w:proofErr w:type="spellEnd"/>
            <w:r>
              <w:rPr>
                <w:b/>
                <w:i/>
              </w:rPr>
              <w:t xml:space="preserve"> und Europol EU-weite Kapazitäten zu entwickeln, um KI-gestützte Desinformationskampagnen, die auf die Fin</w:t>
            </w:r>
            <w:r>
              <w:rPr>
                <w:b/>
                <w:i/>
              </w:rPr>
              <w:t>anzverwaltung der Union abzielen, aufzudecken, zu dokumentieren und zu bekämpfen;</w:t>
            </w:r>
          </w:p>
        </w:tc>
      </w:tr>
    </w:tbl>
    <w:p w14:paraId="575EC240"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694F00F7"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16E4FD44"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57</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69D4E501" w14:textId="13CCBEF2"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57</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27624642"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002E253A"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0556CDFB" w14:textId="77777777" w:rsidR="00AB098C" w:rsidRPr="00840785" w:rsidRDefault="00840785">
      <w:pPr>
        <w:pStyle w:val="NormalBold"/>
        <w:rPr>
          <w:lang w:val="en-GB"/>
        </w:rPr>
      </w:pPr>
      <w:r w:rsidRPr="00840785">
        <w:rPr>
          <w:rStyle w:val="HideTWBExt"/>
          <w:b w:val="0"/>
          <w:lang w:val="en-GB"/>
        </w:rPr>
        <w:t>&lt;/By&gt;&lt;/RepeatBlock-By&gt;</w:t>
      </w:r>
    </w:p>
    <w:p w14:paraId="6E28DA98" w14:textId="6227C610"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3056DB36"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0F248029" w14:textId="2567AF97" w:rsidR="00AB098C" w:rsidRPr="00A83493" w:rsidRDefault="00840785">
      <w:r>
        <w:rPr>
          <w:rStyle w:val="HideTWBExt"/>
        </w:rPr>
        <w:t>&lt;Titre&gt;</w:t>
      </w:r>
      <w:r>
        <w:t xml:space="preserve">Schutz der </w:t>
      </w:r>
      <w:r>
        <w:t>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06555AB2"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1385222D" w14:textId="52AC5515"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757CE512" w14:textId="1F6E96B5" w:rsidR="00AB098C" w:rsidRPr="00A83493" w:rsidRDefault="00840785">
      <w:pPr>
        <w:pStyle w:val="NormalBold"/>
      </w:pPr>
      <w:r>
        <w:rPr>
          <w:rStyle w:val="HideTWBExt"/>
        </w:rPr>
        <w:t>&lt;Article&gt;</w:t>
      </w:r>
      <w:r>
        <w:t>Ziffer 53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14:paraId="1369C1C6" w14:textId="77777777">
        <w:trPr>
          <w:trHeight w:hRule="exact" w:val="240"/>
          <w:jc w:val="center"/>
        </w:trPr>
        <w:tc>
          <w:tcPr>
            <w:tcW w:w="9752" w:type="dxa"/>
            <w:gridSpan w:val="2"/>
            <w:tcBorders>
              <w:top w:val="nil"/>
              <w:left w:val="nil"/>
              <w:bottom w:val="nil"/>
              <w:right w:val="nil"/>
            </w:tcBorders>
          </w:tcPr>
          <w:p w14:paraId="536CE3BE" w14:textId="77777777" w:rsidR="00AB098C" w:rsidRPr="00A83493" w:rsidRDefault="00AB098C"/>
        </w:tc>
      </w:tr>
      <w:tr w:rsidR="00B42586" w14:paraId="35E7FF05" w14:textId="77777777">
        <w:trPr>
          <w:trHeight w:val="240"/>
          <w:jc w:val="center"/>
        </w:trPr>
        <w:tc>
          <w:tcPr>
            <w:tcW w:w="4876" w:type="dxa"/>
            <w:tcBorders>
              <w:top w:val="nil"/>
              <w:left w:val="nil"/>
              <w:bottom w:val="nil"/>
              <w:right w:val="nil"/>
            </w:tcBorders>
          </w:tcPr>
          <w:p w14:paraId="5B3B82EC" w14:textId="0D8522B3" w:rsidR="00AB098C" w:rsidRPr="00A83493" w:rsidRDefault="00840785" w:rsidP="001C534A">
            <w:pPr>
              <w:pStyle w:val="AmColumnHeading"/>
            </w:pPr>
            <w:r>
              <w:t>Entschließungsantrag</w:t>
            </w:r>
          </w:p>
        </w:tc>
        <w:tc>
          <w:tcPr>
            <w:tcW w:w="4876" w:type="dxa"/>
            <w:tcBorders>
              <w:top w:val="nil"/>
              <w:left w:val="nil"/>
              <w:bottom w:val="nil"/>
              <w:right w:val="nil"/>
            </w:tcBorders>
          </w:tcPr>
          <w:p w14:paraId="151A8834" w14:textId="52CAAA54" w:rsidR="00AB098C" w:rsidRPr="00A83493" w:rsidRDefault="00840785">
            <w:pPr>
              <w:pStyle w:val="AmColumnHeading"/>
            </w:pPr>
            <w:r>
              <w:t>Geänderter Text</w:t>
            </w:r>
          </w:p>
        </w:tc>
      </w:tr>
      <w:tr w:rsidR="00B42586" w14:paraId="143B3E26" w14:textId="77777777">
        <w:trPr>
          <w:jc w:val="center"/>
        </w:trPr>
        <w:tc>
          <w:tcPr>
            <w:tcW w:w="4876" w:type="dxa"/>
            <w:tcBorders>
              <w:top w:val="nil"/>
              <w:left w:val="nil"/>
              <w:bottom w:val="nil"/>
              <w:right w:val="nil"/>
            </w:tcBorders>
          </w:tcPr>
          <w:p w14:paraId="202F2B46" w14:textId="77777777" w:rsidR="00AB098C" w:rsidRPr="00A83493" w:rsidRDefault="00840785">
            <w:pPr>
              <w:pStyle w:val="Normal6a"/>
            </w:pPr>
            <w:r>
              <w:t>53.</w:t>
            </w:r>
            <w:r>
              <w:tab/>
              <w:t xml:space="preserve">weist </w:t>
            </w:r>
            <w:r>
              <w:t xml:space="preserve">darauf hin, dass der mit der </w:t>
            </w:r>
            <w:proofErr w:type="spellStart"/>
            <w:r>
              <w:t>Konditionalitätsverordnung</w:t>
            </w:r>
            <w:proofErr w:type="spellEnd"/>
            <w:r>
              <w:t xml:space="preserve"> eingeführte Mechanismus für die Konditionalität des Haushalts ein rechtlich geregeltes Instrument zur Abwehr von Risiken für den Unionshaushalt ist; </w:t>
            </w:r>
            <w:r>
              <w:rPr>
                <w:b/>
                <w:i/>
              </w:rPr>
              <w:t>stellt fest</w:t>
            </w:r>
            <w:r>
              <w:t xml:space="preserve">, dass </w:t>
            </w:r>
            <w:r>
              <w:rPr>
                <w:b/>
                <w:i/>
              </w:rPr>
              <w:t>seine Anwendung jedoch nur dann gerechtfertigt ist</w:t>
            </w:r>
            <w:r>
              <w:t xml:space="preserve">, </w:t>
            </w:r>
            <w:r>
              <w:rPr>
                <w:b/>
                <w:i/>
              </w:rPr>
              <w:t>wenn ein direkter</w:t>
            </w:r>
            <w:r>
              <w:t xml:space="preserve">, </w:t>
            </w:r>
            <w:r>
              <w:rPr>
                <w:b/>
                <w:i/>
              </w:rPr>
              <w:t>tatsächlicher und nachweisbarer Zusammenhang zwischen den festgestellten Mängeln und dem Schaden für</w:t>
            </w:r>
            <w:r>
              <w:t xml:space="preserve"> die finanziellen Interessen der Union </w:t>
            </w:r>
            <w:r>
              <w:rPr>
                <w:b/>
                <w:i/>
              </w:rPr>
              <w:t>besteht; bringt seine Besorgnis darüber zum Ausdruck</w:t>
            </w:r>
            <w:r>
              <w:t xml:space="preserve">, dass </w:t>
            </w:r>
            <w:r>
              <w:rPr>
                <w:b/>
                <w:i/>
              </w:rPr>
              <w:t xml:space="preserve">eine Ausweitung des </w:t>
            </w:r>
            <w:r>
              <w:rPr>
                <w:b/>
                <w:i/>
              </w:rPr>
              <w:t>Anwendungsbereichs über diesen Haushaltszweck hinaus dem Geist</w:t>
            </w:r>
            <w:r>
              <w:t xml:space="preserve"> der </w:t>
            </w:r>
            <w:r>
              <w:rPr>
                <w:b/>
                <w:i/>
              </w:rPr>
              <w:t>Verträge</w:t>
            </w:r>
            <w:r>
              <w:t xml:space="preserve"> und </w:t>
            </w:r>
            <w:r>
              <w:rPr>
                <w:b/>
                <w:i/>
              </w:rPr>
              <w:t>dem Grundsatz</w:t>
            </w:r>
            <w:r>
              <w:t xml:space="preserve"> der </w:t>
            </w:r>
            <w:r>
              <w:rPr>
                <w:b/>
                <w:i/>
              </w:rPr>
              <w:t>Verhältnismäßigkeit zuwiderlaufen würde</w:t>
            </w:r>
            <w:r>
              <w:t xml:space="preserve">; weist darauf hin, dass die Legitimität dieses Mechanismus auf einer </w:t>
            </w:r>
            <w:r>
              <w:rPr>
                <w:b/>
                <w:i/>
              </w:rPr>
              <w:t>streng</w:t>
            </w:r>
            <w:r>
              <w:t xml:space="preserve"> objektiven Anwendung beruht, </w:t>
            </w:r>
            <w:r>
              <w:rPr>
                <w:b/>
                <w:i/>
              </w:rPr>
              <w:t>die frei von politischen Erwägungen ist und bei der</w:t>
            </w:r>
            <w:r>
              <w:t xml:space="preserve"> die </w:t>
            </w:r>
            <w:r>
              <w:rPr>
                <w:b/>
                <w:i/>
              </w:rPr>
              <w:t>Gleichbehandlung der Mitgliedstaaten geachtet wird; stellt fest</w:t>
            </w:r>
            <w:r>
              <w:t xml:space="preserve">, </w:t>
            </w:r>
            <w:r>
              <w:rPr>
                <w:b/>
                <w:i/>
              </w:rPr>
              <w:t>dass seine Umsetzung praktische und operative Herausforderungen mit sich gebracht hat</w:t>
            </w:r>
            <w:r>
              <w:t xml:space="preserve">, </w:t>
            </w:r>
            <w:r>
              <w:rPr>
                <w:b/>
                <w:i/>
              </w:rPr>
              <w:t>wie der Rechnungshof in seinem Sonderbericht 03/2024 über die</w:t>
            </w:r>
            <w:r>
              <w:rPr>
                <w:b/>
                <w:i/>
              </w:rPr>
              <w:t xml:space="preserve"> Rechtsstaatlichkeit in der EU hervorgehoben hat;</w:t>
            </w:r>
            <w:r>
              <w:t xml:space="preserve"> </w:t>
            </w:r>
            <w:r>
              <w:rPr>
                <w:b/>
                <w:i/>
              </w:rPr>
              <w:t>fordert die Kommission auf,</w:t>
            </w:r>
            <w:r>
              <w:t xml:space="preserve"> den </w:t>
            </w:r>
            <w:r>
              <w:rPr>
                <w:b/>
                <w:i/>
              </w:rPr>
              <w:t xml:space="preserve">Mechanismus auf </w:t>
            </w:r>
            <w:r>
              <w:rPr>
                <w:b/>
                <w:i/>
              </w:rPr>
              <w:lastRenderedPageBreak/>
              <w:t>der Grundlage objektiver Nachweise konsequent und transparent anzuwenden</w:t>
            </w:r>
            <w:r>
              <w:t>;</w:t>
            </w:r>
          </w:p>
        </w:tc>
        <w:tc>
          <w:tcPr>
            <w:tcW w:w="4876" w:type="dxa"/>
            <w:tcBorders>
              <w:top w:val="nil"/>
              <w:left w:val="nil"/>
              <w:bottom w:val="nil"/>
              <w:right w:val="nil"/>
            </w:tcBorders>
          </w:tcPr>
          <w:p w14:paraId="4C9BE8B5" w14:textId="33A03B6B" w:rsidR="00AB098C" w:rsidRPr="00A83493" w:rsidRDefault="00840785">
            <w:pPr>
              <w:pStyle w:val="Normal6a"/>
            </w:pPr>
            <w:r>
              <w:lastRenderedPageBreak/>
              <w:t>53.</w:t>
            </w:r>
            <w:r>
              <w:tab/>
              <w:t xml:space="preserve">weist darauf hin, dass der mit der </w:t>
            </w:r>
            <w:proofErr w:type="spellStart"/>
            <w:r>
              <w:t>Konditionalitätsverordnung</w:t>
            </w:r>
            <w:proofErr w:type="spellEnd"/>
            <w:r>
              <w:t xml:space="preserve"> eingeführte Mechanismus für die Konditionalität des Haushalts ein rechtlich geregeltes Instrument zur Abwehr von Risiken für den Unionshaushalt ist; </w:t>
            </w:r>
            <w:r>
              <w:rPr>
                <w:b/>
                <w:i/>
              </w:rPr>
              <w:t>weist darauf hin</w:t>
            </w:r>
            <w:r>
              <w:t xml:space="preserve">, dass </w:t>
            </w:r>
            <w:r>
              <w:rPr>
                <w:b/>
                <w:i/>
              </w:rPr>
              <w:t xml:space="preserve">die </w:t>
            </w:r>
            <w:proofErr w:type="spellStart"/>
            <w:r>
              <w:rPr>
                <w:b/>
                <w:i/>
              </w:rPr>
              <w:t>Konditionalitätsverordnung</w:t>
            </w:r>
            <w:proofErr w:type="spellEnd"/>
            <w:r>
              <w:rPr>
                <w:b/>
                <w:i/>
              </w:rPr>
              <w:t xml:space="preserve"> eine Haushaltsgarantie ist, die dazu dient</w:t>
            </w:r>
            <w:r>
              <w:t xml:space="preserve">, </w:t>
            </w:r>
            <w:r>
              <w:rPr>
                <w:b/>
                <w:i/>
              </w:rPr>
              <w:t>den Unionshaushalt zu schützen</w:t>
            </w:r>
            <w:r>
              <w:t xml:space="preserve">, </w:t>
            </w:r>
            <w:r>
              <w:rPr>
                <w:b/>
                <w:i/>
              </w:rPr>
              <w:t>wenn sich Verstöße gegen die Grundsätze der Rechtsstaatlichkeit auf die Wirtschaftlichkeit der Haushaltsführung der</w:t>
            </w:r>
            <w:r>
              <w:t xml:space="preserve"> finanziellen Interessen der Union </w:t>
            </w:r>
            <w:r>
              <w:rPr>
                <w:b/>
                <w:i/>
              </w:rPr>
              <w:t>auswirken oder auszuwirken drohen; weist darauf hin</w:t>
            </w:r>
            <w:r>
              <w:t>, das</w:t>
            </w:r>
            <w:r>
              <w:t xml:space="preserve">s </w:t>
            </w:r>
            <w:r>
              <w:rPr>
                <w:b/>
                <w:i/>
              </w:rPr>
              <w:t>der Gerichtshof in den Rechtssachen C-156/21 und C-157/21 die Rechtmäßigkeit</w:t>
            </w:r>
            <w:r>
              <w:t xml:space="preserve"> der </w:t>
            </w:r>
            <w:proofErr w:type="spellStart"/>
            <w:r>
              <w:rPr>
                <w:b/>
                <w:i/>
              </w:rPr>
              <w:t>Konditionalitätsverordnung</w:t>
            </w:r>
            <w:proofErr w:type="spellEnd"/>
            <w:r>
              <w:t xml:space="preserve"> und </w:t>
            </w:r>
            <w:r>
              <w:rPr>
                <w:b/>
                <w:i/>
              </w:rPr>
              <w:t>ihren breiten Anwendungsbereich beim Schutz des Unionshaushalts vor Verstößen gegen die Rechtsstaatlichkeit bestätigt hat</w:t>
            </w:r>
            <w:r>
              <w:t xml:space="preserve">; weist darauf hin, dass die Legitimität dieses Mechanismus auf einer objektiven Anwendung </w:t>
            </w:r>
            <w:r>
              <w:rPr>
                <w:b/>
                <w:i/>
              </w:rPr>
              <w:t xml:space="preserve">ohne doppelte Standards </w:t>
            </w:r>
            <w:r>
              <w:t>beruht</w:t>
            </w:r>
            <w:r>
              <w:rPr>
                <w:b/>
                <w:i/>
              </w:rPr>
              <w:t>; betont</w:t>
            </w:r>
            <w:r>
              <w:t xml:space="preserve">, </w:t>
            </w:r>
            <w:r>
              <w:rPr>
                <w:b/>
                <w:i/>
              </w:rPr>
              <w:t>dass systemische Mängel bei der Unabhängigkeit der Justiz, den Rahmen für</w:t>
            </w:r>
            <w:r>
              <w:t xml:space="preserve"> die </w:t>
            </w:r>
            <w:r>
              <w:rPr>
                <w:b/>
                <w:i/>
              </w:rPr>
              <w:t>Korruptionsbekämpfung und den Strafverfolgungskapazitäten ein solche</w:t>
            </w:r>
            <w:r>
              <w:rPr>
                <w:b/>
                <w:i/>
              </w:rPr>
              <w:t>s Risiko darstellen können</w:t>
            </w:r>
            <w:r>
              <w:t xml:space="preserve">, </w:t>
            </w:r>
            <w:r>
              <w:rPr>
                <w:b/>
                <w:i/>
              </w:rPr>
              <w:t>noch bevor ein direkter, konkreter finanzieller Verlust quantifiziert wird;</w:t>
            </w:r>
            <w:r>
              <w:t xml:space="preserve"> </w:t>
            </w:r>
            <w:r>
              <w:rPr>
                <w:b/>
                <w:i/>
              </w:rPr>
              <w:t xml:space="preserve">fordert die </w:t>
            </w:r>
            <w:r>
              <w:rPr>
                <w:b/>
                <w:i/>
              </w:rPr>
              <w:lastRenderedPageBreak/>
              <w:t>Kommission auf</w:t>
            </w:r>
            <w:r>
              <w:t xml:space="preserve">, </w:t>
            </w:r>
            <w:r>
              <w:rPr>
                <w:b/>
                <w:i/>
              </w:rPr>
              <w:t xml:space="preserve">die </w:t>
            </w:r>
            <w:proofErr w:type="spellStart"/>
            <w:r>
              <w:rPr>
                <w:b/>
                <w:i/>
              </w:rPr>
              <w:t>Konditionalitätsverordnung</w:t>
            </w:r>
            <w:proofErr w:type="spellEnd"/>
            <w:r>
              <w:rPr>
                <w:b/>
                <w:i/>
              </w:rPr>
              <w:t xml:space="preserve"> zeitnah und konsequent anzuwenden, wann immer dies nötig ist, und dem Parlament jährlich über ihre Bewertung der mit der Rechtsstaatlichkeit zusammenhängenden Risiken für </w:t>
            </w:r>
            <w:r>
              <w:t xml:space="preserve">den </w:t>
            </w:r>
            <w:r>
              <w:rPr>
                <w:b/>
                <w:i/>
              </w:rPr>
              <w:t>Unionshaushalt in jedem Mitgliedstaat Bericht zu erstatten</w:t>
            </w:r>
            <w:r>
              <w:t>;</w:t>
            </w:r>
          </w:p>
        </w:tc>
      </w:tr>
    </w:tbl>
    <w:p w14:paraId="3FCBFBD7" w14:textId="77777777" w:rsidR="00AB098C" w:rsidRPr="00840785" w:rsidRDefault="00840785">
      <w:pPr>
        <w:pStyle w:val="AmOrLang"/>
        <w:rPr>
          <w:lang w:val="en-GB"/>
        </w:rPr>
      </w:pPr>
      <w:r w:rsidRPr="00840785">
        <w:rPr>
          <w:lang w:val="en-GB"/>
        </w:rPr>
        <w:lastRenderedPageBreak/>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0F893E40"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t>&lt;/Amend&gt;</w:t>
      </w:r>
    </w:p>
    <w:p w14:paraId="1F25DA3E"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58</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0A3250D2" w14:textId="386B41EC"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58</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47534907"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612568FC"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73396469" w14:textId="77777777" w:rsidR="00AB098C" w:rsidRPr="00840785" w:rsidRDefault="00840785">
      <w:pPr>
        <w:pStyle w:val="NormalBold"/>
        <w:rPr>
          <w:lang w:val="en-GB"/>
        </w:rPr>
      </w:pPr>
      <w:r w:rsidRPr="00840785">
        <w:rPr>
          <w:rStyle w:val="HideTWBExt"/>
          <w:b w:val="0"/>
          <w:lang w:val="en-GB"/>
        </w:rPr>
        <w:t>&lt;/By&gt;&lt;/RepeatBlock-By&gt;</w:t>
      </w:r>
    </w:p>
    <w:p w14:paraId="7BCDFA51" w14:textId="5D15DE75"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2808DE1A"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773D5BD7" w14:textId="17532782"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07F9437D"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009ED9F9" w14:textId="62112826"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691CC47A" w14:textId="20653F9B" w:rsidR="00AB098C" w:rsidRPr="00A83493" w:rsidRDefault="00840785">
      <w:pPr>
        <w:pStyle w:val="NormalBold"/>
      </w:pPr>
      <w:r>
        <w:rPr>
          <w:rStyle w:val="HideTWBExt"/>
        </w:rPr>
        <w:t>&lt;Article&gt;</w:t>
      </w:r>
      <w:r>
        <w:t>Ziffer 54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14:paraId="15DD72D8" w14:textId="77777777">
        <w:trPr>
          <w:trHeight w:hRule="exact" w:val="240"/>
          <w:jc w:val="center"/>
        </w:trPr>
        <w:tc>
          <w:tcPr>
            <w:tcW w:w="9752" w:type="dxa"/>
            <w:gridSpan w:val="2"/>
            <w:tcBorders>
              <w:top w:val="nil"/>
              <w:left w:val="nil"/>
              <w:bottom w:val="nil"/>
              <w:right w:val="nil"/>
            </w:tcBorders>
          </w:tcPr>
          <w:p w14:paraId="0FAA5DCE" w14:textId="77777777" w:rsidR="00AB098C" w:rsidRPr="00A83493" w:rsidRDefault="00AB098C"/>
        </w:tc>
      </w:tr>
      <w:tr w:rsidR="00B42586" w14:paraId="4160E3E8" w14:textId="77777777">
        <w:trPr>
          <w:trHeight w:val="240"/>
          <w:jc w:val="center"/>
        </w:trPr>
        <w:tc>
          <w:tcPr>
            <w:tcW w:w="4876" w:type="dxa"/>
            <w:tcBorders>
              <w:top w:val="nil"/>
              <w:left w:val="nil"/>
              <w:bottom w:val="nil"/>
              <w:right w:val="nil"/>
            </w:tcBorders>
          </w:tcPr>
          <w:p w14:paraId="6B8B7520" w14:textId="1AE4F357" w:rsidR="00AB098C" w:rsidRPr="00A83493" w:rsidRDefault="00840785" w:rsidP="001C534A">
            <w:pPr>
              <w:pStyle w:val="AmColumnHeading"/>
            </w:pPr>
            <w:r>
              <w:t>Entschließungsantrag</w:t>
            </w:r>
          </w:p>
        </w:tc>
        <w:tc>
          <w:tcPr>
            <w:tcW w:w="4876" w:type="dxa"/>
            <w:tcBorders>
              <w:top w:val="nil"/>
              <w:left w:val="nil"/>
              <w:bottom w:val="nil"/>
              <w:right w:val="nil"/>
            </w:tcBorders>
          </w:tcPr>
          <w:p w14:paraId="6019305A" w14:textId="30885F82" w:rsidR="00AB098C" w:rsidRPr="00A83493" w:rsidRDefault="00840785">
            <w:pPr>
              <w:pStyle w:val="AmColumnHeading"/>
            </w:pPr>
            <w:r>
              <w:t>Geänderter Text</w:t>
            </w:r>
          </w:p>
        </w:tc>
      </w:tr>
      <w:tr w:rsidR="00B42586" w14:paraId="53F1F3C2" w14:textId="77777777">
        <w:trPr>
          <w:jc w:val="center"/>
        </w:trPr>
        <w:tc>
          <w:tcPr>
            <w:tcW w:w="4876" w:type="dxa"/>
            <w:tcBorders>
              <w:top w:val="nil"/>
              <w:left w:val="nil"/>
              <w:bottom w:val="nil"/>
              <w:right w:val="nil"/>
            </w:tcBorders>
          </w:tcPr>
          <w:p w14:paraId="3D1414BF" w14:textId="05D52C3B" w:rsidR="00AB098C" w:rsidRPr="00A83493" w:rsidRDefault="00840785">
            <w:pPr>
              <w:pStyle w:val="Normal6a"/>
            </w:pPr>
            <w:r>
              <w:t>54.</w:t>
            </w:r>
            <w:r>
              <w:tab/>
            </w:r>
            <w:r>
              <w:rPr>
                <w:b/>
                <w:i/>
              </w:rPr>
              <w:t xml:space="preserve">betont, dass die Integrität und der Ruf der Organe, Einrichtungen und sonstigen Stellen der EU ein Kernelement des Vertrauens der Bürgerinnen und Bürger sind; ist der Ansicht, dass die </w:t>
            </w:r>
            <w:r>
              <w:rPr>
                <w:b/>
                <w:i/>
              </w:rPr>
              <w:t>Rechenschaftspflicht bei der Verwendung von EU-Haushaltsmitteln für die demokratische Legitimität von entscheidender Bedeutung ist und dass die Anforderungen in Bezug auf Transparenz und den Schutz der finanziellen Interessen der EU für alle Begünstigten gleichermaßen und ausnahmslos innerhalb jedes EU-Organs, einschließlich des Parlaments, gelten müssen, um eine wirtschaftliche Haushaltsführung und wirksame Kontrollen der öffentlichen Mittel sicherzustellen;</w:t>
            </w:r>
          </w:p>
        </w:tc>
        <w:tc>
          <w:tcPr>
            <w:tcW w:w="4876" w:type="dxa"/>
            <w:tcBorders>
              <w:top w:val="nil"/>
              <w:left w:val="nil"/>
              <w:bottom w:val="nil"/>
              <w:right w:val="nil"/>
            </w:tcBorders>
          </w:tcPr>
          <w:p w14:paraId="466CB895" w14:textId="76591249" w:rsidR="00AB098C" w:rsidRPr="00A83493" w:rsidRDefault="00840785">
            <w:pPr>
              <w:pStyle w:val="Normal6a"/>
            </w:pPr>
            <w:r>
              <w:t>54.</w:t>
            </w:r>
            <w:r>
              <w:tab/>
            </w:r>
            <w:r>
              <w:rPr>
                <w:b/>
                <w:i/>
              </w:rPr>
              <w:t xml:space="preserve">weist darauf hin, dass alle Empfänger von Unionsmitteln, auch die im Europäischen Parlament tätigen Fraktionen, gleichermaßen dazu verpflichtet sind, die finanziellen Interessen der EU zu schützen; stellt fest, dass die Untersuchungen und Einziehungsmaßnahmen im Zusammenhang mit der mutmaßlichen missbräuchlichen Verwendung von Unionsmitteln durch die ehemalige Fraktion Identität und Demokratie deutlich machen, wie wichtig solide interne Kontrollen, wirksame Ex-post-Kontrollen und Verfahren für eine rasche </w:t>
            </w:r>
            <w:r>
              <w:rPr>
                <w:b/>
                <w:i/>
              </w:rPr>
              <w:t>Einziehung innerhalb der Verwaltung des Parlaments sind;</w:t>
            </w:r>
            <w:r>
              <w:t xml:space="preserve"> </w:t>
            </w:r>
            <w:r>
              <w:rPr>
                <w:b/>
                <w:i/>
              </w:rPr>
              <w:t xml:space="preserve">fordert die Verwaltung des Parlaments auf, alle ausstehenden Wiedereinziehungsverfahren unverzüglich abzuschließen und alle Belege für vorschriftswidrige Ausgaben an das OLAF und die </w:t>
            </w:r>
            <w:proofErr w:type="spellStart"/>
            <w:r>
              <w:rPr>
                <w:b/>
                <w:i/>
              </w:rPr>
              <w:t>EUStA</w:t>
            </w:r>
            <w:proofErr w:type="spellEnd"/>
            <w:r>
              <w:rPr>
                <w:b/>
                <w:i/>
              </w:rPr>
              <w:t xml:space="preserve"> weiterzuleiten; betont, dass die Glaubwürdigkeit der Betrugsbekämpfungsarchitektur der EU von ihrer konsequenten Anwendung auf alle Begünstigten, einschließlich derjenigen innerhalb des Parlaments selbst, abhängt;</w:t>
            </w:r>
          </w:p>
        </w:tc>
      </w:tr>
    </w:tbl>
    <w:p w14:paraId="04214C32" w14:textId="77777777" w:rsidR="00AB098C" w:rsidRPr="00840785" w:rsidRDefault="00840785">
      <w:pPr>
        <w:pStyle w:val="AmOrLang"/>
        <w:rPr>
          <w:lang w:val="en-GB"/>
        </w:rPr>
      </w:pPr>
      <w:r w:rsidRPr="00840785">
        <w:rPr>
          <w:lang w:val="en-GB"/>
        </w:rPr>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0C74D12A" w14:textId="77777777" w:rsidR="00AB098C" w:rsidRPr="00840785" w:rsidRDefault="00840785">
      <w:pPr>
        <w:rPr>
          <w:lang w:val="en-GB"/>
        </w:rPr>
        <w:sectPr w:rsidR="00AB098C" w:rsidRPr="00840785">
          <w:pgSz w:w="11909" w:h="16834"/>
          <w:pgMar w:top="1134" w:right="1417" w:bottom="1417" w:left="1417" w:header="1134" w:footer="567" w:gutter="0"/>
          <w:cols w:space="720"/>
        </w:sectPr>
      </w:pPr>
      <w:r w:rsidRPr="00840785">
        <w:rPr>
          <w:rStyle w:val="HideTWBExt"/>
          <w:lang w:val="en-GB"/>
        </w:rPr>
        <w:lastRenderedPageBreak/>
        <w:t>&lt;/Amend&gt;</w:t>
      </w:r>
    </w:p>
    <w:p w14:paraId="7888F82B" w14:textId="77777777" w:rsidR="00AB098C" w:rsidRPr="00840785" w:rsidRDefault="00840785">
      <w:pPr>
        <w:pStyle w:val="AmDateTab"/>
        <w:rPr>
          <w:lang w:val="pt-PT"/>
        </w:rPr>
      </w:pPr>
      <w:r w:rsidRPr="00840785">
        <w:rPr>
          <w:rStyle w:val="HideTWBExt"/>
          <w:lang w:val="pt-PT"/>
        </w:rPr>
        <w:lastRenderedPageBreak/>
        <w:t>&lt;Amend&gt;&lt;Date&gt;</w:t>
      </w:r>
      <w:r w:rsidRPr="00840785">
        <w:rPr>
          <w:rStyle w:val="HideTWBInt"/>
          <w:color w:val="auto"/>
          <w:lang w:val="pt-PT"/>
        </w:rPr>
        <w:t>{22/04/2026}</w:t>
      </w:r>
      <w:r w:rsidRPr="00840785">
        <w:rPr>
          <w:lang w:val="pt-PT"/>
        </w:rPr>
        <w:t>22.4.2026</w:t>
      </w:r>
      <w:r w:rsidRPr="00840785">
        <w:rPr>
          <w:rStyle w:val="HideTWBExt"/>
          <w:lang w:val="pt-PT"/>
        </w:rPr>
        <w:t>&lt;/Date&gt;</w:t>
      </w:r>
      <w:r w:rsidRPr="00840785">
        <w:rPr>
          <w:lang w:val="pt-PT"/>
        </w:rPr>
        <w:tab/>
      </w:r>
      <w:r w:rsidRPr="00840785">
        <w:rPr>
          <w:rStyle w:val="HideTWBExt"/>
          <w:lang w:val="pt-PT"/>
        </w:rPr>
        <w:t>&lt;ANo&gt;</w:t>
      </w:r>
      <w:r w:rsidRPr="00840785">
        <w:rPr>
          <w:lang w:val="pt-PT"/>
        </w:rPr>
        <w:t>A10-0080</w:t>
      </w:r>
      <w:r w:rsidRPr="00840785">
        <w:rPr>
          <w:rStyle w:val="HideTWBExt"/>
          <w:lang w:val="pt-PT"/>
        </w:rPr>
        <w:t>&lt;/</w:t>
      </w:r>
      <w:proofErr w:type="spellStart"/>
      <w:r w:rsidRPr="00840785">
        <w:rPr>
          <w:rStyle w:val="HideTWBExt"/>
          <w:lang w:val="pt-PT"/>
        </w:rPr>
        <w:t>ANo</w:t>
      </w:r>
      <w:proofErr w:type="spellEnd"/>
      <w:r w:rsidRPr="00840785">
        <w:rPr>
          <w:rStyle w:val="HideTWBExt"/>
          <w:lang w:val="pt-PT"/>
        </w:rPr>
        <w:t>&gt;</w:t>
      </w:r>
      <w:r w:rsidRPr="00840785">
        <w:rPr>
          <w:lang w:val="pt-PT"/>
        </w:rPr>
        <w:t>/</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r w:rsidRPr="00840785">
        <w:rPr>
          <w:lang w:val="pt-PT"/>
        </w:rPr>
        <w:t>59</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39A58780" w14:textId="1B045F9B" w:rsidR="00AB098C" w:rsidRPr="00840785" w:rsidRDefault="00840785">
      <w:pPr>
        <w:pStyle w:val="AmNumberTabs"/>
        <w:rPr>
          <w:lang w:val="pt-PT"/>
        </w:rPr>
      </w:pPr>
      <w:r w:rsidRPr="00840785">
        <w:rPr>
          <w:lang w:val="pt-PT"/>
        </w:rPr>
        <w:t>Änderungsantrag</w:t>
      </w:r>
      <w:r w:rsidRPr="00840785">
        <w:rPr>
          <w:lang w:val="pt-PT"/>
        </w:rPr>
        <w:tab/>
      </w:r>
      <w:r w:rsidRPr="00840785">
        <w:rPr>
          <w:lang w:val="pt-PT"/>
        </w:rPr>
        <w:tab/>
      </w:r>
      <w:r w:rsidRPr="00840785">
        <w:rPr>
          <w:rStyle w:val="HideTWBExt"/>
          <w:lang w:val="pt-PT"/>
        </w:rPr>
        <w:t>&lt;NumAm&gt;</w:t>
      </w:r>
      <w:r w:rsidRPr="00840785">
        <w:rPr>
          <w:lang w:val="pt-PT"/>
        </w:rPr>
        <w:t>59</w:t>
      </w:r>
      <w:r w:rsidRPr="00840785">
        <w:rPr>
          <w:rStyle w:val="HideTWBExt"/>
          <w:lang w:val="pt-PT"/>
        </w:rPr>
        <w:t>&lt;/</w:t>
      </w:r>
      <w:proofErr w:type="spellStart"/>
      <w:r w:rsidRPr="00840785">
        <w:rPr>
          <w:rStyle w:val="HideTWBExt"/>
          <w:lang w:val="pt-PT"/>
        </w:rPr>
        <w:t>NumAm</w:t>
      </w:r>
      <w:proofErr w:type="spellEnd"/>
      <w:r w:rsidRPr="00840785">
        <w:rPr>
          <w:rStyle w:val="HideTWBExt"/>
          <w:lang w:val="pt-PT"/>
        </w:rPr>
        <w:t>&gt;</w:t>
      </w:r>
    </w:p>
    <w:p w14:paraId="1E4C1956" w14:textId="77777777" w:rsidR="00AB098C" w:rsidRPr="00840785" w:rsidRDefault="00840785">
      <w:pPr>
        <w:pStyle w:val="NormalBold"/>
        <w:rPr>
          <w:lang w:val="pt-PT"/>
        </w:rPr>
      </w:pPr>
      <w:r w:rsidRPr="00840785">
        <w:rPr>
          <w:rStyle w:val="HideTWBExt"/>
          <w:b w:val="0"/>
          <w:lang w:val="pt-PT"/>
        </w:rPr>
        <w:t>&lt;RepeatBlock-By&gt;&lt;By&gt;&lt;Members&gt;</w:t>
      </w:r>
      <w:r w:rsidRPr="00840785">
        <w:rPr>
          <w:lang w:val="pt-PT"/>
        </w:rPr>
        <w:t xml:space="preserve">Daniel </w:t>
      </w:r>
      <w:proofErr w:type="spellStart"/>
      <w:r w:rsidRPr="00840785">
        <w:rPr>
          <w:lang w:val="pt-PT"/>
        </w:rPr>
        <w:t>Freund</w:t>
      </w:r>
      <w:proofErr w:type="spellEnd"/>
      <w:r w:rsidRPr="00840785">
        <w:rPr>
          <w:rStyle w:val="HideTWBExt"/>
          <w:b w:val="0"/>
          <w:lang w:val="pt-PT"/>
        </w:rPr>
        <w:t>&lt;/Members&gt;</w:t>
      </w:r>
    </w:p>
    <w:p w14:paraId="6874B7EE" w14:textId="77777777" w:rsidR="00AB098C" w:rsidRPr="00840785" w:rsidRDefault="00840785">
      <w:pPr>
        <w:rPr>
          <w:lang w:val="pt-PT"/>
        </w:rPr>
      </w:pPr>
      <w:r w:rsidRPr="00840785">
        <w:rPr>
          <w:rStyle w:val="HideTWBExt"/>
          <w:lang w:val="pt-PT"/>
        </w:rPr>
        <w:t>&lt;AuNomDe&gt;</w:t>
      </w:r>
      <w:r w:rsidRPr="00840785">
        <w:rPr>
          <w:rStyle w:val="HideTWBInt"/>
          <w:color w:val="auto"/>
          <w:lang w:val="pt-PT"/>
        </w:rPr>
        <w:t>{</w:t>
      </w:r>
      <w:proofErr w:type="spellStart"/>
      <w:r w:rsidRPr="00840785">
        <w:rPr>
          <w:rStyle w:val="HideTWBInt"/>
          <w:color w:val="auto"/>
          <w:lang w:val="pt-PT"/>
        </w:rPr>
        <w:t>Verts</w:t>
      </w:r>
      <w:proofErr w:type="spellEnd"/>
      <w:r w:rsidRPr="00840785">
        <w:rPr>
          <w:rStyle w:val="HideTWBInt"/>
          <w:color w:val="auto"/>
          <w:lang w:val="pt-PT"/>
        </w:rPr>
        <w:t>/ALE}</w:t>
      </w:r>
      <w:proofErr w:type="spellStart"/>
      <w:r w:rsidRPr="00840785">
        <w:rPr>
          <w:lang w:val="pt-PT"/>
        </w:rPr>
        <w:t>im</w:t>
      </w:r>
      <w:proofErr w:type="spellEnd"/>
      <w:r w:rsidRPr="00840785">
        <w:rPr>
          <w:lang w:val="pt-PT"/>
        </w:rPr>
        <w:t xml:space="preserve"> </w:t>
      </w:r>
      <w:proofErr w:type="spellStart"/>
      <w:r w:rsidRPr="00840785">
        <w:rPr>
          <w:lang w:val="pt-PT"/>
        </w:rPr>
        <w:t>Namen</w:t>
      </w:r>
      <w:proofErr w:type="spellEnd"/>
      <w:r w:rsidRPr="00840785">
        <w:rPr>
          <w:lang w:val="pt-PT"/>
        </w:rPr>
        <w:t xml:space="preserve"> der </w:t>
      </w:r>
      <w:proofErr w:type="spellStart"/>
      <w:r w:rsidRPr="00840785">
        <w:rPr>
          <w:lang w:val="pt-PT"/>
        </w:rPr>
        <w:t>Verts</w:t>
      </w:r>
      <w:proofErr w:type="spellEnd"/>
      <w:r w:rsidRPr="00840785">
        <w:rPr>
          <w:lang w:val="pt-PT"/>
        </w:rPr>
        <w:t>/ALE-</w:t>
      </w:r>
      <w:proofErr w:type="spellStart"/>
      <w:r w:rsidRPr="00840785">
        <w:rPr>
          <w:lang w:val="pt-PT"/>
        </w:rPr>
        <w:t>Fraktion</w:t>
      </w:r>
      <w:proofErr w:type="spellEnd"/>
      <w:r w:rsidRPr="00840785">
        <w:rPr>
          <w:rStyle w:val="HideTWBExt"/>
          <w:lang w:val="pt-PT"/>
        </w:rPr>
        <w:t>&lt;/AuNomDe&gt;</w:t>
      </w:r>
    </w:p>
    <w:p w14:paraId="60C10E6F" w14:textId="77777777" w:rsidR="00AB098C" w:rsidRPr="00840785" w:rsidRDefault="00840785">
      <w:pPr>
        <w:pStyle w:val="NormalBold"/>
        <w:rPr>
          <w:lang w:val="en-GB"/>
        </w:rPr>
      </w:pPr>
      <w:r w:rsidRPr="00840785">
        <w:rPr>
          <w:rStyle w:val="HideTWBExt"/>
          <w:b w:val="0"/>
          <w:lang w:val="en-GB"/>
        </w:rPr>
        <w:t>&lt;/By&gt;&lt;/RepeatBlock-By&gt;</w:t>
      </w:r>
    </w:p>
    <w:p w14:paraId="6953A485" w14:textId="56815577" w:rsidR="00AB098C" w:rsidRPr="00840785" w:rsidRDefault="00840785">
      <w:pPr>
        <w:pStyle w:val="AmDocTypeTab"/>
        <w:rPr>
          <w:lang w:val="en-GB"/>
        </w:rPr>
      </w:pPr>
      <w:r w:rsidRPr="00840785">
        <w:rPr>
          <w:rStyle w:val="HideTWBExt"/>
          <w:lang w:val="en-GB"/>
        </w:rPr>
        <w:t>&lt;TitreType&gt;</w:t>
      </w:r>
      <w:proofErr w:type="spellStart"/>
      <w:r w:rsidRPr="00840785">
        <w:rPr>
          <w:lang w:val="en-GB"/>
        </w:rPr>
        <w:t>Bericht</w:t>
      </w:r>
      <w:proofErr w:type="spellEnd"/>
      <w:r w:rsidRPr="00840785">
        <w:rPr>
          <w:rStyle w:val="HideTWBExt"/>
          <w:lang w:val="en-GB"/>
        </w:rPr>
        <w:t>&lt;/TitreType&gt;</w:t>
      </w:r>
      <w:r w:rsidRPr="00840785">
        <w:rPr>
          <w:lang w:val="en-GB"/>
        </w:rPr>
        <w:tab/>
        <w:t>A10-0080/2026</w:t>
      </w:r>
    </w:p>
    <w:p w14:paraId="48DB673F" w14:textId="77777777" w:rsidR="00AB098C" w:rsidRPr="00A83493" w:rsidRDefault="00840785">
      <w:pPr>
        <w:pStyle w:val="NormalBold"/>
      </w:pPr>
      <w:r>
        <w:rPr>
          <w:rStyle w:val="HideTWBExt"/>
        </w:rPr>
        <w:t>&lt;Rapporteur&gt;</w:t>
      </w:r>
      <w:r>
        <w:t>Julien Sanchez</w:t>
      </w:r>
      <w:r>
        <w:rPr>
          <w:rStyle w:val="HideTWBExt"/>
        </w:rPr>
        <w:t>&lt;/</w:t>
      </w:r>
      <w:proofErr w:type="spellStart"/>
      <w:r>
        <w:rPr>
          <w:rStyle w:val="HideTWBExt"/>
        </w:rPr>
        <w:t>Rapporteur</w:t>
      </w:r>
      <w:proofErr w:type="spellEnd"/>
      <w:r>
        <w:rPr>
          <w:rStyle w:val="HideTWBExt"/>
        </w:rPr>
        <w:t>&gt;</w:t>
      </w:r>
    </w:p>
    <w:p w14:paraId="2414A911" w14:textId="193E84CA" w:rsidR="00AB098C" w:rsidRPr="00A83493" w:rsidRDefault="00840785">
      <w:r>
        <w:rPr>
          <w:rStyle w:val="HideTWBExt"/>
        </w:rPr>
        <w:t>&lt;Titre&gt;</w:t>
      </w:r>
      <w:r>
        <w:t>Schutz der finanziellen Interessen der Europäischen Union – Betrugsbekämpfung – Jahresbericht 2024</w:t>
      </w:r>
      <w:r>
        <w:rPr>
          <w:rStyle w:val="HideTWBExt"/>
        </w:rPr>
        <w:t>&lt;/</w:t>
      </w:r>
      <w:proofErr w:type="spellStart"/>
      <w:r>
        <w:rPr>
          <w:rStyle w:val="HideTWBExt"/>
        </w:rPr>
        <w:t>Titre</w:t>
      </w:r>
      <w:proofErr w:type="spellEnd"/>
      <w:r>
        <w:rPr>
          <w:rStyle w:val="HideTWBExt"/>
        </w:rPr>
        <w:t>&gt;</w:t>
      </w:r>
    </w:p>
    <w:p w14:paraId="47A6A819" w14:textId="77777777" w:rsidR="00AB098C" w:rsidRPr="00A83493" w:rsidRDefault="00840785">
      <w:pPr>
        <w:pStyle w:val="Normal12a"/>
      </w:pPr>
      <w:r>
        <w:rPr>
          <w:rStyle w:val="HideTWBExt"/>
        </w:rPr>
        <w:t>&lt;DocRef&gt;</w:t>
      </w:r>
      <w:r>
        <w:t>(2025/2238(INI))</w:t>
      </w:r>
      <w:r>
        <w:rPr>
          <w:rStyle w:val="HideTWBExt"/>
        </w:rPr>
        <w:t>&lt;/</w:t>
      </w:r>
      <w:proofErr w:type="spellStart"/>
      <w:r>
        <w:rPr>
          <w:rStyle w:val="HideTWBExt"/>
        </w:rPr>
        <w:t>DocRef</w:t>
      </w:r>
      <w:proofErr w:type="spellEnd"/>
      <w:r>
        <w:rPr>
          <w:rStyle w:val="HideTWBExt"/>
        </w:rPr>
        <w:t>&gt;</w:t>
      </w:r>
    </w:p>
    <w:p w14:paraId="5F8BA664" w14:textId="346D4824" w:rsidR="00AB098C" w:rsidRPr="00A83493" w:rsidRDefault="00840785">
      <w:pPr>
        <w:pStyle w:val="NormalBold"/>
      </w:pPr>
      <w:r>
        <w:rPr>
          <w:rStyle w:val="HideTWBExt"/>
        </w:rPr>
        <w:t>&lt;DocAmend&gt;</w:t>
      </w:r>
      <w:r>
        <w:t>Entschließungsantrag</w:t>
      </w:r>
      <w:r>
        <w:rPr>
          <w:rStyle w:val="HideTWBExt"/>
        </w:rPr>
        <w:t>&lt;/</w:t>
      </w:r>
      <w:proofErr w:type="spellStart"/>
      <w:r>
        <w:rPr>
          <w:rStyle w:val="HideTWBExt"/>
        </w:rPr>
        <w:t>DocAmend</w:t>
      </w:r>
      <w:proofErr w:type="spellEnd"/>
      <w:r>
        <w:rPr>
          <w:rStyle w:val="HideTWBExt"/>
        </w:rPr>
        <w:t>&gt;</w:t>
      </w:r>
    </w:p>
    <w:p w14:paraId="0B7B25F8" w14:textId="7E1C6D08" w:rsidR="00AB098C" w:rsidRPr="00840785" w:rsidRDefault="00840785">
      <w:pPr>
        <w:pStyle w:val="NormalBold"/>
        <w:rPr>
          <w:lang w:val="fr-BE"/>
        </w:rPr>
      </w:pPr>
      <w:r>
        <w:rPr>
          <w:rStyle w:val="HideTWBExt"/>
          <w:lang w:val="fr-BE"/>
        </w:rPr>
        <w:t>&lt;Article&gt;</w:t>
      </w:r>
      <w:proofErr w:type="spellStart"/>
      <w:r w:rsidRPr="00840785">
        <w:rPr>
          <w:lang w:val="fr-BE"/>
        </w:rPr>
        <w:t>Ziffer</w:t>
      </w:r>
      <w:proofErr w:type="spellEnd"/>
      <w:r w:rsidRPr="00840785">
        <w:rPr>
          <w:lang w:val="fr-BE"/>
        </w:rPr>
        <w:t xml:space="preserve"> 54 a (</w:t>
      </w:r>
      <w:proofErr w:type="spellStart"/>
      <w:r w:rsidRPr="00840785">
        <w:rPr>
          <w:lang w:val="fr-BE"/>
        </w:rPr>
        <w:t>neu</w:t>
      </w:r>
      <w:proofErr w:type="spellEnd"/>
      <w:r w:rsidRPr="00840785">
        <w:rPr>
          <w:lang w:val="fr-BE"/>
        </w:rPr>
        <w:t>)</w:t>
      </w:r>
      <w:r>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586" w:rsidRPr="00840785" w14:paraId="6CE69F02" w14:textId="77777777">
        <w:trPr>
          <w:trHeight w:hRule="exact" w:val="240"/>
          <w:jc w:val="center"/>
        </w:trPr>
        <w:tc>
          <w:tcPr>
            <w:tcW w:w="9752" w:type="dxa"/>
            <w:gridSpan w:val="2"/>
            <w:tcBorders>
              <w:top w:val="nil"/>
              <w:left w:val="nil"/>
              <w:bottom w:val="nil"/>
              <w:right w:val="nil"/>
            </w:tcBorders>
          </w:tcPr>
          <w:p w14:paraId="0E6C5431" w14:textId="77777777" w:rsidR="00AB098C" w:rsidRPr="001C534A" w:rsidRDefault="00AB098C">
            <w:pPr>
              <w:rPr>
                <w:lang w:val="fr-BE"/>
              </w:rPr>
            </w:pPr>
          </w:p>
        </w:tc>
      </w:tr>
      <w:tr w:rsidR="00B42586" w14:paraId="36BC4A92" w14:textId="77777777">
        <w:trPr>
          <w:trHeight w:val="240"/>
          <w:jc w:val="center"/>
        </w:trPr>
        <w:tc>
          <w:tcPr>
            <w:tcW w:w="4876" w:type="dxa"/>
            <w:tcBorders>
              <w:top w:val="nil"/>
              <w:left w:val="nil"/>
              <w:bottom w:val="nil"/>
              <w:right w:val="nil"/>
            </w:tcBorders>
          </w:tcPr>
          <w:p w14:paraId="666F0D4E" w14:textId="3B36620C" w:rsidR="00AB098C" w:rsidRPr="00A83493" w:rsidRDefault="00840785" w:rsidP="001C534A">
            <w:pPr>
              <w:pStyle w:val="AmColumnHeading"/>
            </w:pPr>
            <w:r>
              <w:t>Entschließungsantrag</w:t>
            </w:r>
          </w:p>
        </w:tc>
        <w:tc>
          <w:tcPr>
            <w:tcW w:w="4876" w:type="dxa"/>
            <w:tcBorders>
              <w:top w:val="nil"/>
              <w:left w:val="nil"/>
              <w:bottom w:val="nil"/>
              <w:right w:val="nil"/>
            </w:tcBorders>
          </w:tcPr>
          <w:p w14:paraId="4D5E53A9" w14:textId="6A856E29" w:rsidR="00AB098C" w:rsidRPr="00A83493" w:rsidRDefault="00840785">
            <w:pPr>
              <w:pStyle w:val="AmColumnHeading"/>
            </w:pPr>
            <w:r>
              <w:t>Geänderter Text</w:t>
            </w:r>
          </w:p>
        </w:tc>
      </w:tr>
      <w:tr w:rsidR="00B42586" w14:paraId="1DA9569E" w14:textId="77777777">
        <w:trPr>
          <w:jc w:val="center"/>
        </w:trPr>
        <w:tc>
          <w:tcPr>
            <w:tcW w:w="4876" w:type="dxa"/>
            <w:tcBorders>
              <w:top w:val="nil"/>
              <w:left w:val="nil"/>
              <w:bottom w:val="nil"/>
              <w:right w:val="nil"/>
            </w:tcBorders>
          </w:tcPr>
          <w:p w14:paraId="70858426" w14:textId="77777777" w:rsidR="00AB098C" w:rsidRPr="00A83493" w:rsidRDefault="00AB098C">
            <w:pPr>
              <w:pStyle w:val="Normal6a"/>
            </w:pPr>
          </w:p>
        </w:tc>
        <w:tc>
          <w:tcPr>
            <w:tcW w:w="4876" w:type="dxa"/>
            <w:tcBorders>
              <w:top w:val="nil"/>
              <w:left w:val="nil"/>
              <w:bottom w:val="nil"/>
              <w:right w:val="nil"/>
            </w:tcBorders>
          </w:tcPr>
          <w:p w14:paraId="4D2BA016" w14:textId="31C58401" w:rsidR="00AB098C" w:rsidRPr="00A83493" w:rsidRDefault="00840785">
            <w:pPr>
              <w:pStyle w:val="Normal6a"/>
            </w:pPr>
            <w:r>
              <w:rPr>
                <w:b/>
                <w:i/>
              </w:rPr>
              <w:t>54a.</w:t>
            </w:r>
            <w:r>
              <w:tab/>
            </w:r>
            <w:r>
              <w:rPr>
                <w:b/>
                <w:i/>
              </w:rPr>
              <w:t xml:space="preserve">weist darauf hin, dass die Verwaltung des Parlaments festgestellt hat, dass mindestens 4 333 635,78 EUR der Mittel des Haushaltspostens 400 von der ehemaligen </w:t>
            </w:r>
            <w:r>
              <w:rPr>
                <w:b/>
                <w:i/>
              </w:rPr>
              <w:t xml:space="preserve">Fraktion Identität und Demokratie in der Wahlperiode 2019-2024 unrechtmäßig ausgegeben wurden, und dass die </w:t>
            </w:r>
            <w:proofErr w:type="spellStart"/>
            <w:r>
              <w:rPr>
                <w:b/>
                <w:i/>
              </w:rPr>
              <w:t>EUStA</w:t>
            </w:r>
            <w:proofErr w:type="spellEnd"/>
            <w:r>
              <w:rPr>
                <w:b/>
                <w:i/>
              </w:rPr>
              <w:t xml:space="preserve"> im Juli 2025 eine Untersuchung der mutmaßlichen missbräuchlichen Verwendung von Unionsmitteln durch die Fraktion eingeleitet hat; betont, dass es für die Glaubwürdigkeit der Betrugsbekämpfungsarchitektur der EU nötig ist, dass die Transparenz-, Rechenschafts- und Einziehungsmaßnahmen konsequent und ohne Ausnahmen auf alle Begünstigten angewandt werden; fordert die Verwaltung des Parlaments auf, </w:t>
            </w:r>
            <w:r>
              <w:rPr>
                <w:b/>
                <w:i/>
              </w:rPr>
              <w:t xml:space="preserve">parallel zu den strafrechtlichen Ermittlungen der </w:t>
            </w:r>
            <w:proofErr w:type="spellStart"/>
            <w:r>
              <w:rPr>
                <w:b/>
                <w:i/>
              </w:rPr>
              <w:t>EUStA</w:t>
            </w:r>
            <w:proofErr w:type="spellEnd"/>
            <w:r>
              <w:rPr>
                <w:b/>
                <w:i/>
              </w:rPr>
              <w:t xml:space="preserve"> vorläufige Verwaltungsmaßnahmen zum Schutz der finanziellen Interessen der Union zu ergreifen; ist der Ansicht, dass die Auflösung der Fraktion Identität und Demokratie im Jahr 2024 und die daraus resultierenden Finanzverfahren gezeigt haben, dass der derzeitige Rahmen unzureichend ist, um eine rechtzeitige Aufdeckung, Meldung und Einziehung </w:t>
            </w:r>
            <w:r>
              <w:rPr>
                <w:b/>
                <w:i/>
              </w:rPr>
              <w:lastRenderedPageBreak/>
              <w:t>sicherzustellen; fordert das Präsidium des Parlaments auf, den für die Fraktionen im Europäischen Parlament gelt</w:t>
            </w:r>
            <w:r>
              <w:rPr>
                <w:b/>
                <w:i/>
              </w:rPr>
              <w:t>enden Rahmen für die interne Finanzkontrolle dringend zu überprüfen und zu stärken;</w:t>
            </w:r>
          </w:p>
        </w:tc>
      </w:tr>
    </w:tbl>
    <w:p w14:paraId="046CB116" w14:textId="77777777" w:rsidR="00AB098C" w:rsidRPr="00840785" w:rsidRDefault="00840785">
      <w:pPr>
        <w:pStyle w:val="AmOrLang"/>
        <w:rPr>
          <w:lang w:val="en-GB"/>
        </w:rPr>
      </w:pPr>
      <w:r w:rsidRPr="00840785">
        <w:rPr>
          <w:lang w:val="en-GB"/>
        </w:rPr>
        <w:lastRenderedPageBreak/>
        <w:t xml:space="preserve">Or. </w:t>
      </w:r>
      <w:r w:rsidRPr="00840785">
        <w:rPr>
          <w:rStyle w:val="HideTWBExt"/>
          <w:lang w:val="en-GB"/>
        </w:rPr>
        <w:t>&lt;Original&gt;</w:t>
      </w:r>
      <w:r w:rsidRPr="00840785">
        <w:rPr>
          <w:rStyle w:val="HideTWBInt"/>
          <w:lang w:val="en-GB"/>
        </w:rPr>
        <w:t>{EN}</w:t>
      </w:r>
      <w:proofErr w:type="spellStart"/>
      <w:r w:rsidRPr="00840785">
        <w:rPr>
          <w:lang w:val="en-GB"/>
        </w:rPr>
        <w:t>en</w:t>
      </w:r>
      <w:proofErr w:type="spellEnd"/>
      <w:r w:rsidRPr="00840785">
        <w:rPr>
          <w:rStyle w:val="HideTWBExt"/>
          <w:lang w:val="en-GB"/>
        </w:rPr>
        <w:t>&lt;/Original&gt;</w:t>
      </w:r>
    </w:p>
    <w:p w14:paraId="58D2499F" w14:textId="77777777" w:rsidR="00AB098C" w:rsidRPr="00840785" w:rsidRDefault="00840785">
      <w:pPr>
        <w:rPr>
          <w:lang w:val="en-GB"/>
        </w:rPr>
      </w:pPr>
      <w:r w:rsidRPr="00840785">
        <w:rPr>
          <w:rStyle w:val="HideTWBExt"/>
          <w:lang w:val="en-GB"/>
        </w:rPr>
        <w:t>&lt;/Amend&gt;</w:t>
      </w:r>
    </w:p>
    <w:p w14:paraId="165F2E2F" w14:textId="77777777" w:rsidR="00AB098C" w:rsidRPr="00A83493" w:rsidRDefault="00840785">
      <w:r>
        <w:rPr>
          <w:rStyle w:val="HideTWBExt"/>
        </w:rPr>
        <w:t>&lt;/RepeatBlock-Amend&gt;</w:t>
      </w:r>
    </w:p>
    <w:sectPr w:rsidR="00AB098C" w:rsidRPr="00A83493">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F58CB" w14:textId="77777777" w:rsidR="00840785" w:rsidRDefault="00840785">
      <w:r>
        <w:separator/>
      </w:r>
    </w:p>
  </w:endnote>
  <w:endnote w:type="continuationSeparator" w:id="0">
    <w:p w14:paraId="143A4D60" w14:textId="77777777" w:rsidR="00840785" w:rsidRDefault="00840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8D369" w14:textId="77777777" w:rsidR="001C534A" w:rsidRDefault="001C53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3DA9" w14:textId="7912B09A" w:rsidR="007222C5" w:rsidRPr="00A83493" w:rsidRDefault="00840785" w:rsidP="007222C5">
    <w:pPr>
      <w:pStyle w:val="EPFooter"/>
    </w:pPr>
    <w:r w:rsidRPr="00A83493">
      <w:rPr>
        <w:rStyle w:val="HideTWBExt"/>
      </w:rPr>
      <w:t>&lt;PathFdR&gt;</w:t>
    </w:r>
    <w:r w:rsidR="00A83493" w:rsidRPr="00A83493">
      <w:t>AM\1342225DE.docx</w:t>
    </w:r>
    <w:r w:rsidRPr="00A83493">
      <w:rPr>
        <w:rStyle w:val="HideTWBExt"/>
      </w:rPr>
      <w:t>&lt;/</w:t>
    </w:r>
    <w:proofErr w:type="spellStart"/>
    <w:r w:rsidRPr="00A83493">
      <w:rPr>
        <w:rStyle w:val="HideTWBExt"/>
      </w:rPr>
      <w:t>PathFdR</w:t>
    </w:r>
    <w:proofErr w:type="spellEnd"/>
    <w:r w:rsidRPr="00A83493">
      <w:rPr>
        <w:rStyle w:val="HideTWBExt"/>
      </w:rPr>
      <w:t>&gt;</w:t>
    </w:r>
    <w:r w:rsidRPr="00A83493">
      <w:tab/>
    </w:r>
    <w:r w:rsidRPr="00A83493">
      <w:tab/>
      <w:t>PE</w:t>
    </w:r>
    <w:r w:rsidRPr="00A83493">
      <w:rPr>
        <w:rStyle w:val="HideTWBExt"/>
      </w:rPr>
      <w:t>&lt;</w:t>
    </w:r>
    <w:proofErr w:type="spellStart"/>
    <w:r w:rsidRPr="00A83493">
      <w:rPr>
        <w:rStyle w:val="HideTWBExt"/>
      </w:rPr>
      <w:t>NoPE</w:t>
    </w:r>
    <w:proofErr w:type="spellEnd"/>
    <w:r w:rsidRPr="00A83493">
      <w:rPr>
        <w:rStyle w:val="HideTWBExt"/>
      </w:rPr>
      <w:t>&gt;</w:t>
    </w:r>
    <w:r w:rsidRPr="00A83493">
      <w:t>783.022</w:t>
    </w:r>
    <w:r w:rsidRPr="00A83493">
      <w:rPr>
        <w:rStyle w:val="HideTWBExt"/>
      </w:rPr>
      <w:t>&lt;/</w:t>
    </w:r>
    <w:proofErr w:type="spellStart"/>
    <w:r w:rsidRPr="00A83493">
      <w:rPr>
        <w:rStyle w:val="HideTWBExt"/>
      </w:rPr>
      <w:t>NoPE</w:t>
    </w:r>
    <w:proofErr w:type="spellEnd"/>
    <w:r w:rsidRPr="00A83493">
      <w:rPr>
        <w:rStyle w:val="HideTWBExt"/>
      </w:rPr>
      <w:t>&gt;&lt;Version&gt;</w:t>
    </w:r>
    <w:r w:rsidRPr="00A83493">
      <w:t>v01-00</w:t>
    </w:r>
    <w:r w:rsidRPr="00A83493">
      <w:rPr>
        <w:rStyle w:val="HideTWBExt"/>
      </w:rPr>
      <w:t>&lt;/Version&gt;</w:t>
    </w:r>
  </w:p>
  <w:p w14:paraId="7CDB53C2" w14:textId="17339BC1" w:rsidR="00AB098C" w:rsidRPr="00A83493" w:rsidRDefault="00840785" w:rsidP="007222C5">
    <w:pPr>
      <w:pStyle w:val="EPFooter2"/>
    </w:pPr>
    <w:r w:rsidRPr="00A83493">
      <w:t>DE</w:t>
    </w:r>
    <w:r w:rsidRPr="00A83493">
      <w:tab/>
    </w:r>
    <w:r w:rsidRPr="00A83493">
      <w:rPr>
        <w:b w:val="0"/>
        <w:i/>
        <w:color w:val="C0C0C0"/>
        <w:sz w:val="22"/>
      </w:rPr>
      <w:t>In Vielfalt geeint</w:t>
    </w:r>
    <w:r w:rsidRPr="00A83493">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4D7CE" w14:textId="77777777" w:rsidR="001C534A" w:rsidRDefault="001C5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61832" w14:textId="77777777" w:rsidR="00840785" w:rsidRDefault="00840785">
      <w:r>
        <w:separator/>
      </w:r>
    </w:p>
  </w:footnote>
  <w:footnote w:type="continuationSeparator" w:id="0">
    <w:p w14:paraId="6805538B" w14:textId="77777777" w:rsidR="00840785" w:rsidRDefault="00840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5FD20" w14:textId="77777777" w:rsidR="001C534A" w:rsidRDefault="001C53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98256" w14:textId="77777777" w:rsidR="001C534A" w:rsidRDefault="001C53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C02D8" w14:textId="77777777" w:rsidR="001C534A" w:rsidRDefault="001C53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2"/>
    <w:docVar w:name="TXTLANGUE" w:val="DE"/>
    <w:docVar w:name="TXTLANGUEMIN" w:val="de"/>
    <w:docVar w:name="TXTNRPE" w:val="783.022"/>
    <w:docVar w:name="TXTPEorAP" w:val="PE"/>
    <w:docVar w:name="TXTROUTE" w:val="AM\1342225DE.docx"/>
    <w:docVar w:name="TXTVERSION" w:val="01-00"/>
  </w:docVars>
  <w:rsids>
    <w:rsidRoot w:val="00A77B3E"/>
    <w:rsid w:val="000953BD"/>
    <w:rsid w:val="001C534A"/>
    <w:rsid w:val="001E6DCE"/>
    <w:rsid w:val="0022097A"/>
    <w:rsid w:val="002C4F66"/>
    <w:rsid w:val="0034105C"/>
    <w:rsid w:val="00380094"/>
    <w:rsid w:val="004A2B70"/>
    <w:rsid w:val="0050316C"/>
    <w:rsid w:val="00566641"/>
    <w:rsid w:val="005744EE"/>
    <w:rsid w:val="005D1D4D"/>
    <w:rsid w:val="006447B6"/>
    <w:rsid w:val="006A13A9"/>
    <w:rsid w:val="006F1F54"/>
    <w:rsid w:val="00705A00"/>
    <w:rsid w:val="0072073B"/>
    <w:rsid w:val="007222C5"/>
    <w:rsid w:val="007B6BE6"/>
    <w:rsid w:val="00840785"/>
    <w:rsid w:val="009F6C83"/>
    <w:rsid w:val="00A77B3E"/>
    <w:rsid w:val="00A83493"/>
    <w:rsid w:val="00AB098C"/>
    <w:rsid w:val="00B42586"/>
    <w:rsid w:val="00C62949"/>
    <w:rsid w:val="00CA2A55"/>
    <w:rsid w:val="00E709BB"/>
    <w:rsid w:val="00F628DF"/>
    <w:rsid w:val="00FA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35163"/>
  <w15:docId w15:val="{C4F0EAC1-4B7D-4BB5-A8AE-971B0280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0094"/>
    <w:pPr>
      <w:tabs>
        <w:tab w:val="center" w:pos="4513"/>
        <w:tab w:val="right" w:pos="9026"/>
      </w:tabs>
    </w:pPr>
  </w:style>
  <w:style w:type="character" w:customStyle="1" w:styleId="HeaderChar">
    <w:name w:val="Header Char"/>
    <w:basedOn w:val="DefaultParagraphFont"/>
    <w:link w:val="Header"/>
    <w:rsid w:val="00380094"/>
    <w:rPr>
      <w:sz w:val="24"/>
      <w:szCs w:val="24"/>
    </w:rPr>
  </w:style>
  <w:style w:type="paragraph" w:styleId="Footer">
    <w:name w:val="footer"/>
    <w:basedOn w:val="Normal"/>
    <w:link w:val="FooterChar1"/>
    <w:rsid w:val="00380094"/>
    <w:pPr>
      <w:tabs>
        <w:tab w:val="center" w:pos="4513"/>
        <w:tab w:val="right" w:pos="9026"/>
      </w:tabs>
    </w:pPr>
  </w:style>
  <w:style w:type="character" w:customStyle="1" w:styleId="FooterChar1">
    <w:name w:val="Footer Char1"/>
    <w:basedOn w:val="DefaultParagraphFont"/>
    <w:link w:val="Footer"/>
    <w:rsid w:val="00380094"/>
    <w:rPr>
      <w:sz w:val="24"/>
      <w:szCs w:val="24"/>
    </w:rPr>
  </w:style>
  <w:style w:type="paragraph" w:styleId="Revision">
    <w:name w:val="Revision"/>
    <w:hidden/>
    <w:uiPriority w:val="99"/>
    <w:semiHidden/>
    <w:rsid w:val="0022097A"/>
    <w:rPr>
      <w:sz w:val="24"/>
      <w:szCs w:val="24"/>
    </w:rPr>
  </w:style>
  <w:style w:type="character" w:styleId="CommentReference">
    <w:name w:val="annotation reference"/>
    <w:basedOn w:val="DefaultParagraphFont"/>
    <w:rsid w:val="00FA7453"/>
    <w:rPr>
      <w:sz w:val="16"/>
      <w:szCs w:val="16"/>
    </w:rPr>
  </w:style>
  <w:style w:type="paragraph" w:styleId="CommentText">
    <w:name w:val="annotation text"/>
    <w:basedOn w:val="Normal"/>
    <w:link w:val="CommentTextChar"/>
    <w:rsid w:val="00FA7453"/>
    <w:rPr>
      <w:sz w:val="20"/>
      <w:szCs w:val="20"/>
    </w:rPr>
  </w:style>
  <w:style w:type="character" w:customStyle="1" w:styleId="CommentTextChar">
    <w:name w:val="Comment Text Char"/>
    <w:basedOn w:val="DefaultParagraphFont"/>
    <w:link w:val="CommentText"/>
    <w:rsid w:val="00FA7453"/>
  </w:style>
  <w:style w:type="paragraph" w:styleId="CommentSubject">
    <w:name w:val="annotation subject"/>
    <w:basedOn w:val="CommentText"/>
    <w:next w:val="CommentText"/>
    <w:link w:val="CommentSubjectChar"/>
    <w:rsid w:val="00FA7453"/>
    <w:rPr>
      <w:b/>
      <w:bCs/>
    </w:rPr>
  </w:style>
  <w:style w:type="character" w:customStyle="1" w:styleId="CommentSubjectChar">
    <w:name w:val="Comment Subject Char"/>
    <w:basedOn w:val="CommentTextChar"/>
    <w:link w:val="CommentSubject"/>
    <w:rsid w:val="00FA7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1730</Words>
  <Characters>12496</Characters>
  <Application>Microsoft Office Word</Application>
  <DocSecurity>0</DocSecurity>
  <Lines>488</Lines>
  <Paragraphs>144</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HALABAREC Tamara</cp:lastModifiedBy>
  <cp:revision>2</cp:revision>
  <cp:lastPrinted>2026-04-22T17:39:00Z</cp:lastPrinted>
  <dcterms:created xsi:type="dcterms:W3CDTF">2026-04-27T12:15:00Z</dcterms:created>
  <dcterms:modified xsi:type="dcterms:W3CDTF">2026-04-27T12:15:00Z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1342225</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- 2026/04/27 14:15</vt:lpwstr>
  </property>
  <property fmtid="{D5CDD505-2E9C-101B-9397-08002B2CF9AE}" pid="7" name="dmxml.render.id">
    <vt:lpwstr>459267</vt:lpwstr>
  </property>
  <property fmtid="{D5CDD505-2E9C-101B-9397-08002B2CF9AE}" pid="8" name="dmxml.render.traceId">
    <vt:lpwstr>69e8e9021f7542c89ca2e5b051c30353</vt:lpwstr>
  </property>
  <property fmtid="{D5CDD505-2E9C-101B-9397-08002B2CF9AE}" pid="9" name="FooterPath">
    <vt:lpwstr>AM\1342225DE.docx</vt:lpwstr>
  </property>
  <property fmtid="{D5CDD505-2E9C-101B-9397-08002B2CF9AE}" pid="10" name="LastEdited with">
    <vt:lpwstr>10.3.0 Build [20260401]</vt:lpwstr>
  </property>
  <property fmtid="{D5CDD505-2E9C-101B-9397-08002B2CF9AE}" pid="11" name="OriLang">
    <vt:lpwstr>EN</vt:lpwstr>
  </property>
  <property fmtid="{D5CDD505-2E9C-101B-9397-08002B2CF9AE}" pid="12" name="PE Number">
    <vt:lpwstr>783.022</vt:lpwstr>
  </property>
  <property fmtid="{D5CDD505-2E9C-101B-9397-08002B2CF9AE}" pid="13" name="RegistreCheck">
    <vt:lpwstr>OK</vt:lpwstr>
  </property>
  <property fmtid="{D5CDD505-2E9C-101B-9397-08002B2CF9AE}" pid="14" name="SDLStudio">
    <vt:lpwstr/>
  </property>
  <property fmtid="{D5CDD505-2E9C-101B-9397-08002B2CF9AE}" pid="15" name="UID">
    <vt:lpwstr>eu.europa.europarl-DIN1-2026-0000109521_01.00-en-01.00_text-xml</vt:lpwstr>
  </property>
</Properties>
</file>