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0763E" w14:textId="77777777" w:rsidR="00AB098C" w:rsidRPr="002A1458" w:rsidRDefault="002A1458">
      <w:pPr>
        <w:pStyle w:val="AmDateTab"/>
      </w:pPr>
      <w:r w:rsidRPr="002A1458">
        <w:rPr>
          <w:rStyle w:val="HideTWBExt"/>
        </w:rPr>
        <w:t>&lt;RepeatBlock-Amend&gt;&lt;Amend&gt;&lt;Date&gt;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50</w:t>
      </w:r>
      <w:r w:rsidRPr="002A1458">
        <w:rPr>
          <w:rStyle w:val="HideTWBExt"/>
        </w:rPr>
        <w:t>&lt;/NumAm&gt;</w:t>
      </w:r>
    </w:p>
    <w:p w14:paraId="6F54DC25"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50</w:t>
      </w:r>
      <w:r w:rsidRPr="002A1458">
        <w:rPr>
          <w:rStyle w:val="HideTWBExt"/>
        </w:rPr>
        <w:t>&lt;/NumAm&gt;</w:t>
      </w:r>
    </w:p>
    <w:p w14:paraId="258E7D6A"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666E1CA7"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294E2802" w14:textId="77777777" w:rsidR="00AB098C" w:rsidRPr="002A1458" w:rsidRDefault="002A1458">
      <w:pPr>
        <w:pStyle w:val="NormalBold"/>
      </w:pPr>
      <w:r w:rsidRPr="002A1458">
        <w:rPr>
          <w:rStyle w:val="HideTWBExt"/>
          <w:b w:val="0"/>
        </w:rPr>
        <w:t>&lt;/By&gt;&lt;/RepeatBlock-By&gt;</w:t>
      </w:r>
    </w:p>
    <w:p w14:paraId="36619970"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594826D1"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4006048E" w14:textId="30E45309"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41E99341"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38C2EC05"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28E559A1" w14:textId="6A10691D" w:rsidR="00AB098C" w:rsidRPr="002A1458" w:rsidRDefault="002A1458">
      <w:pPr>
        <w:pStyle w:val="NormalBold"/>
      </w:pPr>
      <w:r w:rsidRPr="002A1458">
        <w:rPr>
          <w:rStyle w:val="HideTWBExt"/>
        </w:rPr>
        <w:t>&lt;Article&gt;</w:t>
      </w:r>
      <w:r w:rsidRPr="002A1458">
        <w:t xml:space="preserve">Visto 23 bis (nuevo) </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470DC1FC" w14:textId="77777777">
        <w:trPr>
          <w:trHeight w:hRule="exact" w:val="240"/>
          <w:jc w:val="center"/>
        </w:trPr>
        <w:tc>
          <w:tcPr>
            <w:tcW w:w="9752" w:type="dxa"/>
            <w:gridSpan w:val="2"/>
            <w:tcBorders>
              <w:top w:val="nil"/>
              <w:left w:val="nil"/>
              <w:bottom w:val="nil"/>
              <w:right w:val="nil"/>
            </w:tcBorders>
          </w:tcPr>
          <w:p w14:paraId="01AC38DA" w14:textId="77777777" w:rsidR="00AB098C" w:rsidRPr="002A1458" w:rsidRDefault="00AB098C"/>
        </w:tc>
      </w:tr>
      <w:tr w:rsidR="00D92D80" w:rsidRPr="002A1458" w14:paraId="0561F3F4" w14:textId="77777777">
        <w:trPr>
          <w:trHeight w:val="240"/>
          <w:jc w:val="center"/>
        </w:trPr>
        <w:tc>
          <w:tcPr>
            <w:tcW w:w="4876" w:type="dxa"/>
            <w:tcBorders>
              <w:top w:val="nil"/>
              <w:left w:val="nil"/>
              <w:bottom w:val="nil"/>
              <w:right w:val="nil"/>
            </w:tcBorders>
          </w:tcPr>
          <w:p w14:paraId="75D7C2A1"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71528269" w14:textId="77777777" w:rsidR="00AB098C" w:rsidRPr="002A1458" w:rsidRDefault="002A1458">
            <w:pPr>
              <w:pStyle w:val="AmColumnHeading"/>
            </w:pPr>
            <w:r w:rsidRPr="002A1458">
              <w:t>Enmienda</w:t>
            </w:r>
          </w:p>
        </w:tc>
      </w:tr>
      <w:tr w:rsidR="00D92D80" w:rsidRPr="002A1458" w14:paraId="35A3F6BE" w14:textId="77777777">
        <w:trPr>
          <w:jc w:val="center"/>
        </w:trPr>
        <w:tc>
          <w:tcPr>
            <w:tcW w:w="4876" w:type="dxa"/>
            <w:tcBorders>
              <w:top w:val="nil"/>
              <w:left w:val="nil"/>
              <w:bottom w:val="nil"/>
              <w:right w:val="nil"/>
            </w:tcBorders>
          </w:tcPr>
          <w:p w14:paraId="19D88A38" w14:textId="77777777" w:rsidR="00AB098C" w:rsidRPr="002A1458" w:rsidRDefault="00AB098C">
            <w:pPr>
              <w:pStyle w:val="Normal6a"/>
            </w:pPr>
          </w:p>
        </w:tc>
        <w:tc>
          <w:tcPr>
            <w:tcW w:w="4876" w:type="dxa"/>
            <w:tcBorders>
              <w:top w:val="nil"/>
              <w:left w:val="nil"/>
              <w:bottom w:val="nil"/>
              <w:right w:val="nil"/>
            </w:tcBorders>
          </w:tcPr>
          <w:p w14:paraId="0374F855" w14:textId="457B656D" w:rsidR="00AB098C" w:rsidRPr="002A1458" w:rsidRDefault="002A1458">
            <w:pPr>
              <w:pStyle w:val="Normal6a"/>
              <w:pBdr>
                <w:bottom w:val="single" w:sz="12" w:space="1" w:color="auto"/>
              </w:pBdr>
              <w:rPr>
                <w:b/>
                <w:i/>
              </w:rPr>
            </w:pPr>
            <w:r w:rsidRPr="002A1458">
              <w:rPr>
                <w:b/>
                <w:i/>
              </w:rPr>
              <w:t>–</w:t>
            </w:r>
            <w:r w:rsidRPr="002A1458">
              <w:tab/>
            </w:r>
            <w:r w:rsidRPr="002A1458">
              <w:rPr>
                <w:b/>
                <w:i/>
              </w:rPr>
              <w:t>Vistas las sentencias del Tribunal de Justicia de la Unión Europea, de 16 de febrero de 2022, en los asuntos C</w:t>
            </w:r>
            <w:r w:rsidRPr="002A1458">
              <w:rPr>
                <w:b/>
                <w:i/>
              </w:rPr>
              <w:noBreakHyphen/>
              <w:t xml:space="preserve">156/21 </w:t>
            </w:r>
            <w:r w:rsidRPr="002A1458">
              <w:rPr>
                <w:b/>
                <w:i/>
              </w:rPr>
              <w:t>Hungría/Parlamento y Consejo y C</w:t>
            </w:r>
            <w:r w:rsidRPr="002A1458">
              <w:rPr>
                <w:b/>
                <w:i/>
              </w:rPr>
              <w:noBreakHyphen/>
              <w:t>157/21 Polonia/Parlamento y Consejo</w:t>
            </w:r>
            <w:r w:rsidRPr="002A1458">
              <w:rPr>
                <w:b/>
                <w:i/>
                <w:vertAlign w:val="superscript"/>
              </w:rPr>
              <w:t>1 bis</w:t>
            </w:r>
            <w:r w:rsidRPr="002A1458">
              <w:rPr>
                <w:b/>
                <w:i/>
              </w:rPr>
              <w:t>, que confirman la legalidad del Reglamento sobre condicionalidad,</w:t>
            </w:r>
          </w:p>
          <w:p w14:paraId="233B5120" w14:textId="7895A482" w:rsidR="0022097A" w:rsidRPr="002A1458" w:rsidRDefault="002A1458">
            <w:pPr>
              <w:pStyle w:val="Normal6a"/>
            </w:pPr>
            <w:r w:rsidRPr="002A1458">
              <w:rPr>
                <w:b/>
                <w:i/>
                <w:vertAlign w:val="superscript"/>
              </w:rPr>
              <w:t>1 bis</w:t>
            </w:r>
            <w:r w:rsidRPr="002A1458">
              <w:rPr>
                <w:b/>
                <w:i/>
              </w:rPr>
              <w:t xml:space="preserve"> ECLI:EU:C:2022:97 y ECLI:EU:C:2022:98.</w:t>
            </w:r>
          </w:p>
        </w:tc>
      </w:tr>
    </w:tbl>
    <w:p w14:paraId="6E3DA0C0"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4D4CDBC3" w14:textId="77777777" w:rsidR="00AB098C" w:rsidRPr="002A1458" w:rsidRDefault="002A1458">
      <w:pPr>
        <w:sectPr w:rsidR="00AB098C" w:rsidRPr="002A1458">
          <w:headerReference w:type="even" r:id="rId6"/>
          <w:headerReference w:type="default" r:id="rId7"/>
          <w:footerReference w:type="even" r:id="rId8"/>
          <w:footerReference w:type="default" r:id="rId9"/>
          <w:headerReference w:type="first" r:id="rId10"/>
          <w:footerReference w:type="first" r:id="rId11"/>
          <w:pgSz w:w="11909" w:h="16834"/>
          <w:pgMar w:top="1134" w:right="1417" w:bottom="1417" w:left="1417" w:header="1134" w:footer="567" w:gutter="0"/>
          <w:cols w:space="720"/>
        </w:sectPr>
      </w:pPr>
      <w:r w:rsidRPr="002A1458">
        <w:rPr>
          <w:rStyle w:val="HideTWBExt"/>
        </w:rPr>
        <w:t>&lt;/Amend&gt;</w:t>
      </w:r>
    </w:p>
    <w:p w14:paraId="1897A4FA" w14:textId="77777777" w:rsidR="00AB098C" w:rsidRPr="002A1458" w:rsidRDefault="002A1458">
      <w:pPr>
        <w:pStyle w:val="AmDateTab"/>
      </w:pPr>
      <w:r w:rsidRPr="002A1458">
        <w:rPr>
          <w:rStyle w:val="HideTWBExt"/>
        </w:rPr>
        <w:lastRenderedPageBreak/>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51</w:t>
      </w:r>
      <w:r w:rsidRPr="002A1458">
        <w:rPr>
          <w:rStyle w:val="HideTWBExt"/>
        </w:rPr>
        <w:t>&lt;/NumAm&gt;</w:t>
      </w:r>
    </w:p>
    <w:p w14:paraId="0CA0DC32"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51</w:t>
      </w:r>
      <w:r w:rsidRPr="002A1458">
        <w:rPr>
          <w:rStyle w:val="HideTWBExt"/>
        </w:rPr>
        <w:t>&lt;/NumAm&gt;</w:t>
      </w:r>
    </w:p>
    <w:p w14:paraId="122C27AF"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42FB1CEC"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369153FD" w14:textId="77777777" w:rsidR="00AB098C" w:rsidRPr="002A1458" w:rsidRDefault="002A1458">
      <w:pPr>
        <w:pStyle w:val="NormalBold"/>
      </w:pPr>
      <w:r w:rsidRPr="002A1458">
        <w:rPr>
          <w:rStyle w:val="HideTWBExt"/>
          <w:b w:val="0"/>
        </w:rPr>
        <w:t>&lt;/By&gt;&lt;/RepeatBlock-By&gt;</w:t>
      </w:r>
    </w:p>
    <w:p w14:paraId="004FEAFA"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14F63909"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44F6DB4C" w14:textId="69E7F1E8"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4D47D053"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570FEAC6"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18AE99FB" w14:textId="77777777" w:rsidR="00AB098C" w:rsidRPr="002A1458" w:rsidRDefault="002A1458">
      <w:pPr>
        <w:pStyle w:val="NormalBold"/>
      </w:pPr>
      <w:r w:rsidRPr="002A1458">
        <w:rPr>
          <w:rStyle w:val="HideTWBExt"/>
        </w:rPr>
        <w:t>&lt;Article&gt;</w:t>
      </w:r>
      <w:r w:rsidRPr="002A1458">
        <w:t xml:space="preserve">Visto 25 ter (nuevo) </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62EB1AFB" w14:textId="77777777">
        <w:trPr>
          <w:trHeight w:hRule="exact" w:val="240"/>
          <w:jc w:val="center"/>
        </w:trPr>
        <w:tc>
          <w:tcPr>
            <w:tcW w:w="9752" w:type="dxa"/>
            <w:gridSpan w:val="2"/>
            <w:tcBorders>
              <w:top w:val="nil"/>
              <w:left w:val="nil"/>
              <w:bottom w:val="nil"/>
              <w:right w:val="nil"/>
            </w:tcBorders>
          </w:tcPr>
          <w:p w14:paraId="7D55E2CF" w14:textId="77777777" w:rsidR="00AB098C" w:rsidRPr="002A1458" w:rsidRDefault="00AB098C"/>
        </w:tc>
      </w:tr>
      <w:tr w:rsidR="00D92D80" w:rsidRPr="002A1458" w14:paraId="689BD4CC" w14:textId="77777777">
        <w:trPr>
          <w:trHeight w:val="240"/>
          <w:jc w:val="center"/>
        </w:trPr>
        <w:tc>
          <w:tcPr>
            <w:tcW w:w="4876" w:type="dxa"/>
            <w:tcBorders>
              <w:top w:val="nil"/>
              <w:left w:val="nil"/>
              <w:bottom w:val="nil"/>
              <w:right w:val="nil"/>
            </w:tcBorders>
          </w:tcPr>
          <w:p w14:paraId="7076EBB8"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1D3DD833" w14:textId="77777777" w:rsidR="00AB098C" w:rsidRPr="002A1458" w:rsidRDefault="002A1458">
            <w:pPr>
              <w:pStyle w:val="AmColumnHeading"/>
            </w:pPr>
            <w:r w:rsidRPr="002A1458">
              <w:t>Enmienda</w:t>
            </w:r>
          </w:p>
        </w:tc>
      </w:tr>
      <w:tr w:rsidR="00D92D80" w:rsidRPr="002A1458" w14:paraId="6BA02098" w14:textId="77777777">
        <w:trPr>
          <w:jc w:val="center"/>
        </w:trPr>
        <w:tc>
          <w:tcPr>
            <w:tcW w:w="4876" w:type="dxa"/>
            <w:tcBorders>
              <w:top w:val="nil"/>
              <w:left w:val="nil"/>
              <w:bottom w:val="nil"/>
              <w:right w:val="nil"/>
            </w:tcBorders>
          </w:tcPr>
          <w:p w14:paraId="3D3F7FC2" w14:textId="77777777" w:rsidR="00AB098C" w:rsidRPr="002A1458" w:rsidRDefault="00AB098C">
            <w:pPr>
              <w:pStyle w:val="Normal6a"/>
            </w:pPr>
          </w:p>
        </w:tc>
        <w:tc>
          <w:tcPr>
            <w:tcW w:w="4876" w:type="dxa"/>
            <w:tcBorders>
              <w:top w:val="nil"/>
              <w:left w:val="nil"/>
              <w:bottom w:val="nil"/>
              <w:right w:val="nil"/>
            </w:tcBorders>
          </w:tcPr>
          <w:p w14:paraId="481513A9" w14:textId="5E786CD9" w:rsidR="00AB098C" w:rsidRPr="002A1458" w:rsidRDefault="002A1458">
            <w:pPr>
              <w:pStyle w:val="Normal6a"/>
            </w:pPr>
            <w:r w:rsidRPr="002A1458">
              <w:rPr>
                <w:b/>
                <w:i/>
              </w:rPr>
              <w:t>–</w:t>
            </w:r>
            <w:r w:rsidRPr="002A1458">
              <w:tab/>
            </w:r>
            <w:r w:rsidRPr="002A1458">
              <w:rPr>
                <w:b/>
                <w:i/>
              </w:rPr>
              <w:t>Vista la investigación en curso abierta por la Fiscalía Europea en julio de 2025 sobre el supuesto uso indebido de fondos de la Unión por parte del antiguo grupo Identidad y Democracia del Parlamento Europeo,</w:t>
            </w:r>
          </w:p>
        </w:tc>
      </w:tr>
    </w:tbl>
    <w:p w14:paraId="790F5E20"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5D9AFC04"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1DC3122D" w14:textId="77777777" w:rsidR="00AB098C" w:rsidRPr="002A1458" w:rsidRDefault="002A1458">
      <w:pPr>
        <w:pStyle w:val="AmDateTab"/>
      </w:pPr>
      <w:r w:rsidRPr="002A1458">
        <w:rPr>
          <w:rStyle w:val="HideTWBExt"/>
        </w:rPr>
        <w:lastRenderedPageBreak/>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52</w:t>
      </w:r>
      <w:r w:rsidRPr="002A1458">
        <w:rPr>
          <w:rStyle w:val="HideTWBExt"/>
        </w:rPr>
        <w:t>&lt;/NumAm&gt;</w:t>
      </w:r>
    </w:p>
    <w:p w14:paraId="5F9D1154"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52</w:t>
      </w:r>
      <w:r w:rsidRPr="002A1458">
        <w:rPr>
          <w:rStyle w:val="HideTWBExt"/>
        </w:rPr>
        <w:t>&lt;/NumAm&gt;</w:t>
      </w:r>
    </w:p>
    <w:p w14:paraId="27AE9A36"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705EC329"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7E71E8E9" w14:textId="77777777" w:rsidR="00AB098C" w:rsidRPr="002A1458" w:rsidRDefault="002A1458">
      <w:pPr>
        <w:pStyle w:val="NormalBold"/>
      </w:pPr>
      <w:r w:rsidRPr="002A1458">
        <w:rPr>
          <w:rStyle w:val="HideTWBExt"/>
          <w:b w:val="0"/>
        </w:rPr>
        <w:t>&lt;/By&gt;&lt;/RepeatBlock-By&gt;</w:t>
      </w:r>
    </w:p>
    <w:p w14:paraId="73013DEF"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11B1ED71"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71EEC604" w14:textId="4192E226"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702F699B"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65F35DB6"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445EF971" w14:textId="77777777" w:rsidR="00AB098C" w:rsidRPr="002A1458" w:rsidRDefault="002A1458">
      <w:pPr>
        <w:pStyle w:val="NormalBold"/>
      </w:pPr>
      <w:r w:rsidRPr="002A1458">
        <w:rPr>
          <w:rStyle w:val="HideTWBExt"/>
        </w:rPr>
        <w:t>&lt;Article&gt;</w:t>
      </w:r>
      <w:r w:rsidRPr="002A1458">
        <w:t>Apartado 2 bis (nuevo)</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72A4562E" w14:textId="77777777">
        <w:trPr>
          <w:trHeight w:hRule="exact" w:val="240"/>
          <w:jc w:val="center"/>
        </w:trPr>
        <w:tc>
          <w:tcPr>
            <w:tcW w:w="9752" w:type="dxa"/>
            <w:gridSpan w:val="2"/>
            <w:tcBorders>
              <w:top w:val="nil"/>
              <w:left w:val="nil"/>
              <w:bottom w:val="nil"/>
              <w:right w:val="nil"/>
            </w:tcBorders>
          </w:tcPr>
          <w:p w14:paraId="0A94343A" w14:textId="77777777" w:rsidR="00AB098C" w:rsidRPr="002A1458" w:rsidRDefault="00AB098C"/>
        </w:tc>
      </w:tr>
      <w:tr w:rsidR="00D92D80" w:rsidRPr="002A1458" w14:paraId="1FB50B3E" w14:textId="77777777">
        <w:trPr>
          <w:trHeight w:val="240"/>
          <w:jc w:val="center"/>
        </w:trPr>
        <w:tc>
          <w:tcPr>
            <w:tcW w:w="4876" w:type="dxa"/>
            <w:tcBorders>
              <w:top w:val="nil"/>
              <w:left w:val="nil"/>
              <w:bottom w:val="nil"/>
              <w:right w:val="nil"/>
            </w:tcBorders>
          </w:tcPr>
          <w:p w14:paraId="258B1CFF"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64E426E5" w14:textId="77777777" w:rsidR="00AB098C" w:rsidRPr="002A1458" w:rsidRDefault="002A1458">
            <w:pPr>
              <w:pStyle w:val="AmColumnHeading"/>
            </w:pPr>
            <w:r w:rsidRPr="002A1458">
              <w:t>Enmienda</w:t>
            </w:r>
          </w:p>
        </w:tc>
      </w:tr>
      <w:tr w:rsidR="00D92D80" w:rsidRPr="002A1458" w14:paraId="1A4C7A08" w14:textId="77777777">
        <w:trPr>
          <w:jc w:val="center"/>
        </w:trPr>
        <w:tc>
          <w:tcPr>
            <w:tcW w:w="4876" w:type="dxa"/>
            <w:tcBorders>
              <w:top w:val="nil"/>
              <w:left w:val="nil"/>
              <w:bottom w:val="nil"/>
              <w:right w:val="nil"/>
            </w:tcBorders>
          </w:tcPr>
          <w:p w14:paraId="7F7CFA26" w14:textId="77777777" w:rsidR="00AB098C" w:rsidRPr="002A1458" w:rsidRDefault="00AB098C">
            <w:pPr>
              <w:pStyle w:val="Normal6a"/>
            </w:pPr>
          </w:p>
        </w:tc>
        <w:tc>
          <w:tcPr>
            <w:tcW w:w="4876" w:type="dxa"/>
            <w:tcBorders>
              <w:top w:val="nil"/>
              <w:left w:val="nil"/>
              <w:bottom w:val="nil"/>
              <w:right w:val="nil"/>
            </w:tcBorders>
          </w:tcPr>
          <w:p w14:paraId="78957F95" w14:textId="3A1F513C" w:rsidR="00AB098C" w:rsidRPr="002A1458" w:rsidRDefault="002A1458">
            <w:pPr>
              <w:pStyle w:val="Normal6a"/>
            </w:pPr>
            <w:r w:rsidRPr="002A1458">
              <w:rPr>
                <w:b/>
                <w:i/>
              </w:rPr>
              <w:t>2 bis.</w:t>
            </w:r>
            <w:r w:rsidRPr="002A1458">
              <w:tab/>
            </w:r>
            <w:r w:rsidRPr="002A1458">
              <w:rPr>
                <w:b/>
                <w:i/>
              </w:rPr>
              <w:t xml:space="preserve">Lamenta que no todos los Estados miembros participen en la Fiscalía Europea, lo que crea </w:t>
            </w:r>
            <w:r w:rsidRPr="002A1458">
              <w:rPr>
                <w:b/>
                <w:i/>
              </w:rPr>
              <w:t>lagunas en la ejecución que debilitan la capacidad de la Unión de proteger sus intereses financieros de manera uniforme; observa que, en 2024, la Fiscalía Europea emitió un número significativo de órdenes europeas de investigación y solicitudes de asistencia judicial mutua que atañeron a Estados miembros no participantes, lo que generó cargas de procedimentales adicionales y supuso un riesgo de pérdida de elementos de prueba; reitera su llamamiento a todos los demás Estados miembros no participantes para qu</w:t>
            </w:r>
            <w:r w:rsidRPr="002A1458">
              <w:rPr>
                <w:b/>
                <w:i/>
              </w:rPr>
              <w:t>e se incorporen sin demora a la Fiscalía Europea;</w:t>
            </w:r>
          </w:p>
        </w:tc>
      </w:tr>
    </w:tbl>
    <w:p w14:paraId="02F244F9"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234CC38C"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52F6A974" w14:textId="77777777" w:rsidR="00AB098C" w:rsidRPr="002A1458" w:rsidRDefault="002A1458">
      <w:pPr>
        <w:pStyle w:val="AmDateTab"/>
      </w:pPr>
      <w:r w:rsidRPr="002A1458">
        <w:rPr>
          <w:rStyle w:val="HideTWBExt"/>
        </w:rPr>
        <w:lastRenderedPageBreak/>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53</w:t>
      </w:r>
      <w:r w:rsidRPr="002A1458">
        <w:rPr>
          <w:rStyle w:val="HideTWBExt"/>
        </w:rPr>
        <w:t>&lt;/NumAm&gt;</w:t>
      </w:r>
    </w:p>
    <w:p w14:paraId="5BCF9E95"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53</w:t>
      </w:r>
      <w:r w:rsidRPr="002A1458">
        <w:rPr>
          <w:rStyle w:val="HideTWBExt"/>
        </w:rPr>
        <w:t>&lt;/NumAm&gt;</w:t>
      </w:r>
    </w:p>
    <w:p w14:paraId="470392FE"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6F2B0472"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60567203" w14:textId="77777777" w:rsidR="00AB098C" w:rsidRPr="002A1458" w:rsidRDefault="002A1458">
      <w:pPr>
        <w:pStyle w:val="NormalBold"/>
      </w:pPr>
      <w:r w:rsidRPr="002A1458">
        <w:rPr>
          <w:rStyle w:val="HideTWBExt"/>
          <w:b w:val="0"/>
        </w:rPr>
        <w:t>&lt;/By&gt;&lt;/RepeatBlock-By&gt;</w:t>
      </w:r>
    </w:p>
    <w:p w14:paraId="6F60CCCE"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6F9DF45E"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19B4ABF8" w14:textId="5CA79DD2" w:rsidR="00AB098C" w:rsidRPr="002A1458" w:rsidRDefault="002A1458">
      <w:r w:rsidRPr="002A1458">
        <w:rPr>
          <w:rStyle w:val="HideTWBExt"/>
        </w:rPr>
        <w:t>&lt;Titre&gt;</w:t>
      </w:r>
      <w:r w:rsidRPr="002A1458">
        <w:t xml:space="preserve">Protección de los intereses financieros de la Unión Europea – </w:t>
      </w:r>
      <w:r w:rsidRPr="002A1458">
        <w:t>Lucha contra el fraude: informe anual 2024</w:t>
      </w:r>
      <w:r w:rsidRPr="002A1458">
        <w:rPr>
          <w:rStyle w:val="HideTWBExt"/>
        </w:rPr>
        <w:t>&lt;/Titre&gt;</w:t>
      </w:r>
    </w:p>
    <w:p w14:paraId="4335F946"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08A8C468"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4D837251" w14:textId="77777777" w:rsidR="00AB098C" w:rsidRPr="002A1458" w:rsidRDefault="002A1458">
      <w:pPr>
        <w:pStyle w:val="NormalBold"/>
      </w:pPr>
      <w:r w:rsidRPr="002A1458">
        <w:rPr>
          <w:rStyle w:val="HideTWBExt"/>
        </w:rPr>
        <w:t>&lt;Article&gt;</w:t>
      </w:r>
      <w:r w:rsidRPr="002A1458">
        <w:t>Apartado 3</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1FA13BA9" w14:textId="77777777">
        <w:trPr>
          <w:trHeight w:hRule="exact" w:val="240"/>
          <w:jc w:val="center"/>
        </w:trPr>
        <w:tc>
          <w:tcPr>
            <w:tcW w:w="9752" w:type="dxa"/>
            <w:gridSpan w:val="2"/>
            <w:tcBorders>
              <w:top w:val="nil"/>
              <w:left w:val="nil"/>
              <w:bottom w:val="nil"/>
              <w:right w:val="nil"/>
            </w:tcBorders>
          </w:tcPr>
          <w:p w14:paraId="46C57188" w14:textId="77777777" w:rsidR="00AB098C" w:rsidRPr="002A1458" w:rsidRDefault="00AB098C"/>
        </w:tc>
      </w:tr>
      <w:tr w:rsidR="00D92D80" w:rsidRPr="002A1458" w14:paraId="4A9D3AC4" w14:textId="77777777">
        <w:trPr>
          <w:trHeight w:val="240"/>
          <w:jc w:val="center"/>
        </w:trPr>
        <w:tc>
          <w:tcPr>
            <w:tcW w:w="4876" w:type="dxa"/>
            <w:tcBorders>
              <w:top w:val="nil"/>
              <w:left w:val="nil"/>
              <w:bottom w:val="nil"/>
              <w:right w:val="nil"/>
            </w:tcBorders>
          </w:tcPr>
          <w:p w14:paraId="077A804A"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01984BB6" w14:textId="77777777" w:rsidR="00AB098C" w:rsidRPr="002A1458" w:rsidRDefault="002A1458">
            <w:pPr>
              <w:pStyle w:val="AmColumnHeading"/>
            </w:pPr>
            <w:r w:rsidRPr="002A1458">
              <w:t>Enmienda</w:t>
            </w:r>
          </w:p>
        </w:tc>
      </w:tr>
      <w:tr w:rsidR="00D92D80" w:rsidRPr="002A1458" w14:paraId="461AF8AA" w14:textId="77777777">
        <w:trPr>
          <w:jc w:val="center"/>
        </w:trPr>
        <w:tc>
          <w:tcPr>
            <w:tcW w:w="4876" w:type="dxa"/>
            <w:tcBorders>
              <w:top w:val="nil"/>
              <w:left w:val="nil"/>
              <w:bottom w:val="nil"/>
              <w:right w:val="nil"/>
            </w:tcBorders>
          </w:tcPr>
          <w:p w14:paraId="0CE44D25" w14:textId="339AE777" w:rsidR="00AB098C" w:rsidRPr="002A1458" w:rsidRDefault="002A1458">
            <w:pPr>
              <w:pStyle w:val="Normal6a"/>
            </w:pPr>
            <w:r w:rsidRPr="002A1458">
              <w:t>3.</w:t>
            </w:r>
            <w:r w:rsidRPr="002A1458">
              <w:tab/>
              <w:t xml:space="preserve">Subraya que el Estado de Derecho constituye una </w:t>
            </w:r>
            <w:r w:rsidRPr="002A1458">
              <w:t xml:space="preserve">piedra angular de la Unión y resulta esencial para proteger sus intereses financieros en todos los Estados miembros; hace hincapié en que el mecanismo de condicionalidad del Estado de Derecho debe aplicarse cuando las vulneraciones afecten </w:t>
            </w:r>
            <w:r w:rsidRPr="002A1458">
              <w:rPr>
                <w:b/>
                <w:i/>
              </w:rPr>
              <w:t>directamente al</w:t>
            </w:r>
            <w:r w:rsidRPr="002A1458">
              <w:t xml:space="preserve"> presupuesto de la Unión; insiste en que las decisiones para proteger los intereses financieros de la Unión deben basarse en conclusiones técnicas y jurídicas; pide a la Comisión que garantice un uso coherente y proporcionado del mecanismo, respetando al mi</w:t>
            </w:r>
            <w:r w:rsidRPr="002A1458">
              <w:t>smo tiempo la responsabilidad esencial de los Estados miembros de defender los principios del Estado de Derecho y garantizar la coherencia entre todos los instrumentos de la Unión;</w:t>
            </w:r>
          </w:p>
        </w:tc>
        <w:tc>
          <w:tcPr>
            <w:tcW w:w="4876" w:type="dxa"/>
            <w:tcBorders>
              <w:top w:val="nil"/>
              <w:left w:val="nil"/>
              <w:bottom w:val="nil"/>
              <w:right w:val="nil"/>
            </w:tcBorders>
          </w:tcPr>
          <w:p w14:paraId="2D703E83" w14:textId="077BD94F" w:rsidR="00AB098C" w:rsidRPr="002A1458" w:rsidRDefault="002A1458">
            <w:pPr>
              <w:pStyle w:val="Normal6a"/>
            </w:pPr>
            <w:r w:rsidRPr="002A1458">
              <w:t>3.</w:t>
            </w:r>
            <w:r w:rsidRPr="002A1458">
              <w:tab/>
              <w:t xml:space="preserve">Subraya que el Estado de Derecho constituye una piedra angular de la Unión y resulta esencial para proteger sus intereses financieros en todos los Estados miembros; hace hincapié en que el mecanismo de condicionalidad del Estado de Derecho debe aplicarse cuando las vulneraciones </w:t>
            </w:r>
            <w:r w:rsidRPr="002A1458">
              <w:rPr>
                <w:b/>
                <w:i/>
              </w:rPr>
              <w:t>de la independencia judicial, la capacidad de enjuiciamiento, la rendición de cuentas o la transparencia</w:t>
            </w:r>
            <w:r w:rsidRPr="002A1458">
              <w:t xml:space="preserve"> afecten </w:t>
            </w:r>
            <w:r w:rsidRPr="002A1458">
              <w:rPr>
                <w:b/>
                <w:i/>
              </w:rPr>
              <w:t>o amenacen con afectar a la buena gestión financiera del</w:t>
            </w:r>
            <w:r w:rsidRPr="002A1458">
              <w:t xml:space="preserve"> presupuesto de la Unión</w:t>
            </w:r>
            <w:r w:rsidRPr="002A1458">
              <w:rPr>
                <w:b/>
                <w:i/>
              </w:rPr>
              <w:t>, en consonancia con la jurisprudencia</w:t>
            </w:r>
            <w:r w:rsidRPr="002A1458">
              <w:rPr>
                <w:b/>
                <w:i/>
              </w:rPr>
              <w:t xml:space="preserve"> reiterada del Tribunal de Justicia</w:t>
            </w:r>
            <w:r w:rsidRPr="002A1458">
              <w:t>; insiste en que las decisiones para proteger los intereses financieros de la Unión deben basarse en conclusiones técnicas y jurídicas; pide a la Comisión que garantice un uso coherente y proporcionado del mecanismo, respetando al mismo tiempo la responsabilidad esencial de los Estados miembros de defender los principios del Estado de Derecho y garantizar la coherencia entre todos los instrumentos de la Unión;</w:t>
            </w:r>
          </w:p>
        </w:tc>
      </w:tr>
    </w:tbl>
    <w:p w14:paraId="13C259C4"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21FA7D09"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219B8B07" w14:textId="77777777" w:rsidR="00AB098C" w:rsidRPr="002A1458" w:rsidRDefault="002A1458">
      <w:pPr>
        <w:pStyle w:val="AmDateTab"/>
      </w:pPr>
      <w:r w:rsidRPr="002A1458">
        <w:rPr>
          <w:rStyle w:val="HideTWBExt"/>
        </w:rPr>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54</w:t>
      </w:r>
      <w:r w:rsidRPr="002A1458">
        <w:rPr>
          <w:rStyle w:val="HideTWBExt"/>
        </w:rPr>
        <w:t>&lt;/NumAm&gt;</w:t>
      </w:r>
    </w:p>
    <w:p w14:paraId="67314D54"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54</w:t>
      </w:r>
      <w:r w:rsidRPr="002A1458">
        <w:rPr>
          <w:rStyle w:val="HideTWBExt"/>
        </w:rPr>
        <w:t>&lt;/NumAm&gt;</w:t>
      </w:r>
    </w:p>
    <w:p w14:paraId="69707BC9"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1B49B9EB"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766E356C" w14:textId="77777777" w:rsidR="00AB098C" w:rsidRPr="002A1458" w:rsidRDefault="002A1458">
      <w:pPr>
        <w:pStyle w:val="NormalBold"/>
      </w:pPr>
      <w:r w:rsidRPr="002A1458">
        <w:rPr>
          <w:rStyle w:val="HideTWBExt"/>
          <w:b w:val="0"/>
        </w:rPr>
        <w:t>&lt;/By&gt;&lt;/RepeatBlock-By&gt;</w:t>
      </w:r>
    </w:p>
    <w:p w14:paraId="7D047441"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2EECE3EA"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50F05D0D" w14:textId="50C0726E"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302E9BC8"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071B1C41"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36179FDD" w14:textId="77777777" w:rsidR="00AB098C" w:rsidRPr="002A1458" w:rsidRDefault="002A1458">
      <w:pPr>
        <w:pStyle w:val="NormalBold"/>
      </w:pPr>
      <w:r w:rsidRPr="002A1458">
        <w:rPr>
          <w:rStyle w:val="HideTWBExt"/>
        </w:rPr>
        <w:t>&lt;Article&gt;</w:t>
      </w:r>
      <w:r w:rsidRPr="002A1458">
        <w:t>Apartado 3 bis (nuevo)</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54AF2CE3" w14:textId="77777777">
        <w:trPr>
          <w:trHeight w:hRule="exact" w:val="240"/>
          <w:jc w:val="center"/>
        </w:trPr>
        <w:tc>
          <w:tcPr>
            <w:tcW w:w="9752" w:type="dxa"/>
            <w:gridSpan w:val="2"/>
            <w:tcBorders>
              <w:top w:val="nil"/>
              <w:left w:val="nil"/>
              <w:bottom w:val="nil"/>
              <w:right w:val="nil"/>
            </w:tcBorders>
          </w:tcPr>
          <w:p w14:paraId="435CA83E" w14:textId="77777777" w:rsidR="00AB098C" w:rsidRPr="002A1458" w:rsidRDefault="00AB098C"/>
        </w:tc>
      </w:tr>
      <w:tr w:rsidR="00D92D80" w:rsidRPr="002A1458" w14:paraId="5BFEF2D6" w14:textId="77777777">
        <w:trPr>
          <w:trHeight w:val="240"/>
          <w:jc w:val="center"/>
        </w:trPr>
        <w:tc>
          <w:tcPr>
            <w:tcW w:w="4876" w:type="dxa"/>
            <w:tcBorders>
              <w:top w:val="nil"/>
              <w:left w:val="nil"/>
              <w:bottom w:val="nil"/>
              <w:right w:val="nil"/>
            </w:tcBorders>
          </w:tcPr>
          <w:p w14:paraId="5F59DC8D"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156EF022" w14:textId="77777777" w:rsidR="00AB098C" w:rsidRPr="002A1458" w:rsidRDefault="002A1458">
            <w:pPr>
              <w:pStyle w:val="AmColumnHeading"/>
            </w:pPr>
            <w:r w:rsidRPr="002A1458">
              <w:t>Enmienda</w:t>
            </w:r>
          </w:p>
        </w:tc>
      </w:tr>
      <w:tr w:rsidR="00D92D80" w:rsidRPr="002A1458" w14:paraId="4ADC2E69" w14:textId="77777777">
        <w:trPr>
          <w:jc w:val="center"/>
        </w:trPr>
        <w:tc>
          <w:tcPr>
            <w:tcW w:w="4876" w:type="dxa"/>
            <w:tcBorders>
              <w:top w:val="nil"/>
              <w:left w:val="nil"/>
              <w:bottom w:val="nil"/>
              <w:right w:val="nil"/>
            </w:tcBorders>
          </w:tcPr>
          <w:p w14:paraId="5EB6D534" w14:textId="77777777" w:rsidR="00AB098C" w:rsidRPr="002A1458" w:rsidRDefault="00AB098C">
            <w:pPr>
              <w:pStyle w:val="Normal6a"/>
            </w:pPr>
          </w:p>
        </w:tc>
        <w:tc>
          <w:tcPr>
            <w:tcW w:w="4876" w:type="dxa"/>
            <w:tcBorders>
              <w:top w:val="nil"/>
              <w:left w:val="nil"/>
              <w:bottom w:val="nil"/>
              <w:right w:val="nil"/>
            </w:tcBorders>
          </w:tcPr>
          <w:p w14:paraId="271E2773" w14:textId="583C3293" w:rsidR="00AB098C" w:rsidRPr="002A1458" w:rsidRDefault="002A1458">
            <w:pPr>
              <w:pStyle w:val="Normal6a"/>
            </w:pPr>
            <w:r w:rsidRPr="002A1458">
              <w:rPr>
                <w:b/>
                <w:i/>
              </w:rPr>
              <w:t>3 bis.</w:t>
            </w:r>
            <w:r w:rsidRPr="002A1458">
              <w:tab/>
            </w:r>
            <w:r w:rsidRPr="002A1458">
              <w:rPr>
                <w:b/>
                <w:i/>
              </w:rPr>
              <w:t xml:space="preserve">Observa con gran preocupación el continuo deterioro del Estado de Derecho en determinados Estados miembros, en particular en Hungría, donde se han detectado reiteradamente riesgos sistémicos para los </w:t>
            </w:r>
            <w:r w:rsidRPr="002A1458">
              <w:rPr>
                <w:b/>
                <w:i/>
              </w:rPr>
              <w:t>intereses financieros de la Unión, también por el Tribunal de Cuentas Europeo, la OLAF y la Fiscalía Europea; recuerda que, en diciembre de 2022, el Consejo suspendió 6 300 millones EUR de fondos de cohesión para Hungría en virtud del Reglamento sobre condicionalidad, y que siguen inmovilizados importes sustanciales debido a preocupaciones no resueltas sobre la contratación pública y los marcos de lucha contra la corrupción; subraya que estas conclusiones no son políticas, sino que se basan en pruebas objet</w:t>
            </w:r>
            <w:r w:rsidRPr="002A1458">
              <w:rPr>
                <w:b/>
                <w:i/>
              </w:rPr>
              <w:t>ivas, documentadas y verificadas repetidamente; reitera que la condicionalidad del Estado de Derecho no es un instrumento político, sino una salvaguardia del presupuesto de la Unión que debe aplicarse de manera coherente dondequiera que se materialicen riesgos;</w:t>
            </w:r>
          </w:p>
        </w:tc>
      </w:tr>
    </w:tbl>
    <w:p w14:paraId="7BED3E7E"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57836B7F"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67BFCD90" w14:textId="77777777" w:rsidR="00AB098C" w:rsidRPr="002A1458" w:rsidRDefault="002A1458">
      <w:pPr>
        <w:pStyle w:val="AmDateTab"/>
      </w:pPr>
      <w:r w:rsidRPr="002A1458">
        <w:rPr>
          <w:rStyle w:val="HideTWBExt"/>
        </w:rPr>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55</w:t>
      </w:r>
      <w:r w:rsidRPr="002A1458">
        <w:rPr>
          <w:rStyle w:val="HideTWBExt"/>
        </w:rPr>
        <w:t>&lt;/NumAm&gt;</w:t>
      </w:r>
    </w:p>
    <w:p w14:paraId="443DF2C4"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55</w:t>
      </w:r>
      <w:r w:rsidRPr="002A1458">
        <w:rPr>
          <w:rStyle w:val="HideTWBExt"/>
        </w:rPr>
        <w:t>&lt;/NumAm&gt;</w:t>
      </w:r>
    </w:p>
    <w:p w14:paraId="179720CC"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1BD1F28D"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6052C6CA" w14:textId="77777777" w:rsidR="00AB098C" w:rsidRPr="002A1458" w:rsidRDefault="002A1458">
      <w:pPr>
        <w:pStyle w:val="NormalBold"/>
      </w:pPr>
      <w:r w:rsidRPr="002A1458">
        <w:rPr>
          <w:rStyle w:val="HideTWBExt"/>
          <w:b w:val="0"/>
        </w:rPr>
        <w:t>&lt;/By&gt;&lt;/RepeatBlock-By&gt;</w:t>
      </w:r>
    </w:p>
    <w:p w14:paraId="62A11CBB"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59D81A9B"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5281A2FF" w14:textId="2D351118" w:rsidR="00AB098C" w:rsidRPr="002A1458" w:rsidRDefault="002A1458">
      <w:r w:rsidRPr="002A1458">
        <w:rPr>
          <w:rStyle w:val="HideTWBExt"/>
        </w:rPr>
        <w:t>&lt;Titre&gt;</w:t>
      </w:r>
      <w:r w:rsidRPr="002A1458">
        <w:t xml:space="preserve">Protección de los intereses financieros de la Unión Europea – Lucha contra el </w:t>
      </w:r>
      <w:r w:rsidRPr="002A1458">
        <w:t>fraude: informe anual 2024</w:t>
      </w:r>
      <w:r w:rsidRPr="002A1458">
        <w:rPr>
          <w:rStyle w:val="HideTWBExt"/>
        </w:rPr>
        <w:t>&lt;/Titre&gt;</w:t>
      </w:r>
    </w:p>
    <w:p w14:paraId="5256DFAF"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69D02E9D"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72992868" w14:textId="77777777" w:rsidR="00AB098C" w:rsidRPr="002A1458" w:rsidRDefault="002A1458">
      <w:pPr>
        <w:pStyle w:val="NormalBold"/>
      </w:pPr>
      <w:r w:rsidRPr="002A1458">
        <w:rPr>
          <w:rStyle w:val="HideTWBExt"/>
        </w:rPr>
        <w:t>&lt;Article&gt;</w:t>
      </w:r>
      <w:r w:rsidRPr="002A1458">
        <w:t>Apartado 25 bis (nuevo)</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1367AD2B" w14:textId="77777777">
        <w:trPr>
          <w:trHeight w:hRule="exact" w:val="240"/>
          <w:jc w:val="center"/>
        </w:trPr>
        <w:tc>
          <w:tcPr>
            <w:tcW w:w="9752" w:type="dxa"/>
            <w:gridSpan w:val="2"/>
            <w:tcBorders>
              <w:top w:val="nil"/>
              <w:left w:val="nil"/>
              <w:bottom w:val="nil"/>
              <w:right w:val="nil"/>
            </w:tcBorders>
          </w:tcPr>
          <w:p w14:paraId="78B002C8" w14:textId="77777777" w:rsidR="00AB098C" w:rsidRPr="002A1458" w:rsidRDefault="00AB098C"/>
        </w:tc>
      </w:tr>
      <w:tr w:rsidR="00D92D80" w:rsidRPr="002A1458" w14:paraId="69E23460" w14:textId="77777777">
        <w:trPr>
          <w:trHeight w:val="240"/>
          <w:jc w:val="center"/>
        </w:trPr>
        <w:tc>
          <w:tcPr>
            <w:tcW w:w="4876" w:type="dxa"/>
            <w:tcBorders>
              <w:top w:val="nil"/>
              <w:left w:val="nil"/>
              <w:bottom w:val="nil"/>
              <w:right w:val="nil"/>
            </w:tcBorders>
          </w:tcPr>
          <w:p w14:paraId="0B6AFD80"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228BD7CA" w14:textId="77777777" w:rsidR="00AB098C" w:rsidRPr="002A1458" w:rsidRDefault="002A1458">
            <w:pPr>
              <w:pStyle w:val="AmColumnHeading"/>
            </w:pPr>
            <w:r w:rsidRPr="002A1458">
              <w:t>Enmienda</w:t>
            </w:r>
          </w:p>
        </w:tc>
      </w:tr>
      <w:tr w:rsidR="00D92D80" w:rsidRPr="002A1458" w14:paraId="4CCF76E6" w14:textId="77777777">
        <w:trPr>
          <w:jc w:val="center"/>
        </w:trPr>
        <w:tc>
          <w:tcPr>
            <w:tcW w:w="4876" w:type="dxa"/>
            <w:tcBorders>
              <w:top w:val="nil"/>
              <w:left w:val="nil"/>
              <w:bottom w:val="nil"/>
              <w:right w:val="nil"/>
            </w:tcBorders>
          </w:tcPr>
          <w:p w14:paraId="26003878" w14:textId="77777777" w:rsidR="00AB098C" w:rsidRPr="002A1458" w:rsidRDefault="00AB098C">
            <w:pPr>
              <w:pStyle w:val="Normal6a"/>
            </w:pPr>
          </w:p>
        </w:tc>
        <w:tc>
          <w:tcPr>
            <w:tcW w:w="4876" w:type="dxa"/>
            <w:tcBorders>
              <w:top w:val="nil"/>
              <w:left w:val="nil"/>
              <w:bottom w:val="nil"/>
              <w:right w:val="nil"/>
            </w:tcBorders>
          </w:tcPr>
          <w:p w14:paraId="71831527" w14:textId="0CB06975" w:rsidR="00AB098C" w:rsidRPr="002A1458" w:rsidRDefault="002A1458">
            <w:pPr>
              <w:pStyle w:val="Normal6a"/>
            </w:pPr>
            <w:r w:rsidRPr="002A1458">
              <w:rPr>
                <w:b/>
                <w:i/>
              </w:rPr>
              <w:t>25 bis.</w:t>
            </w:r>
            <w:r w:rsidRPr="002A1458">
              <w:tab/>
            </w:r>
            <w:r w:rsidRPr="002A1458">
              <w:rPr>
                <w:b/>
                <w:i/>
              </w:rPr>
              <w:t xml:space="preserve">Reconoce el papel esencial que desempeñan las </w:t>
            </w:r>
            <w:r w:rsidRPr="002A1458">
              <w:rPr>
                <w:b/>
                <w:i/>
              </w:rPr>
              <w:t>organizaciones de la sociedad civil, las organizaciones no gubernamentales y los sindicatos en el seguimiento del uso de los fondos de la Unión, la notificación de presuntos fraudes, el apoyo a los denunciantes y la prestación de un control independiente que complementa el trabajo de los organismos de lucha contra el fraude de la Unión; rechaza cualquier intento de instrumentalizar las preocupaciones sobre el uso de los fondos de la Unión por parte de organizaciones no gubernamentales para justificar restri</w:t>
            </w:r>
            <w:r w:rsidRPr="002A1458">
              <w:rPr>
                <w:b/>
                <w:i/>
              </w:rPr>
              <w:t>cciones generalizadas a la sociedad civil; recuerda que las restricciones desproporcionadas a las organizaciones de la sociedad civil son en sí mismas una señal de alarma del deterioro del Estado de Derecho;</w:t>
            </w:r>
          </w:p>
        </w:tc>
      </w:tr>
    </w:tbl>
    <w:p w14:paraId="4E11279A"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032914D1"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5A104F8B" w14:textId="77777777" w:rsidR="00AB098C" w:rsidRPr="002A1458" w:rsidRDefault="002A1458">
      <w:pPr>
        <w:pStyle w:val="AmDateTab"/>
      </w:pPr>
      <w:r w:rsidRPr="002A1458">
        <w:rPr>
          <w:rStyle w:val="HideTWBExt"/>
        </w:rPr>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56</w:t>
      </w:r>
      <w:r w:rsidRPr="002A1458">
        <w:rPr>
          <w:rStyle w:val="HideTWBExt"/>
        </w:rPr>
        <w:t>&lt;/NumAm&gt;</w:t>
      </w:r>
    </w:p>
    <w:p w14:paraId="3EC87B7D"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56</w:t>
      </w:r>
      <w:r w:rsidRPr="002A1458">
        <w:rPr>
          <w:rStyle w:val="HideTWBExt"/>
        </w:rPr>
        <w:t>&lt;/NumAm&gt;</w:t>
      </w:r>
    </w:p>
    <w:p w14:paraId="2C363BC9"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37A04B89"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1B7EA57B" w14:textId="77777777" w:rsidR="00AB098C" w:rsidRPr="002A1458" w:rsidRDefault="002A1458">
      <w:pPr>
        <w:pStyle w:val="NormalBold"/>
      </w:pPr>
      <w:r w:rsidRPr="002A1458">
        <w:rPr>
          <w:rStyle w:val="HideTWBExt"/>
          <w:b w:val="0"/>
        </w:rPr>
        <w:t>&lt;/By&gt;&lt;/RepeatBlock-By&gt;</w:t>
      </w:r>
    </w:p>
    <w:p w14:paraId="649F29F0"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4918B640"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54149BD3" w14:textId="37F21427"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35AAE10B"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77883258"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3F004185" w14:textId="77777777" w:rsidR="00AB098C" w:rsidRPr="002A1458" w:rsidRDefault="002A1458">
      <w:pPr>
        <w:pStyle w:val="NormalBold"/>
      </w:pPr>
      <w:r w:rsidRPr="002A1458">
        <w:rPr>
          <w:rStyle w:val="HideTWBExt"/>
        </w:rPr>
        <w:t>&lt;Article&gt;</w:t>
      </w:r>
      <w:r w:rsidRPr="002A1458">
        <w:t>Apartado 43 bis (nuevo)</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7A097F21" w14:textId="77777777">
        <w:trPr>
          <w:trHeight w:hRule="exact" w:val="240"/>
          <w:jc w:val="center"/>
        </w:trPr>
        <w:tc>
          <w:tcPr>
            <w:tcW w:w="9752" w:type="dxa"/>
            <w:gridSpan w:val="2"/>
            <w:tcBorders>
              <w:top w:val="nil"/>
              <w:left w:val="nil"/>
              <w:bottom w:val="nil"/>
              <w:right w:val="nil"/>
            </w:tcBorders>
          </w:tcPr>
          <w:p w14:paraId="07DE665C" w14:textId="77777777" w:rsidR="00AB098C" w:rsidRPr="002A1458" w:rsidRDefault="00AB098C"/>
        </w:tc>
      </w:tr>
      <w:tr w:rsidR="00D92D80" w:rsidRPr="002A1458" w14:paraId="6AA85220" w14:textId="77777777">
        <w:trPr>
          <w:trHeight w:val="240"/>
          <w:jc w:val="center"/>
        </w:trPr>
        <w:tc>
          <w:tcPr>
            <w:tcW w:w="4876" w:type="dxa"/>
            <w:tcBorders>
              <w:top w:val="nil"/>
              <w:left w:val="nil"/>
              <w:bottom w:val="nil"/>
              <w:right w:val="nil"/>
            </w:tcBorders>
          </w:tcPr>
          <w:p w14:paraId="595F1F88"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314978B4" w14:textId="77777777" w:rsidR="00AB098C" w:rsidRPr="002A1458" w:rsidRDefault="002A1458">
            <w:pPr>
              <w:pStyle w:val="AmColumnHeading"/>
            </w:pPr>
            <w:r w:rsidRPr="002A1458">
              <w:t>Enmienda</w:t>
            </w:r>
          </w:p>
        </w:tc>
      </w:tr>
      <w:tr w:rsidR="00D92D80" w:rsidRPr="002A1458" w14:paraId="540177D3" w14:textId="77777777">
        <w:trPr>
          <w:jc w:val="center"/>
        </w:trPr>
        <w:tc>
          <w:tcPr>
            <w:tcW w:w="4876" w:type="dxa"/>
            <w:tcBorders>
              <w:top w:val="nil"/>
              <w:left w:val="nil"/>
              <w:bottom w:val="nil"/>
              <w:right w:val="nil"/>
            </w:tcBorders>
          </w:tcPr>
          <w:p w14:paraId="5663936E" w14:textId="77777777" w:rsidR="00AB098C" w:rsidRPr="002A1458" w:rsidRDefault="00AB098C">
            <w:pPr>
              <w:pStyle w:val="Normal6a"/>
            </w:pPr>
          </w:p>
        </w:tc>
        <w:tc>
          <w:tcPr>
            <w:tcW w:w="4876" w:type="dxa"/>
            <w:tcBorders>
              <w:top w:val="nil"/>
              <w:left w:val="nil"/>
              <w:bottom w:val="nil"/>
              <w:right w:val="nil"/>
            </w:tcBorders>
          </w:tcPr>
          <w:p w14:paraId="451BBBD3" w14:textId="37E9973A" w:rsidR="00AB098C" w:rsidRPr="002A1458" w:rsidRDefault="002A1458">
            <w:pPr>
              <w:pStyle w:val="Normal6a"/>
            </w:pPr>
            <w:r w:rsidRPr="002A1458">
              <w:rPr>
                <w:b/>
                <w:i/>
              </w:rPr>
              <w:t>43 bis.</w:t>
            </w:r>
            <w:r w:rsidRPr="002A1458">
              <w:tab/>
            </w:r>
            <w:r w:rsidRPr="002A1458">
              <w:rPr>
                <w:b/>
                <w:i/>
              </w:rPr>
              <w:t xml:space="preserve">Destaca que las campañas de desinformación basadas en la IA dirigidas contra </w:t>
            </w:r>
            <w:r w:rsidRPr="002A1458">
              <w:rPr>
                <w:b/>
                <w:i/>
              </w:rPr>
              <w:t>instituciones de la Unión, incluidos los contenidos coordinados diseñados para socavar la confianza en los organismos de lucha contra el fraude, el presupuesto de la Unión y el Estado de Derecho, representan un riesgo directo para los intereses financieros de la Unión al erosionar el apoyo público a los mecanismos de protección y dar cobertura a las prácticas fraudulentas; pide a la Comisión que, en cooperación con la OLAF, la Fiscalía Europea y Europol, desarrolle una capacidad a escala de la Unión para de</w:t>
            </w:r>
            <w:r w:rsidRPr="002A1458">
              <w:rPr>
                <w:b/>
                <w:i/>
              </w:rPr>
              <w:t>tectar, documentar y contrarrestar las campañas de desinformación basadas en la IA dirigidas contra la gobernanza financiera de la Unión;</w:t>
            </w:r>
          </w:p>
        </w:tc>
      </w:tr>
    </w:tbl>
    <w:p w14:paraId="575EC240"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694F00F7"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16E4FD44" w14:textId="77777777" w:rsidR="00AB098C" w:rsidRPr="002A1458" w:rsidRDefault="002A1458">
      <w:pPr>
        <w:pStyle w:val="AmDateTab"/>
      </w:pPr>
      <w:r w:rsidRPr="002A1458">
        <w:rPr>
          <w:rStyle w:val="HideTWBExt"/>
        </w:rPr>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57</w:t>
      </w:r>
      <w:r w:rsidRPr="002A1458">
        <w:rPr>
          <w:rStyle w:val="HideTWBExt"/>
        </w:rPr>
        <w:t>&lt;/NumAm&gt;</w:t>
      </w:r>
    </w:p>
    <w:p w14:paraId="69D4E501"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57</w:t>
      </w:r>
      <w:r w:rsidRPr="002A1458">
        <w:rPr>
          <w:rStyle w:val="HideTWBExt"/>
        </w:rPr>
        <w:t>&lt;/NumAm&gt;</w:t>
      </w:r>
    </w:p>
    <w:p w14:paraId="27624642"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002E253A"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0556CDFB" w14:textId="77777777" w:rsidR="00AB098C" w:rsidRPr="002A1458" w:rsidRDefault="002A1458">
      <w:pPr>
        <w:pStyle w:val="NormalBold"/>
      </w:pPr>
      <w:r w:rsidRPr="002A1458">
        <w:rPr>
          <w:rStyle w:val="HideTWBExt"/>
          <w:b w:val="0"/>
        </w:rPr>
        <w:t>&lt;/By&gt;&lt;/RepeatBlock-By&gt;</w:t>
      </w:r>
    </w:p>
    <w:p w14:paraId="6E28DA98"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3056DB36"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0F248029" w14:textId="2567AF97"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06555AB2"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1385222D"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757CE512" w14:textId="77777777" w:rsidR="00AB098C" w:rsidRPr="002A1458" w:rsidRDefault="002A1458">
      <w:pPr>
        <w:pStyle w:val="NormalBold"/>
      </w:pPr>
      <w:r w:rsidRPr="002A1458">
        <w:rPr>
          <w:rStyle w:val="HideTWBExt"/>
        </w:rPr>
        <w:t>&lt;Article&gt;</w:t>
      </w:r>
      <w:r w:rsidRPr="002A1458">
        <w:t>Apartado 53</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1369C1C6" w14:textId="77777777">
        <w:trPr>
          <w:trHeight w:hRule="exact" w:val="240"/>
          <w:jc w:val="center"/>
        </w:trPr>
        <w:tc>
          <w:tcPr>
            <w:tcW w:w="9752" w:type="dxa"/>
            <w:gridSpan w:val="2"/>
            <w:tcBorders>
              <w:top w:val="nil"/>
              <w:left w:val="nil"/>
              <w:bottom w:val="nil"/>
              <w:right w:val="nil"/>
            </w:tcBorders>
          </w:tcPr>
          <w:p w14:paraId="536CE3BE" w14:textId="77777777" w:rsidR="00AB098C" w:rsidRPr="002A1458" w:rsidRDefault="00AB098C"/>
        </w:tc>
      </w:tr>
      <w:tr w:rsidR="00D92D80" w:rsidRPr="002A1458" w14:paraId="35E7FF05" w14:textId="77777777">
        <w:trPr>
          <w:trHeight w:val="240"/>
          <w:jc w:val="center"/>
        </w:trPr>
        <w:tc>
          <w:tcPr>
            <w:tcW w:w="4876" w:type="dxa"/>
            <w:tcBorders>
              <w:top w:val="nil"/>
              <w:left w:val="nil"/>
              <w:bottom w:val="nil"/>
              <w:right w:val="nil"/>
            </w:tcBorders>
          </w:tcPr>
          <w:p w14:paraId="5B3B82EC"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151A8834" w14:textId="77777777" w:rsidR="00AB098C" w:rsidRPr="002A1458" w:rsidRDefault="002A1458">
            <w:pPr>
              <w:pStyle w:val="AmColumnHeading"/>
            </w:pPr>
            <w:r w:rsidRPr="002A1458">
              <w:t>Enmienda</w:t>
            </w:r>
          </w:p>
        </w:tc>
      </w:tr>
      <w:tr w:rsidR="00D92D80" w:rsidRPr="002A1458" w14:paraId="143B3E26" w14:textId="77777777">
        <w:trPr>
          <w:jc w:val="center"/>
        </w:trPr>
        <w:tc>
          <w:tcPr>
            <w:tcW w:w="4876" w:type="dxa"/>
            <w:tcBorders>
              <w:top w:val="nil"/>
              <w:left w:val="nil"/>
              <w:bottom w:val="nil"/>
              <w:right w:val="nil"/>
            </w:tcBorders>
          </w:tcPr>
          <w:p w14:paraId="202F2B46" w14:textId="77777777" w:rsidR="00AB098C" w:rsidRPr="002A1458" w:rsidRDefault="002A1458">
            <w:pPr>
              <w:pStyle w:val="Normal6a"/>
            </w:pPr>
            <w:r w:rsidRPr="002A1458">
              <w:t>53.</w:t>
            </w:r>
            <w:r w:rsidRPr="002A1458">
              <w:tab/>
              <w:t xml:space="preserve">Recuerda que el mecanismo de condicionalidad presupuestaria que establece el Reglamento sobre condicionalidad es una herramienta jurídicamente regulada para prevenir riesgos para el </w:t>
            </w:r>
            <w:r w:rsidRPr="002A1458">
              <w:t xml:space="preserve">presupuesto de la Unión; </w:t>
            </w:r>
            <w:r w:rsidRPr="002A1458">
              <w:rPr>
                <w:b/>
                <w:i/>
              </w:rPr>
              <w:t>señala, no obstante, que su aplicación solo puede justificarse</w:t>
            </w:r>
            <w:r w:rsidRPr="002A1458">
              <w:t xml:space="preserve"> cuando </w:t>
            </w:r>
            <w:r w:rsidRPr="002A1458">
              <w:rPr>
                <w:b/>
                <w:i/>
              </w:rPr>
              <w:t>exista un vínculo directo, real y demostrado entre las irregularidades detectadas y un perjuicio para</w:t>
            </w:r>
            <w:r w:rsidRPr="002A1458">
              <w:t xml:space="preserve"> los intereses financieros de la Unión;</w:t>
            </w:r>
            <w:r w:rsidRPr="002A1458">
              <w:rPr>
                <w:b/>
                <w:i/>
              </w:rPr>
              <w:t xml:space="preserve"> expresa su preocupación por el hecho de que cualquier ampliación de</w:t>
            </w:r>
            <w:r w:rsidRPr="002A1458">
              <w:t xml:space="preserve"> su ámbito de aplicación </w:t>
            </w:r>
            <w:r w:rsidRPr="002A1458">
              <w:rPr>
                <w:b/>
                <w:i/>
              </w:rPr>
              <w:t>más allá</w:t>
            </w:r>
            <w:r w:rsidRPr="002A1458">
              <w:t xml:space="preserve"> de </w:t>
            </w:r>
            <w:r w:rsidRPr="002A1458">
              <w:rPr>
                <w:b/>
                <w:i/>
              </w:rPr>
              <w:t>este objetivo presupuestario sería contraria al espíritu de los Tratados y al principio</w:t>
            </w:r>
            <w:r w:rsidRPr="002A1458">
              <w:t xml:space="preserve"> de </w:t>
            </w:r>
            <w:r w:rsidRPr="002A1458">
              <w:rPr>
                <w:b/>
                <w:i/>
              </w:rPr>
              <w:t>proporcionalidad</w:t>
            </w:r>
            <w:r w:rsidRPr="002A1458">
              <w:t xml:space="preserve">; recuerda que la legitimidad de este mecanismo se basa en una aplicación </w:t>
            </w:r>
            <w:r w:rsidRPr="002A1458">
              <w:rPr>
                <w:b/>
                <w:i/>
              </w:rPr>
              <w:t>estrictamente</w:t>
            </w:r>
            <w:r w:rsidRPr="002A1458">
              <w:t xml:space="preserve"> objetiva, </w:t>
            </w:r>
            <w:r w:rsidRPr="002A1458">
              <w:rPr>
                <w:b/>
                <w:i/>
              </w:rPr>
              <w:t>sin consideraciones políticas y</w:t>
            </w:r>
            <w:r w:rsidRPr="002A1458">
              <w:t xml:space="preserve"> que </w:t>
            </w:r>
            <w:r w:rsidRPr="002A1458">
              <w:rPr>
                <w:b/>
                <w:i/>
              </w:rPr>
              <w:t>respete la igualdad de trato entre</w:t>
            </w:r>
            <w:r w:rsidRPr="002A1458">
              <w:t xml:space="preserve"> los </w:t>
            </w:r>
            <w:r w:rsidRPr="002A1458">
              <w:rPr>
                <w:b/>
                <w:i/>
              </w:rPr>
              <w:t>Estados miembros; señala que su aplicación ha planteado retos prácticos y operativos, co</w:t>
            </w:r>
            <w:r w:rsidRPr="002A1458">
              <w:rPr>
                <w:b/>
                <w:i/>
              </w:rPr>
              <w:t>mo destaca el TCE en su Informe Especial 03/2024 sobre el Estado de Derecho en la Unión</w:t>
            </w:r>
            <w:r w:rsidRPr="002A1458">
              <w:t xml:space="preserve">; pide a la Comisión que aplique el </w:t>
            </w:r>
            <w:r w:rsidRPr="002A1458">
              <w:rPr>
                <w:b/>
                <w:i/>
              </w:rPr>
              <w:t>mecanismo</w:t>
            </w:r>
            <w:r w:rsidRPr="002A1458">
              <w:t xml:space="preserve"> de manera coherente y </w:t>
            </w:r>
            <w:r w:rsidRPr="002A1458">
              <w:rPr>
                <w:b/>
                <w:i/>
              </w:rPr>
              <w:t>transparente</w:t>
            </w:r>
            <w:r w:rsidRPr="002A1458">
              <w:t xml:space="preserve"> sobre </w:t>
            </w:r>
            <w:r w:rsidRPr="002A1458">
              <w:rPr>
                <w:b/>
                <w:i/>
              </w:rPr>
              <w:t>la base</w:t>
            </w:r>
            <w:r w:rsidRPr="002A1458">
              <w:t xml:space="preserve"> de </w:t>
            </w:r>
            <w:r w:rsidRPr="002A1458">
              <w:rPr>
                <w:b/>
                <w:i/>
              </w:rPr>
              <w:t>pruebas objetivas</w:t>
            </w:r>
            <w:r w:rsidRPr="002A1458">
              <w:t>;</w:t>
            </w:r>
          </w:p>
        </w:tc>
        <w:tc>
          <w:tcPr>
            <w:tcW w:w="4876" w:type="dxa"/>
            <w:tcBorders>
              <w:top w:val="nil"/>
              <w:left w:val="nil"/>
              <w:bottom w:val="nil"/>
              <w:right w:val="nil"/>
            </w:tcBorders>
          </w:tcPr>
          <w:p w14:paraId="4C9BE8B5" w14:textId="03643E07" w:rsidR="00AB098C" w:rsidRPr="002A1458" w:rsidRDefault="002A1458">
            <w:pPr>
              <w:pStyle w:val="Normal6a"/>
            </w:pPr>
            <w:r w:rsidRPr="002A1458">
              <w:t>53.</w:t>
            </w:r>
            <w:r w:rsidRPr="002A1458">
              <w:tab/>
              <w:t xml:space="preserve">Recuerda que el mecanismo de condicionalidad presupuestaria que establece el Reglamento sobre condicionalidad es una herramienta jurídicamente regulada para prevenir riesgos para el presupuesto de la Unión; </w:t>
            </w:r>
            <w:r w:rsidRPr="002A1458">
              <w:rPr>
                <w:b/>
                <w:i/>
              </w:rPr>
              <w:t>recuerda que el Reglamento sobre condicionalidad es una salvaguardia presupuestaria diseñada para proteger el presupuesto de la Unión</w:t>
            </w:r>
            <w:r w:rsidRPr="002A1458">
              <w:t xml:space="preserve"> cuando </w:t>
            </w:r>
            <w:r w:rsidRPr="002A1458">
              <w:rPr>
                <w:b/>
                <w:i/>
              </w:rPr>
              <w:t>las vulneraciones de los principios del Estado de Derecho afecten o amenacen con afectar gravemente la buena gestión financiera o</w:t>
            </w:r>
            <w:r w:rsidRPr="002A1458">
              <w:t xml:space="preserve"> los intereses financieros de la U</w:t>
            </w:r>
            <w:r w:rsidRPr="002A1458">
              <w:t>nión;</w:t>
            </w:r>
            <w:r w:rsidRPr="002A1458">
              <w:rPr>
                <w:b/>
                <w:i/>
              </w:rPr>
              <w:t xml:space="preserve"> recuerda que el Tribunal de Justicia, en los asuntos C-156/21 y</w:t>
            </w:r>
            <w:r>
              <w:rPr>
                <w:b/>
                <w:i/>
              </w:rPr>
              <w:br/>
            </w:r>
            <w:r w:rsidRPr="002A1458">
              <w:rPr>
                <w:b/>
                <w:i/>
              </w:rPr>
              <w:t>C-157/21, confirmó la legalidad del Reglamento sobre condicionalidad y</w:t>
            </w:r>
            <w:r w:rsidRPr="002A1458">
              <w:t xml:space="preserve"> su </w:t>
            </w:r>
            <w:r w:rsidRPr="002A1458">
              <w:rPr>
                <w:b/>
                <w:i/>
              </w:rPr>
              <w:t>amplio</w:t>
            </w:r>
            <w:r w:rsidRPr="002A1458">
              <w:t xml:space="preserve"> ámbito de aplicación </w:t>
            </w:r>
            <w:r w:rsidRPr="002A1458">
              <w:rPr>
                <w:b/>
                <w:i/>
              </w:rPr>
              <w:t>a la hora</w:t>
            </w:r>
            <w:r w:rsidRPr="002A1458">
              <w:t xml:space="preserve"> de </w:t>
            </w:r>
            <w:r w:rsidRPr="002A1458">
              <w:rPr>
                <w:b/>
                <w:i/>
              </w:rPr>
              <w:t>proteger el presupuesto de la Unión frente a vulneraciones del Estado</w:t>
            </w:r>
            <w:r w:rsidRPr="002A1458">
              <w:t xml:space="preserve"> de </w:t>
            </w:r>
            <w:r w:rsidRPr="002A1458">
              <w:rPr>
                <w:b/>
                <w:i/>
              </w:rPr>
              <w:t>Derecho</w:t>
            </w:r>
            <w:r w:rsidRPr="002A1458">
              <w:t xml:space="preserve">; recuerda que la legitimidad de este mecanismo se basa en una aplicación objetiva, </w:t>
            </w:r>
            <w:r w:rsidRPr="002A1458">
              <w:rPr>
                <w:b/>
                <w:i/>
              </w:rPr>
              <w:t>libre de dobles raseros; pone de relieve</w:t>
            </w:r>
            <w:r w:rsidRPr="002A1458">
              <w:t xml:space="preserve"> que </w:t>
            </w:r>
            <w:r w:rsidRPr="002A1458">
              <w:rPr>
                <w:b/>
                <w:i/>
              </w:rPr>
              <w:t>las deficiencias sistémicas en la independencia judicial,</w:t>
            </w:r>
            <w:r w:rsidRPr="002A1458">
              <w:t xml:space="preserve"> los </w:t>
            </w:r>
            <w:r w:rsidRPr="002A1458">
              <w:rPr>
                <w:b/>
                <w:i/>
              </w:rPr>
              <w:t>marcos de lucha contra la corrupción y la capacidad de enjuiciamiento pueden constituir un riesgo de este tipo incluso antes d</w:t>
            </w:r>
            <w:r w:rsidRPr="002A1458">
              <w:rPr>
                <w:b/>
                <w:i/>
              </w:rPr>
              <w:t>e que se cuantifique una pérdida financiera directa y específica</w:t>
            </w:r>
            <w:r w:rsidRPr="002A1458">
              <w:t xml:space="preserve">; pide a la Comisión que aplique el </w:t>
            </w:r>
            <w:r w:rsidRPr="002A1458">
              <w:rPr>
                <w:b/>
                <w:i/>
              </w:rPr>
              <w:t>Reglamento sobre condicionalidad</w:t>
            </w:r>
            <w:r w:rsidRPr="002A1458">
              <w:t xml:space="preserve"> de manera </w:t>
            </w:r>
            <w:r w:rsidRPr="002A1458">
              <w:rPr>
                <w:b/>
                <w:i/>
              </w:rPr>
              <w:t>oportuna y</w:t>
            </w:r>
            <w:r w:rsidRPr="002A1458">
              <w:t xml:space="preserve"> coherente </w:t>
            </w:r>
            <w:r w:rsidRPr="002A1458">
              <w:rPr>
                <w:b/>
                <w:i/>
              </w:rPr>
              <w:t>siempre que se cumpla esta norma,</w:t>
            </w:r>
            <w:r w:rsidRPr="002A1458">
              <w:t xml:space="preserve"> y </w:t>
            </w:r>
            <w:r w:rsidRPr="002A1458">
              <w:rPr>
                <w:b/>
                <w:i/>
              </w:rPr>
              <w:t>que informe anualmente al Parlamento</w:t>
            </w:r>
            <w:r w:rsidRPr="002A1458">
              <w:t xml:space="preserve"> sobre </w:t>
            </w:r>
            <w:r w:rsidRPr="002A1458">
              <w:rPr>
                <w:b/>
                <w:i/>
              </w:rPr>
              <w:t>su evaluación de los riesgos del Estado de Derecho para el presupuesto</w:t>
            </w:r>
            <w:r w:rsidRPr="002A1458">
              <w:t xml:space="preserve"> de </w:t>
            </w:r>
            <w:r w:rsidRPr="002A1458">
              <w:rPr>
                <w:b/>
                <w:i/>
              </w:rPr>
              <w:t>la Unión en cada Estado miembro</w:t>
            </w:r>
            <w:r w:rsidRPr="002A1458">
              <w:t>;</w:t>
            </w:r>
          </w:p>
        </w:tc>
      </w:tr>
    </w:tbl>
    <w:p w14:paraId="3FCBFBD7"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0F893E40"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1F25DA3E" w14:textId="77777777" w:rsidR="00AB098C" w:rsidRPr="002A1458" w:rsidRDefault="002A1458">
      <w:pPr>
        <w:pStyle w:val="AmDateTab"/>
      </w:pPr>
      <w:r w:rsidRPr="002A1458">
        <w:rPr>
          <w:rStyle w:val="HideTWBExt"/>
        </w:rPr>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58</w:t>
      </w:r>
      <w:r w:rsidRPr="002A1458">
        <w:rPr>
          <w:rStyle w:val="HideTWBExt"/>
        </w:rPr>
        <w:t>&lt;/NumAm&gt;</w:t>
      </w:r>
    </w:p>
    <w:p w14:paraId="0A3250D2"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58</w:t>
      </w:r>
      <w:r w:rsidRPr="002A1458">
        <w:rPr>
          <w:rStyle w:val="HideTWBExt"/>
        </w:rPr>
        <w:t>&lt;/NumAm&gt;</w:t>
      </w:r>
    </w:p>
    <w:p w14:paraId="47534907"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612568FC"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73396469" w14:textId="77777777" w:rsidR="00AB098C" w:rsidRPr="002A1458" w:rsidRDefault="002A1458">
      <w:pPr>
        <w:pStyle w:val="NormalBold"/>
      </w:pPr>
      <w:r w:rsidRPr="002A1458">
        <w:rPr>
          <w:rStyle w:val="HideTWBExt"/>
          <w:b w:val="0"/>
        </w:rPr>
        <w:t>&lt;/By&gt;&lt;/RepeatBlock-By&gt;</w:t>
      </w:r>
    </w:p>
    <w:p w14:paraId="7BCDFA51"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2808DE1A"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773D5BD7" w14:textId="17532782"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07F9437D"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009ED9F9"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691CC47A" w14:textId="77777777" w:rsidR="00AB098C" w:rsidRPr="002A1458" w:rsidRDefault="002A1458">
      <w:pPr>
        <w:pStyle w:val="NormalBold"/>
      </w:pPr>
      <w:r w:rsidRPr="002A1458">
        <w:rPr>
          <w:rStyle w:val="HideTWBExt"/>
        </w:rPr>
        <w:t>&lt;Article&gt;</w:t>
      </w:r>
      <w:r w:rsidRPr="002A1458">
        <w:t>Apartado 54</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15DD72D8" w14:textId="77777777">
        <w:trPr>
          <w:trHeight w:hRule="exact" w:val="240"/>
          <w:jc w:val="center"/>
        </w:trPr>
        <w:tc>
          <w:tcPr>
            <w:tcW w:w="9752" w:type="dxa"/>
            <w:gridSpan w:val="2"/>
            <w:tcBorders>
              <w:top w:val="nil"/>
              <w:left w:val="nil"/>
              <w:bottom w:val="nil"/>
              <w:right w:val="nil"/>
            </w:tcBorders>
          </w:tcPr>
          <w:p w14:paraId="0FAA5DCE" w14:textId="77777777" w:rsidR="00AB098C" w:rsidRPr="002A1458" w:rsidRDefault="00AB098C"/>
        </w:tc>
      </w:tr>
      <w:tr w:rsidR="00D92D80" w:rsidRPr="002A1458" w14:paraId="4160E3E8" w14:textId="77777777">
        <w:trPr>
          <w:trHeight w:val="240"/>
          <w:jc w:val="center"/>
        </w:trPr>
        <w:tc>
          <w:tcPr>
            <w:tcW w:w="4876" w:type="dxa"/>
            <w:tcBorders>
              <w:top w:val="nil"/>
              <w:left w:val="nil"/>
              <w:bottom w:val="nil"/>
              <w:right w:val="nil"/>
            </w:tcBorders>
          </w:tcPr>
          <w:p w14:paraId="6B8B7520"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6019305A" w14:textId="77777777" w:rsidR="00AB098C" w:rsidRPr="002A1458" w:rsidRDefault="002A1458">
            <w:pPr>
              <w:pStyle w:val="AmColumnHeading"/>
            </w:pPr>
            <w:r w:rsidRPr="002A1458">
              <w:t>Enmienda</w:t>
            </w:r>
          </w:p>
        </w:tc>
      </w:tr>
      <w:tr w:rsidR="00D92D80" w:rsidRPr="002A1458" w14:paraId="53F1F3C2" w14:textId="77777777">
        <w:trPr>
          <w:jc w:val="center"/>
        </w:trPr>
        <w:tc>
          <w:tcPr>
            <w:tcW w:w="4876" w:type="dxa"/>
            <w:tcBorders>
              <w:top w:val="nil"/>
              <w:left w:val="nil"/>
              <w:bottom w:val="nil"/>
              <w:right w:val="nil"/>
            </w:tcBorders>
          </w:tcPr>
          <w:p w14:paraId="3D1414BF" w14:textId="05D52C3B" w:rsidR="00AB098C" w:rsidRPr="002A1458" w:rsidRDefault="002A1458">
            <w:pPr>
              <w:pStyle w:val="Normal6a"/>
            </w:pPr>
            <w:r w:rsidRPr="002A1458">
              <w:t>54.</w:t>
            </w:r>
            <w:r w:rsidRPr="002A1458">
              <w:tab/>
            </w:r>
            <w:r w:rsidRPr="002A1458">
              <w:rPr>
                <w:b/>
                <w:i/>
              </w:rPr>
              <w:t>Sostiene</w:t>
            </w:r>
            <w:r w:rsidRPr="002A1458">
              <w:t xml:space="preserve"> que </w:t>
            </w:r>
            <w:r w:rsidRPr="002A1458">
              <w:rPr>
                <w:b/>
                <w:i/>
              </w:rPr>
              <w:t>la integridad y la reputación</w:t>
            </w:r>
            <w:r w:rsidRPr="002A1458">
              <w:t xml:space="preserve"> de </w:t>
            </w:r>
            <w:r w:rsidRPr="002A1458">
              <w:rPr>
                <w:b/>
                <w:i/>
              </w:rPr>
              <w:t>las instituciones, órganos y organismos</w:t>
            </w:r>
            <w:r w:rsidRPr="002A1458">
              <w:t xml:space="preserve"> de la Unión </w:t>
            </w:r>
            <w:r w:rsidRPr="002A1458">
              <w:rPr>
                <w:b/>
                <w:i/>
              </w:rPr>
              <w:t>es un elemento fundamental</w:t>
            </w:r>
            <w:r w:rsidRPr="002A1458">
              <w:t xml:space="preserve"> de la </w:t>
            </w:r>
            <w:r w:rsidRPr="002A1458">
              <w:rPr>
                <w:b/>
                <w:i/>
              </w:rPr>
              <w:t>confianza de</w:t>
            </w:r>
            <w:r w:rsidRPr="002A1458">
              <w:t xml:space="preserve"> los </w:t>
            </w:r>
            <w:r w:rsidRPr="002A1458">
              <w:rPr>
                <w:b/>
                <w:i/>
              </w:rPr>
              <w:t>ciudadanos</w:t>
            </w:r>
            <w:r w:rsidRPr="002A1458">
              <w:t>;</w:t>
            </w:r>
            <w:r w:rsidRPr="002A1458">
              <w:rPr>
                <w:b/>
                <w:i/>
              </w:rPr>
              <w:t xml:space="preserve"> considera</w:t>
            </w:r>
            <w:r w:rsidRPr="002A1458">
              <w:t xml:space="preserve"> que </w:t>
            </w:r>
            <w:r w:rsidRPr="002A1458">
              <w:rPr>
                <w:b/>
                <w:i/>
              </w:rPr>
              <w:t>la rendición</w:t>
            </w:r>
            <w:r w:rsidRPr="002A1458">
              <w:t xml:space="preserve"> de </w:t>
            </w:r>
            <w:r w:rsidRPr="002A1458">
              <w:rPr>
                <w:b/>
                <w:i/>
              </w:rPr>
              <w:t>cuentas en el</w:t>
            </w:r>
            <w:r w:rsidRPr="002A1458">
              <w:t xml:space="preserve"> uso </w:t>
            </w:r>
            <w:r w:rsidRPr="002A1458">
              <w:rPr>
                <w:b/>
                <w:i/>
              </w:rPr>
              <w:t xml:space="preserve">de los </w:t>
            </w:r>
            <w:r w:rsidRPr="002A1458">
              <w:rPr>
                <w:b/>
                <w:i/>
              </w:rPr>
              <w:t>recursos presupuestarios</w:t>
            </w:r>
            <w:r w:rsidRPr="002A1458">
              <w:t xml:space="preserve"> de la Unión </w:t>
            </w:r>
            <w:r w:rsidRPr="002A1458">
              <w:rPr>
                <w:b/>
                <w:i/>
              </w:rPr>
              <w:t>es crucial para la legitimidad democrática,</w:t>
            </w:r>
            <w:r w:rsidRPr="002A1458">
              <w:t xml:space="preserve"> y </w:t>
            </w:r>
            <w:r w:rsidRPr="002A1458">
              <w:rPr>
                <w:b/>
                <w:i/>
              </w:rPr>
              <w:t>que los requisitos relacionados con la transparencia</w:t>
            </w:r>
            <w:r w:rsidRPr="002A1458">
              <w:t xml:space="preserve"> y </w:t>
            </w:r>
            <w:r w:rsidRPr="002A1458">
              <w:rPr>
                <w:b/>
                <w:i/>
              </w:rPr>
              <w:t>la protección</w:t>
            </w:r>
            <w:r w:rsidRPr="002A1458">
              <w:t xml:space="preserve"> de </w:t>
            </w:r>
            <w:r w:rsidRPr="002A1458">
              <w:rPr>
                <w:b/>
                <w:i/>
              </w:rPr>
              <w:t>los intereses financieros de</w:t>
            </w:r>
            <w:r w:rsidRPr="002A1458">
              <w:t xml:space="preserve"> la </w:t>
            </w:r>
            <w:r w:rsidRPr="002A1458">
              <w:rPr>
                <w:b/>
                <w:i/>
              </w:rPr>
              <w:t>Unión deben aplicarse por igual a</w:t>
            </w:r>
            <w:r w:rsidRPr="002A1458">
              <w:t xml:space="preserve"> todos los </w:t>
            </w:r>
            <w:r w:rsidRPr="002A1458">
              <w:rPr>
                <w:b/>
                <w:i/>
              </w:rPr>
              <w:t>beneficiarios</w:t>
            </w:r>
            <w:r w:rsidRPr="002A1458">
              <w:t xml:space="preserve"> y </w:t>
            </w:r>
            <w:r w:rsidRPr="002A1458">
              <w:rPr>
                <w:b/>
                <w:i/>
              </w:rPr>
              <w:t>sin excepción dentro</w:t>
            </w:r>
            <w:r w:rsidRPr="002A1458">
              <w:t xml:space="preserve"> de </w:t>
            </w:r>
            <w:r w:rsidRPr="002A1458">
              <w:rPr>
                <w:b/>
                <w:i/>
              </w:rPr>
              <w:t>cada institución</w:t>
            </w:r>
            <w:r w:rsidRPr="002A1458">
              <w:t xml:space="preserve"> de la </w:t>
            </w:r>
            <w:r w:rsidRPr="002A1458">
              <w:rPr>
                <w:b/>
                <w:i/>
              </w:rPr>
              <w:t>Unión, incluido</w:t>
            </w:r>
            <w:r w:rsidRPr="002A1458">
              <w:t xml:space="preserve"> el </w:t>
            </w:r>
            <w:r w:rsidRPr="002A1458">
              <w:rPr>
                <w:b/>
                <w:i/>
              </w:rPr>
              <w:t>Parlamento, a fin</w:t>
            </w:r>
            <w:r w:rsidRPr="002A1458">
              <w:t xml:space="preserve"> de </w:t>
            </w:r>
            <w:r w:rsidRPr="002A1458">
              <w:rPr>
                <w:b/>
                <w:i/>
              </w:rPr>
              <w:t>garantizar una buena gestión financiera y controles eficaces de</w:t>
            </w:r>
            <w:r w:rsidRPr="002A1458">
              <w:t xml:space="preserve"> los </w:t>
            </w:r>
            <w:r w:rsidRPr="002A1458">
              <w:rPr>
                <w:b/>
                <w:i/>
              </w:rPr>
              <w:t>fondos públicos</w:t>
            </w:r>
            <w:r w:rsidRPr="002A1458">
              <w:t>;</w:t>
            </w:r>
          </w:p>
        </w:tc>
        <w:tc>
          <w:tcPr>
            <w:tcW w:w="4876" w:type="dxa"/>
            <w:tcBorders>
              <w:top w:val="nil"/>
              <w:left w:val="nil"/>
              <w:bottom w:val="nil"/>
              <w:right w:val="nil"/>
            </w:tcBorders>
          </w:tcPr>
          <w:p w14:paraId="466CB895" w14:textId="76591249" w:rsidR="00AB098C" w:rsidRPr="002A1458" w:rsidRDefault="002A1458">
            <w:pPr>
              <w:pStyle w:val="Normal6a"/>
            </w:pPr>
            <w:r w:rsidRPr="002A1458">
              <w:t>54.</w:t>
            </w:r>
            <w:r w:rsidRPr="002A1458">
              <w:tab/>
            </w:r>
            <w:r w:rsidRPr="002A1458">
              <w:rPr>
                <w:b/>
                <w:i/>
              </w:rPr>
              <w:t>Recuerda</w:t>
            </w:r>
            <w:r w:rsidRPr="002A1458">
              <w:t xml:space="preserve"> que </w:t>
            </w:r>
            <w:r w:rsidRPr="002A1458">
              <w:rPr>
                <w:b/>
                <w:i/>
              </w:rPr>
              <w:t>el deber de protección</w:t>
            </w:r>
            <w:r w:rsidRPr="002A1458">
              <w:t xml:space="preserve"> de </w:t>
            </w:r>
            <w:r w:rsidRPr="002A1458">
              <w:rPr>
                <w:b/>
                <w:i/>
              </w:rPr>
              <w:t>los intereses financieros</w:t>
            </w:r>
            <w:r w:rsidRPr="002A1458">
              <w:t xml:space="preserve"> de la Unión </w:t>
            </w:r>
            <w:r w:rsidRPr="002A1458">
              <w:rPr>
                <w:b/>
                <w:i/>
              </w:rPr>
              <w:t>se aplica por igual a todos los beneficiarios de los fondos</w:t>
            </w:r>
            <w:r w:rsidRPr="002A1458">
              <w:t xml:space="preserve"> de la </w:t>
            </w:r>
            <w:r w:rsidRPr="002A1458">
              <w:rPr>
                <w:b/>
                <w:i/>
              </w:rPr>
              <w:t>Unión, incluidos</w:t>
            </w:r>
            <w:r w:rsidRPr="002A1458">
              <w:t xml:space="preserve"> los </w:t>
            </w:r>
            <w:r w:rsidRPr="002A1458">
              <w:rPr>
                <w:b/>
                <w:i/>
              </w:rPr>
              <w:t>grupos políticos que actúan en el Parlamento Europeo</w:t>
            </w:r>
            <w:r w:rsidRPr="002A1458">
              <w:t>;</w:t>
            </w:r>
            <w:r w:rsidRPr="002A1458">
              <w:rPr>
                <w:b/>
                <w:i/>
              </w:rPr>
              <w:t xml:space="preserve"> observa</w:t>
            </w:r>
            <w:r w:rsidRPr="002A1458">
              <w:t xml:space="preserve"> que </w:t>
            </w:r>
            <w:r w:rsidRPr="002A1458">
              <w:rPr>
                <w:b/>
                <w:i/>
              </w:rPr>
              <w:t>las investigaciones y acciones</w:t>
            </w:r>
            <w:r w:rsidRPr="002A1458">
              <w:t xml:space="preserve"> de </w:t>
            </w:r>
            <w:r w:rsidRPr="002A1458">
              <w:rPr>
                <w:b/>
                <w:i/>
              </w:rPr>
              <w:t>recuperación relativas al presunto</w:t>
            </w:r>
            <w:r w:rsidRPr="002A1458">
              <w:t xml:space="preserve"> uso </w:t>
            </w:r>
            <w:r w:rsidRPr="002A1458">
              <w:rPr>
                <w:b/>
                <w:i/>
              </w:rPr>
              <w:t>indebido de fondos</w:t>
            </w:r>
            <w:r w:rsidRPr="002A1458">
              <w:t xml:space="preserve"> de la Unión </w:t>
            </w:r>
            <w:r w:rsidRPr="002A1458">
              <w:rPr>
                <w:b/>
                <w:i/>
              </w:rPr>
              <w:t>por parte del antiguo grupo Identidad</w:t>
            </w:r>
            <w:r w:rsidRPr="002A1458">
              <w:t xml:space="preserve"> y </w:t>
            </w:r>
            <w:r w:rsidRPr="002A1458">
              <w:rPr>
                <w:b/>
                <w:i/>
              </w:rPr>
              <w:t>Democracia ponen de relieve la importancia de unos controles internos sólidos, una verificación ex post eficaz</w:t>
            </w:r>
            <w:r w:rsidRPr="002A1458">
              <w:t xml:space="preserve"> y </w:t>
            </w:r>
            <w:r w:rsidRPr="002A1458">
              <w:rPr>
                <w:b/>
                <w:i/>
              </w:rPr>
              <w:t>unos mecanismos</w:t>
            </w:r>
            <w:r w:rsidRPr="002A1458">
              <w:t xml:space="preserve"> de </w:t>
            </w:r>
            <w:r w:rsidRPr="002A1458">
              <w:rPr>
                <w:b/>
                <w:i/>
              </w:rPr>
              <w:t>recup</w:t>
            </w:r>
            <w:r w:rsidRPr="002A1458">
              <w:rPr>
                <w:b/>
                <w:i/>
              </w:rPr>
              <w:t>eración rápidos en la administración del Parlamento;</w:t>
            </w:r>
            <w:r w:rsidRPr="002A1458">
              <w:t xml:space="preserve"> </w:t>
            </w:r>
            <w:r w:rsidRPr="002A1458">
              <w:rPr>
                <w:b/>
                <w:i/>
              </w:rPr>
              <w:t>pide a la administración del Parlamento que complete sin demora todos los procedimientos de recuperación pendientes y remita cualquier prueba de gasto irregular a la OLAF y a la Fiscalía Europea; destaca que la credibilidad de la arquitectura de lucha contra el fraude de la Unión depende de su aplicación coherente a todos los beneficiarios, incluidos los del propio Parlamento;</w:t>
            </w:r>
          </w:p>
        </w:tc>
      </w:tr>
    </w:tbl>
    <w:p w14:paraId="04214C32"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0C74D12A" w14:textId="77777777" w:rsidR="00AB098C" w:rsidRPr="002A1458" w:rsidRDefault="002A1458">
      <w:pPr>
        <w:sectPr w:rsidR="00AB098C" w:rsidRPr="002A1458">
          <w:pgSz w:w="11909" w:h="16834"/>
          <w:pgMar w:top="1134" w:right="1417" w:bottom="1417" w:left="1417" w:header="1134" w:footer="567" w:gutter="0"/>
          <w:cols w:space="720"/>
        </w:sectPr>
      </w:pPr>
      <w:r w:rsidRPr="002A1458">
        <w:rPr>
          <w:rStyle w:val="HideTWBExt"/>
        </w:rPr>
        <w:t>&lt;/Amend&gt;</w:t>
      </w:r>
    </w:p>
    <w:p w14:paraId="7888F82B" w14:textId="77777777" w:rsidR="00AB098C" w:rsidRPr="002A1458" w:rsidRDefault="002A1458">
      <w:pPr>
        <w:pStyle w:val="AmDateTab"/>
      </w:pPr>
      <w:r w:rsidRPr="002A1458">
        <w:rPr>
          <w:rStyle w:val="HideTWBExt"/>
        </w:rPr>
        <w:t>&lt;Amend&gt;&lt;Date&gt;</w:t>
      </w:r>
      <w:r w:rsidRPr="002A1458">
        <w:rPr>
          <w:rStyle w:val="HideTWBInt"/>
          <w:color w:val="auto"/>
        </w:rPr>
        <w:t>{22/04/2026}</w:t>
      </w:r>
      <w:r w:rsidRPr="002A1458">
        <w:t>22.4.2026</w:t>
      </w:r>
      <w:r w:rsidRPr="002A1458">
        <w:rPr>
          <w:rStyle w:val="HideTWBExt"/>
        </w:rPr>
        <w:t>&lt;/Date&gt;</w:t>
      </w:r>
      <w:r w:rsidRPr="002A1458">
        <w:tab/>
      </w:r>
      <w:r w:rsidRPr="002A1458">
        <w:rPr>
          <w:rStyle w:val="HideTWBExt"/>
        </w:rPr>
        <w:t>&lt;ANo&gt;</w:t>
      </w:r>
      <w:r w:rsidRPr="002A1458">
        <w:t>A10-0080</w:t>
      </w:r>
      <w:r w:rsidRPr="002A1458">
        <w:rPr>
          <w:rStyle w:val="HideTWBExt"/>
        </w:rPr>
        <w:t>&lt;/ANo&gt;</w:t>
      </w:r>
      <w:r w:rsidRPr="002A1458">
        <w:t>/</w:t>
      </w:r>
      <w:r w:rsidRPr="002A1458">
        <w:rPr>
          <w:rStyle w:val="HideTWBExt"/>
        </w:rPr>
        <w:t>&lt;NumAm&gt;</w:t>
      </w:r>
      <w:r w:rsidRPr="002A1458">
        <w:t>59</w:t>
      </w:r>
      <w:r w:rsidRPr="002A1458">
        <w:rPr>
          <w:rStyle w:val="HideTWBExt"/>
        </w:rPr>
        <w:t>&lt;/NumAm&gt;</w:t>
      </w:r>
    </w:p>
    <w:p w14:paraId="39A58780" w14:textId="77777777" w:rsidR="00AB098C" w:rsidRPr="002A1458" w:rsidRDefault="002A1458">
      <w:pPr>
        <w:pStyle w:val="AmNumberTabs"/>
      </w:pPr>
      <w:r w:rsidRPr="002A1458">
        <w:t>Enmienda</w:t>
      </w:r>
      <w:r w:rsidRPr="002A1458">
        <w:tab/>
      </w:r>
      <w:r w:rsidRPr="002A1458">
        <w:tab/>
      </w:r>
      <w:r w:rsidRPr="002A1458">
        <w:rPr>
          <w:rStyle w:val="HideTWBExt"/>
        </w:rPr>
        <w:t>&lt;NumAm&gt;</w:t>
      </w:r>
      <w:r w:rsidRPr="002A1458">
        <w:t>59</w:t>
      </w:r>
      <w:r w:rsidRPr="002A1458">
        <w:rPr>
          <w:rStyle w:val="HideTWBExt"/>
        </w:rPr>
        <w:t>&lt;/NumAm&gt;</w:t>
      </w:r>
    </w:p>
    <w:p w14:paraId="1E4C1956" w14:textId="77777777" w:rsidR="00AB098C" w:rsidRPr="002A1458" w:rsidRDefault="002A1458">
      <w:pPr>
        <w:pStyle w:val="NormalBold"/>
      </w:pPr>
      <w:r w:rsidRPr="002A1458">
        <w:rPr>
          <w:rStyle w:val="HideTWBExt"/>
          <w:b w:val="0"/>
        </w:rPr>
        <w:t>&lt;RepeatBlock-By&gt;&lt;By&gt;&lt;Members&gt;</w:t>
      </w:r>
      <w:r w:rsidRPr="002A1458">
        <w:t>Daniel Freund</w:t>
      </w:r>
      <w:r w:rsidRPr="002A1458">
        <w:rPr>
          <w:rStyle w:val="HideTWBExt"/>
          <w:b w:val="0"/>
        </w:rPr>
        <w:t>&lt;/Members&gt;</w:t>
      </w:r>
    </w:p>
    <w:p w14:paraId="6874B7EE" w14:textId="77777777" w:rsidR="00AB098C" w:rsidRPr="002A1458" w:rsidRDefault="002A1458">
      <w:r w:rsidRPr="002A1458">
        <w:rPr>
          <w:rStyle w:val="HideTWBExt"/>
        </w:rPr>
        <w:t>&lt;AuNomDe&gt;</w:t>
      </w:r>
      <w:r w:rsidRPr="002A1458">
        <w:rPr>
          <w:rStyle w:val="HideTWBInt"/>
          <w:color w:val="auto"/>
        </w:rPr>
        <w:t>{Verts/ALE}</w:t>
      </w:r>
      <w:r w:rsidRPr="002A1458">
        <w:t>en nombre del Grupo Verts/ALE</w:t>
      </w:r>
      <w:r w:rsidRPr="002A1458">
        <w:rPr>
          <w:rStyle w:val="HideTWBExt"/>
        </w:rPr>
        <w:t>&lt;/AuNomDe&gt;</w:t>
      </w:r>
    </w:p>
    <w:p w14:paraId="60C10E6F" w14:textId="77777777" w:rsidR="00AB098C" w:rsidRPr="002A1458" w:rsidRDefault="002A1458">
      <w:pPr>
        <w:pStyle w:val="NormalBold"/>
      </w:pPr>
      <w:r w:rsidRPr="002A1458">
        <w:rPr>
          <w:rStyle w:val="HideTWBExt"/>
          <w:b w:val="0"/>
        </w:rPr>
        <w:t>&lt;/By&gt;&lt;/RepeatBlock-By&gt;</w:t>
      </w:r>
    </w:p>
    <w:p w14:paraId="6953A485" w14:textId="77777777" w:rsidR="00AB098C" w:rsidRPr="002A1458" w:rsidRDefault="002A1458">
      <w:pPr>
        <w:pStyle w:val="AmDocTypeTab"/>
      </w:pPr>
      <w:r w:rsidRPr="002A1458">
        <w:rPr>
          <w:rStyle w:val="HideTWBExt"/>
        </w:rPr>
        <w:t>&lt;TitreType&gt;</w:t>
      </w:r>
      <w:r w:rsidRPr="002A1458">
        <w:t>Informe</w:t>
      </w:r>
      <w:r w:rsidRPr="002A1458">
        <w:rPr>
          <w:rStyle w:val="HideTWBExt"/>
        </w:rPr>
        <w:t>&lt;/TitreType&gt;</w:t>
      </w:r>
      <w:r w:rsidRPr="002A1458">
        <w:tab/>
        <w:t>A10-0080/2026</w:t>
      </w:r>
    </w:p>
    <w:p w14:paraId="48DB673F" w14:textId="77777777" w:rsidR="00AB098C" w:rsidRPr="002A1458" w:rsidRDefault="002A1458">
      <w:pPr>
        <w:pStyle w:val="NormalBold"/>
      </w:pPr>
      <w:r w:rsidRPr="002A1458">
        <w:rPr>
          <w:rStyle w:val="HideTWBExt"/>
        </w:rPr>
        <w:t>&lt;Rapporteur&gt;</w:t>
      </w:r>
      <w:r w:rsidRPr="002A1458">
        <w:t>Julien Sanchez</w:t>
      </w:r>
      <w:r w:rsidRPr="002A1458">
        <w:rPr>
          <w:rStyle w:val="HideTWBExt"/>
        </w:rPr>
        <w:t>&lt;/Rapporteur&gt;</w:t>
      </w:r>
    </w:p>
    <w:p w14:paraId="2414A911" w14:textId="193E84CA" w:rsidR="00AB098C" w:rsidRPr="002A1458" w:rsidRDefault="002A1458">
      <w:r w:rsidRPr="002A1458">
        <w:rPr>
          <w:rStyle w:val="HideTWBExt"/>
        </w:rPr>
        <w:t>&lt;Titre&gt;</w:t>
      </w:r>
      <w:r w:rsidRPr="002A1458">
        <w:t>Protección de los intereses financieros de la Unión Europea – Lucha contra el fraude: informe anual 2024</w:t>
      </w:r>
      <w:r w:rsidRPr="002A1458">
        <w:rPr>
          <w:rStyle w:val="HideTWBExt"/>
        </w:rPr>
        <w:t>&lt;/Titre&gt;</w:t>
      </w:r>
    </w:p>
    <w:p w14:paraId="47A6A819" w14:textId="77777777" w:rsidR="00AB098C" w:rsidRPr="002A1458" w:rsidRDefault="002A1458">
      <w:pPr>
        <w:pStyle w:val="Normal12a"/>
      </w:pPr>
      <w:r w:rsidRPr="002A1458">
        <w:rPr>
          <w:rStyle w:val="HideTWBExt"/>
        </w:rPr>
        <w:t>&lt;DocRef&gt;</w:t>
      </w:r>
      <w:r w:rsidRPr="002A1458">
        <w:t>(2025/2238(INI))</w:t>
      </w:r>
      <w:r w:rsidRPr="002A1458">
        <w:rPr>
          <w:rStyle w:val="HideTWBExt"/>
        </w:rPr>
        <w:t>&lt;/DocRef&gt;</w:t>
      </w:r>
    </w:p>
    <w:p w14:paraId="5F8BA664" w14:textId="77777777" w:rsidR="00AB098C" w:rsidRPr="002A1458" w:rsidRDefault="002A1458">
      <w:pPr>
        <w:pStyle w:val="NormalBold"/>
      </w:pPr>
      <w:r w:rsidRPr="002A1458">
        <w:rPr>
          <w:rStyle w:val="HideTWBExt"/>
        </w:rPr>
        <w:t>&lt;DocAmend&gt;</w:t>
      </w:r>
      <w:r w:rsidRPr="002A1458">
        <w:t>Propuesta de Resolución</w:t>
      </w:r>
      <w:r w:rsidRPr="002A1458">
        <w:rPr>
          <w:rStyle w:val="HideTWBExt"/>
        </w:rPr>
        <w:t>&lt;/DocAmend&gt;</w:t>
      </w:r>
    </w:p>
    <w:p w14:paraId="0B7B25F8" w14:textId="77777777" w:rsidR="00AB098C" w:rsidRPr="002A1458" w:rsidRDefault="002A1458">
      <w:pPr>
        <w:pStyle w:val="NormalBold"/>
      </w:pPr>
      <w:r w:rsidRPr="002A1458">
        <w:rPr>
          <w:rStyle w:val="HideTWBExt"/>
        </w:rPr>
        <w:t>&lt;Article&gt;</w:t>
      </w:r>
      <w:r w:rsidRPr="002A1458">
        <w:t>Apartado 54 bis (nuevo)</w:t>
      </w:r>
      <w:r w:rsidRPr="002A145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92D80" w:rsidRPr="002A1458" w14:paraId="6CE69F02" w14:textId="77777777">
        <w:trPr>
          <w:trHeight w:hRule="exact" w:val="240"/>
          <w:jc w:val="center"/>
        </w:trPr>
        <w:tc>
          <w:tcPr>
            <w:tcW w:w="9752" w:type="dxa"/>
            <w:gridSpan w:val="2"/>
            <w:tcBorders>
              <w:top w:val="nil"/>
              <w:left w:val="nil"/>
              <w:bottom w:val="nil"/>
              <w:right w:val="nil"/>
            </w:tcBorders>
          </w:tcPr>
          <w:p w14:paraId="0E6C5431" w14:textId="77777777" w:rsidR="00AB098C" w:rsidRPr="002A1458" w:rsidRDefault="00AB098C"/>
        </w:tc>
      </w:tr>
      <w:tr w:rsidR="00D92D80" w:rsidRPr="002A1458" w14:paraId="36BC4A92" w14:textId="77777777">
        <w:trPr>
          <w:trHeight w:val="240"/>
          <w:jc w:val="center"/>
        </w:trPr>
        <w:tc>
          <w:tcPr>
            <w:tcW w:w="4876" w:type="dxa"/>
            <w:tcBorders>
              <w:top w:val="nil"/>
              <w:left w:val="nil"/>
              <w:bottom w:val="nil"/>
              <w:right w:val="nil"/>
            </w:tcBorders>
          </w:tcPr>
          <w:p w14:paraId="666F0D4E" w14:textId="77777777" w:rsidR="00AB098C" w:rsidRPr="002A1458" w:rsidRDefault="002A1458">
            <w:pPr>
              <w:pStyle w:val="AmColumnHeading"/>
            </w:pPr>
            <w:r w:rsidRPr="002A1458">
              <w:t>Propuesta de Resolución</w:t>
            </w:r>
          </w:p>
        </w:tc>
        <w:tc>
          <w:tcPr>
            <w:tcW w:w="4876" w:type="dxa"/>
            <w:tcBorders>
              <w:top w:val="nil"/>
              <w:left w:val="nil"/>
              <w:bottom w:val="nil"/>
              <w:right w:val="nil"/>
            </w:tcBorders>
          </w:tcPr>
          <w:p w14:paraId="4D5E53A9" w14:textId="77777777" w:rsidR="00AB098C" w:rsidRPr="002A1458" w:rsidRDefault="002A1458">
            <w:pPr>
              <w:pStyle w:val="AmColumnHeading"/>
            </w:pPr>
            <w:r w:rsidRPr="002A1458">
              <w:t>Enmienda</w:t>
            </w:r>
          </w:p>
        </w:tc>
      </w:tr>
      <w:tr w:rsidR="00D92D80" w:rsidRPr="002A1458" w14:paraId="1DA9569E" w14:textId="77777777">
        <w:trPr>
          <w:jc w:val="center"/>
        </w:trPr>
        <w:tc>
          <w:tcPr>
            <w:tcW w:w="4876" w:type="dxa"/>
            <w:tcBorders>
              <w:top w:val="nil"/>
              <w:left w:val="nil"/>
              <w:bottom w:val="nil"/>
              <w:right w:val="nil"/>
            </w:tcBorders>
          </w:tcPr>
          <w:p w14:paraId="70858426" w14:textId="77777777" w:rsidR="00AB098C" w:rsidRPr="002A1458" w:rsidRDefault="00AB098C">
            <w:pPr>
              <w:pStyle w:val="Normal6a"/>
            </w:pPr>
          </w:p>
        </w:tc>
        <w:tc>
          <w:tcPr>
            <w:tcW w:w="4876" w:type="dxa"/>
            <w:tcBorders>
              <w:top w:val="nil"/>
              <w:left w:val="nil"/>
              <w:bottom w:val="nil"/>
              <w:right w:val="nil"/>
            </w:tcBorders>
          </w:tcPr>
          <w:p w14:paraId="4D2BA016" w14:textId="709F61CA" w:rsidR="00AB098C" w:rsidRPr="002A1458" w:rsidRDefault="002A1458">
            <w:pPr>
              <w:pStyle w:val="Normal6a"/>
            </w:pPr>
            <w:r w:rsidRPr="002A1458">
              <w:rPr>
                <w:b/>
                <w:i/>
              </w:rPr>
              <w:t>54 bis.</w:t>
            </w:r>
            <w:r w:rsidRPr="002A1458">
              <w:tab/>
            </w:r>
            <w:r w:rsidRPr="002A1458">
              <w:rPr>
                <w:b/>
                <w:i/>
              </w:rPr>
              <w:t>Observa que la administración del Parlamento constató que el antiguo grupo Identidad y Democracia gastó indebidamente al menos</w:t>
            </w:r>
            <w:r>
              <w:rPr>
                <w:b/>
                <w:i/>
              </w:rPr>
              <w:t> </w:t>
            </w:r>
            <w:r w:rsidRPr="002A1458">
              <w:rPr>
                <w:b/>
                <w:i/>
              </w:rPr>
              <w:t xml:space="preserve">4 333 635,78 EUR de los créditos de la partida presupuestaria 400 durante la legislatura </w:t>
            </w:r>
            <w:r w:rsidRPr="002A1458">
              <w:rPr>
                <w:b/>
                <w:i/>
              </w:rPr>
              <w:t>2019-2024, y que la Fiscalía Europea abrió una investigación en julio de 2025 sobre el supuesto uso indebido de fondos de la Unión por parte del grupo; destaca que la credibilidad de la arquitectura de la Unión de lucha contra el fraude requiere la aplicación coherente de las medidas de transparencia, rendición de cuentas y recuperación a todos los beneficiarios sin excepción; pide a la administración del Parlamento que, paralelamente a la investigación penal de la Fiscalía Europea, adopte medidas administr</w:t>
            </w:r>
            <w:r w:rsidRPr="002A1458">
              <w:rPr>
                <w:b/>
                <w:i/>
              </w:rPr>
              <w:t>ativas provisionales en aras de la protección de los intereses financieros de la Unión; considera que la disolución del grupo Identidad y Democracia en</w:t>
            </w:r>
            <w:r>
              <w:rPr>
                <w:b/>
                <w:i/>
              </w:rPr>
              <w:t> </w:t>
            </w:r>
            <w:r w:rsidRPr="002A1458">
              <w:rPr>
                <w:b/>
                <w:i/>
              </w:rPr>
              <w:t>2024 y los procedimientos financieros resultantes han demostrado que el marco actual es inadecuado para garantizar la detección, la notificación y la recuperación oportunas; pide a la Mesa del Parlamento que revise y refuerce urgentemente el marco de control financiero interno aplicable a los grupos políticos del Parlamento Europeo;</w:t>
            </w:r>
          </w:p>
        </w:tc>
      </w:tr>
    </w:tbl>
    <w:p w14:paraId="046CB116" w14:textId="77777777" w:rsidR="00AB098C" w:rsidRPr="002A1458" w:rsidRDefault="002A1458">
      <w:pPr>
        <w:pStyle w:val="AmOrLang"/>
      </w:pPr>
      <w:r w:rsidRPr="002A1458">
        <w:t xml:space="preserve">Or. </w:t>
      </w:r>
      <w:r w:rsidRPr="002A1458">
        <w:rPr>
          <w:rStyle w:val="HideTWBExt"/>
        </w:rPr>
        <w:t>&lt;Original&gt;</w:t>
      </w:r>
      <w:r w:rsidRPr="002A1458">
        <w:rPr>
          <w:rStyle w:val="HideTWBInt"/>
        </w:rPr>
        <w:t>{EN}</w:t>
      </w:r>
      <w:r w:rsidRPr="002A1458">
        <w:t>en</w:t>
      </w:r>
      <w:r w:rsidRPr="002A1458">
        <w:rPr>
          <w:rStyle w:val="HideTWBExt"/>
        </w:rPr>
        <w:t>&lt;/Original&gt;</w:t>
      </w:r>
    </w:p>
    <w:p w14:paraId="58D2499F" w14:textId="77777777" w:rsidR="00AB098C" w:rsidRPr="002A1458" w:rsidRDefault="002A1458">
      <w:r w:rsidRPr="002A1458">
        <w:rPr>
          <w:rStyle w:val="HideTWBExt"/>
        </w:rPr>
        <w:t>&lt;/Amend&gt;</w:t>
      </w:r>
    </w:p>
    <w:p w14:paraId="165F2E2F" w14:textId="77777777" w:rsidR="00AB098C" w:rsidRPr="002A1458" w:rsidRDefault="002A1458">
      <w:r w:rsidRPr="002A1458">
        <w:rPr>
          <w:rStyle w:val="HideTWBExt"/>
        </w:rPr>
        <w:t>&lt;/RepeatBlock-Amend&gt;</w:t>
      </w:r>
    </w:p>
    <w:sectPr w:rsidR="00AB098C" w:rsidRPr="002A1458">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B111C" w14:textId="77777777" w:rsidR="002A1458" w:rsidRPr="002A1458" w:rsidRDefault="002A1458">
      <w:r w:rsidRPr="002A1458">
        <w:separator/>
      </w:r>
    </w:p>
  </w:endnote>
  <w:endnote w:type="continuationSeparator" w:id="0">
    <w:p w14:paraId="1A19A3C2" w14:textId="77777777" w:rsidR="002A1458" w:rsidRPr="002A1458" w:rsidRDefault="002A1458">
      <w:r w:rsidRPr="002A14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47CB4" w14:textId="77777777" w:rsidR="002A1458" w:rsidRDefault="002A14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ABC9C" w14:textId="77777777" w:rsidR="002A1458" w:rsidRPr="002A1458" w:rsidRDefault="002A1458" w:rsidP="002A1458">
    <w:pPr>
      <w:pStyle w:val="EPFooter"/>
    </w:pPr>
    <w:r w:rsidRPr="002A1458">
      <w:rPr>
        <w:rStyle w:val="HideTWBExt"/>
      </w:rPr>
      <w:t>&lt;PathFdR&gt;</w:t>
    </w:r>
    <w:r w:rsidRPr="002A1458">
      <w:t>AM\1342225ES.docx</w:t>
    </w:r>
    <w:r w:rsidRPr="002A1458">
      <w:rPr>
        <w:rStyle w:val="HideTWBExt"/>
      </w:rPr>
      <w:t>&lt;/PathFdR&gt;</w:t>
    </w:r>
    <w:r w:rsidRPr="002A1458">
      <w:tab/>
    </w:r>
    <w:r w:rsidRPr="002A1458">
      <w:tab/>
      <w:t>PE</w:t>
    </w:r>
    <w:r w:rsidRPr="002A1458">
      <w:rPr>
        <w:rStyle w:val="HideTWBExt"/>
      </w:rPr>
      <w:t>&lt;NoPE&gt;</w:t>
    </w:r>
    <w:r w:rsidRPr="002A1458">
      <w:t>783.022</w:t>
    </w:r>
    <w:r w:rsidRPr="002A1458">
      <w:rPr>
        <w:rStyle w:val="HideTWBExt"/>
      </w:rPr>
      <w:t>&lt;/NoPE&gt;&lt;Version&gt;</w:t>
    </w:r>
    <w:r w:rsidRPr="002A1458">
      <w:t>v01-00</w:t>
    </w:r>
    <w:r w:rsidRPr="002A1458">
      <w:rPr>
        <w:rStyle w:val="HideTWBExt"/>
      </w:rPr>
      <w:t>&lt;/Version&gt;</w:t>
    </w:r>
  </w:p>
  <w:p w14:paraId="7CDB53C2" w14:textId="7C002C61" w:rsidR="00AB098C" w:rsidRPr="002A1458" w:rsidRDefault="002A1458" w:rsidP="002A1458">
    <w:pPr>
      <w:pStyle w:val="EPFooter2"/>
    </w:pPr>
    <w:r w:rsidRPr="002A1458">
      <w:t>ES</w:t>
    </w:r>
    <w:r w:rsidRPr="002A1458">
      <w:tab/>
    </w:r>
    <w:r w:rsidRPr="002A1458">
      <w:rPr>
        <w:b w:val="0"/>
        <w:i/>
        <w:color w:val="C0C0C0"/>
        <w:sz w:val="22"/>
      </w:rPr>
      <w:t>Unida en la diversidad</w:t>
    </w:r>
    <w:r w:rsidRPr="002A1458">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CD03" w14:textId="77777777" w:rsidR="002A1458" w:rsidRDefault="002A1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35544" w14:textId="77777777" w:rsidR="002A1458" w:rsidRPr="002A1458" w:rsidRDefault="002A1458">
      <w:r w:rsidRPr="002A1458">
        <w:separator/>
      </w:r>
    </w:p>
  </w:footnote>
  <w:footnote w:type="continuationSeparator" w:id="0">
    <w:p w14:paraId="1F66B7C9" w14:textId="77777777" w:rsidR="002A1458" w:rsidRPr="002A1458" w:rsidRDefault="002A1458">
      <w:r w:rsidRPr="002A145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3A123" w14:textId="77777777" w:rsidR="002A1458" w:rsidRDefault="002A14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F3840" w14:textId="77777777" w:rsidR="002A1458" w:rsidRDefault="002A14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BA9F8" w14:textId="77777777" w:rsidR="002A1458" w:rsidRDefault="002A14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2"/>
    <w:docVar w:name="TXTLANGUE" w:val="EN"/>
    <w:docVar w:name="TXTLANGUEMIN" w:val="en"/>
    <w:docVar w:name="TXTNRPE" w:val="783.022"/>
    <w:docVar w:name="TXTPEorAP" w:val="PE"/>
    <w:docVar w:name="TXTROUTE" w:val="AM\1342225EN.docx"/>
    <w:docVar w:name="TXTVERSION" w:val="01-00"/>
  </w:docVars>
  <w:rsids>
    <w:rsidRoot w:val="00A77B3E"/>
    <w:rsid w:val="001E6DCE"/>
    <w:rsid w:val="0022097A"/>
    <w:rsid w:val="002A1458"/>
    <w:rsid w:val="002C4F66"/>
    <w:rsid w:val="0034105C"/>
    <w:rsid w:val="00380094"/>
    <w:rsid w:val="00415918"/>
    <w:rsid w:val="0044003A"/>
    <w:rsid w:val="004A2B70"/>
    <w:rsid w:val="00566641"/>
    <w:rsid w:val="005744EE"/>
    <w:rsid w:val="005D1D4D"/>
    <w:rsid w:val="006447B6"/>
    <w:rsid w:val="006A13A9"/>
    <w:rsid w:val="006F1F54"/>
    <w:rsid w:val="00705A00"/>
    <w:rsid w:val="007B6BE6"/>
    <w:rsid w:val="009C0B53"/>
    <w:rsid w:val="009F6C83"/>
    <w:rsid w:val="00A77B3E"/>
    <w:rsid w:val="00AB098C"/>
    <w:rsid w:val="00C62949"/>
    <w:rsid w:val="00CA2A55"/>
    <w:rsid w:val="00D92D80"/>
    <w:rsid w:val="00F628DF"/>
    <w:rsid w:val="00FA7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135163"/>
  <w15:docId w15:val="{C4F0EAC1-4B7D-4BB5-A8AE-971B0280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80094"/>
    <w:pPr>
      <w:tabs>
        <w:tab w:val="center" w:pos="4513"/>
        <w:tab w:val="right" w:pos="9026"/>
      </w:tabs>
    </w:pPr>
  </w:style>
  <w:style w:type="character" w:customStyle="1" w:styleId="HeaderChar">
    <w:name w:val="Header Char"/>
    <w:basedOn w:val="DefaultParagraphFont"/>
    <w:link w:val="Header"/>
    <w:rsid w:val="00380094"/>
    <w:rPr>
      <w:sz w:val="24"/>
      <w:szCs w:val="24"/>
    </w:rPr>
  </w:style>
  <w:style w:type="paragraph" w:styleId="Footer">
    <w:name w:val="footer"/>
    <w:basedOn w:val="Normal"/>
    <w:link w:val="FooterChar1"/>
    <w:rsid w:val="00380094"/>
    <w:pPr>
      <w:tabs>
        <w:tab w:val="center" w:pos="4513"/>
        <w:tab w:val="right" w:pos="9026"/>
      </w:tabs>
    </w:pPr>
  </w:style>
  <w:style w:type="character" w:customStyle="1" w:styleId="FooterChar1">
    <w:name w:val="Footer Char1"/>
    <w:basedOn w:val="DefaultParagraphFont"/>
    <w:link w:val="Footer"/>
    <w:rsid w:val="00380094"/>
    <w:rPr>
      <w:sz w:val="24"/>
      <w:szCs w:val="24"/>
    </w:rPr>
  </w:style>
  <w:style w:type="paragraph" w:styleId="Revision">
    <w:name w:val="Revision"/>
    <w:hidden/>
    <w:uiPriority w:val="99"/>
    <w:semiHidden/>
    <w:rsid w:val="0022097A"/>
    <w:rPr>
      <w:sz w:val="24"/>
      <w:szCs w:val="24"/>
    </w:rPr>
  </w:style>
  <w:style w:type="character" w:styleId="CommentReference">
    <w:name w:val="annotation reference"/>
    <w:basedOn w:val="DefaultParagraphFont"/>
    <w:rsid w:val="00FA7453"/>
    <w:rPr>
      <w:sz w:val="16"/>
      <w:szCs w:val="16"/>
    </w:rPr>
  </w:style>
  <w:style w:type="paragraph" w:styleId="CommentText">
    <w:name w:val="annotation text"/>
    <w:basedOn w:val="Normal"/>
    <w:link w:val="CommentTextChar"/>
    <w:rsid w:val="00FA7453"/>
    <w:rPr>
      <w:sz w:val="20"/>
      <w:szCs w:val="20"/>
    </w:rPr>
  </w:style>
  <w:style w:type="character" w:customStyle="1" w:styleId="CommentTextChar">
    <w:name w:val="Comment Text Char"/>
    <w:basedOn w:val="DefaultParagraphFont"/>
    <w:link w:val="CommentText"/>
    <w:rsid w:val="00FA7453"/>
  </w:style>
  <w:style w:type="paragraph" w:styleId="CommentSubject">
    <w:name w:val="annotation subject"/>
    <w:basedOn w:val="CommentText"/>
    <w:next w:val="CommentText"/>
    <w:link w:val="CommentSubjectChar"/>
    <w:rsid w:val="00FA7453"/>
    <w:rPr>
      <w:b/>
      <w:bCs/>
    </w:rPr>
  </w:style>
  <w:style w:type="character" w:customStyle="1" w:styleId="CommentSubjectChar">
    <w:name w:val="Comment Subject Char"/>
    <w:basedOn w:val="CommentTextChar"/>
    <w:link w:val="CommentSubject"/>
    <w:rsid w:val="00FA74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2097</Words>
  <Characters>11821</Characters>
  <Application>Microsoft Office Word</Application>
  <DocSecurity>0</DocSecurity>
  <Lines>462</Lines>
  <Paragraphs>144</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13789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DE LEON ESPINOSA Maria Inmaculada</cp:lastModifiedBy>
  <cp:revision>2</cp:revision>
  <cp:lastPrinted>2026-04-22T17:39:00Z</cp:lastPrinted>
  <dcterms:created xsi:type="dcterms:W3CDTF">2026-04-23T14:00:00Z</dcterms:created>
  <dcterms:modified xsi:type="dcterms:W3CDTF">2026-04-23T14:00:00Z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1342225</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- 2026/04/23 16:00</vt:lpwstr>
  </property>
  <property fmtid="{D5CDD505-2E9C-101B-9397-08002B2CF9AE}" pid="7" name="dmxml.render.id">
    <vt:lpwstr>459267</vt:lpwstr>
  </property>
  <property fmtid="{D5CDD505-2E9C-101B-9397-08002B2CF9AE}" pid="8" name="dmxml.render.traceId">
    <vt:lpwstr>69e8e9021f7542c89ca2e5b051c30353</vt:lpwstr>
  </property>
  <property fmtid="{D5CDD505-2E9C-101B-9397-08002B2CF9AE}" pid="9" name="FooterPath">
    <vt:lpwstr>AM\1342225ES.docx</vt:lpwstr>
  </property>
  <property fmtid="{D5CDD505-2E9C-101B-9397-08002B2CF9AE}" pid="10" name="LastEdited with">
    <vt:lpwstr>10.3.0 Build [20260401]</vt:lpwstr>
  </property>
  <property fmtid="{D5CDD505-2E9C-101B-9397-08002B2CF9AE}" pid="11" name="PE Number">
    <vt:lpwstr>783.022</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eu.europa.europarl-DIN1-2026-0000109521_01.00-en-01.00_text-xml</vt:lpwstr>
  </property>
</Properties>
</file>