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0763E" w14:textId="77777777" w:rsidR="00AB098C" w:rsidRPr="00F55940" w:rsidRDefault="00F55940">
      <w:pPr>
        <w:pStyle w:val="AmDateTab"/>
        <w:rPr>
          <w:lang w:val="pt-BR"/>
        </w:rPr>
      </w:pPr>
      <w:r w:rsidRPr="00F55940">
        <w:rPr>
          <w:rStyle w:val="HideTWBExt"/>
          <w:lang w:val="pt-BR"/>
        </w:rPr>
        <w:t>&lt;RepeatBlock-Amend&gt;&lt;Amend&gt;&lt;Date&gt;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50</w:t>
      </w:r>
      <w:r w:rsidRPr="00F55940">
        <w:rPr>
          <w:rStyle w:val="HideTWBExt"/>
          <w:lang w:val="pt-BR"/>
        </w:rPr>
        <w:t>&lt;/NumAm&gt;</w:t>
      </w:r>
    </w:p>
    <w:p w14:paraId="6F54DC25"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50</w:t>
      </w:r>
      <w:r w:rsidRPr="00F55940">
        <w:rPr>
          <w:rStyle w:val="HideTWBExt"/>
          <w:lang w:val="en-GB"/>
        </w:rPr>
        <w:t>&lt;/NumAm&gt;</w:t>
      </w:r>
    </w:p>
    <w:p w14:paraId="258E7D6A"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666E1CA7"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294E2802" w14:textId="77777777" w:rsidR="00AB098C" w:rsidRPr="00F55940" w:rsidRDefault="00F55940">
      <w:pPr>
        <w:pStyle w:val="NormalBold"/>
        <w:rPr>
          <w:lang w:val="en-GB"/>
        </w:rPr>
      </w:pPr>
      <w:r w:rsidRPr="00F55940">
        <w:rPr>
          <w:rStyle w:val="HideTWBExt"/>
          <w:b w:val="0"/>
          <w:lang w:val="en-GB"/>
        </w:rPr>
        <w:t>&lt;/By&gt;&lt;/RepeatBlock-By&gt;</w:t>
      </w:r>
    </w:p>
    <w:p w14:paraId="36619970"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594826D1" w14:textId="77777777" w:rsidR="00AB098C" w:rsidRPr="00133B2E" w:rsidRDefault="00F55940">
      <w:pPr>
        <w:pStyle w:val="NormalBold"/>
      </w:pPr>
      <w:r>
        <w:rPr>
          <w:rStyle w:val="HideTWBExt"/>
        </w:rPr>
        <w:t>&lt;Rapporteur&gt;</w:t>
      </w:r>
      <w:r>
        <w:t>Julien Sanchez</w:t>
      </w:r>
      <w:r>
        <w:rPr>
          <w:rStyle w:val="HideTWBExt"/>
        </w:rPr>
        <w:t>&lt;/Rapporteur&gt;</w:t>
      </w:r>
    </w:p>
    <w:p w14:paraId="4006048E" w14:textId="30E45309" w:rsidR="00AB098C" w:rsidRPr="00133B2E" w:rsidRDefault="00F55940">
      <w:r>
        <w:rPr>
          <w:rStyle w:val="HideTWBExt"/>
        </w:rPr>
        <w:t>&lt;Titre&gt;</w:t>
      </w:r>
      <w:r>
        <w:t>Protection des intérêts financiers de l’Union européenne – lutte contre la fraude – rapport annuel 2024</w:t>
      </w:r>
      <w:r>
        <w:rPr>
          <w:rStyle w:val="HideTWBExt"/>
        </w:rPr>
        <w:t>&lt;/Titre&gt;</w:t>
      </w:r>
    </w:p>
    <w:p w14:paraId="41E99341" w14:textId="77777777" w:rsidR="00AB098C" w:rsidRPr="00133B2E" w:rsidRDefault="00F55940">
      <w:pPr>
        <w:pStyle w:val="Normal12a"/>
      </w:pPr>
      <w:r>
        <w:rPr>
          <w:rStyle w:val="HideTWBExt"/>
        </w:rPr>
        <w:t>&lt;DocRef&gt;</w:t>
      </w:r>
      <w:r>
        <w:t>(2025/2238(INI))</w:t>
      </w:r>
      <w:r>
        <w:rPr>
          <w:rStyle w:val="HideTWBExt"/>
        </w:rPr>
        <w:t>&lt;/DocRef&gt;</w:t>
      </w:r>
    </w:p>
    <w:p w14:paraId="38C2EC05" w14:textId="77777777" w:rsidR="00AB098C" w:rsidRPr="00133B2E" w:rsidRDefault="00F55940">
      <w:pPr>
        <w:pStyle w:val="NormalBold"/>
      </w:pPr>
      <w:r>
        <w:rPr>
          <w:rStyle w:val="HideTWBExt"/>
        </w:rPr>
        <w:t>&lt;DocAmend&gt;</w:t>
      </w:r>
      <w:r>
        <w:t>Proposition de résolution</w:t>
      </w:r>
      <w:r>
        <w:rPr>
          <w:rStyle w:val="HideTWBExt"/>
        </w:rPr>
        <w:t>&lt;/DocAmend&gt;</w:t>
      </w:r>
    </w:p>
    <w:p w14:paraId="28E559A1" w14:textId="6A10691D" w:rsidR="00AB098C" w:rsidRPr="00133B2E" w:rsidRDefault="00F55940">
      <w:pPr>
        <w:pStyle w:val="NormalBold"/>
      </w:pPr>
      <w:r>
        <w:rPr>
          <w:rStyle w:val="HideTWBExt"/>
        </w:rPr>
        <w:t>&lt;Article&gt;</w:t>
      </w:r>
      <w:r>
        <w:t xml:space="preserve">Visa 23 bis (nouveau)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470DC1FC" w14:textId="77777777">
        <w:trPr>
          <w:trHeight w:hRule="exact" w:val="240"/>
          <w:jc w:val="center"/>
        </w:trPr>
        <w:tc>
          <w:tcPr>
            <w:tcW w:w="9752" w:type="dxa"/>
            <w:gridSpan w:val="2"/>
            <w:tcBorders>
              <w:top w:val="nil"/>
              <w:left w:val="nil"/>
              <w:bottom w:val="nil"/>
              <w:right w:val="nil"/>
            </w:tcBorders>
          </w:tcPr>
          <w:p w14:paraId="01AC38DA" w14:textId="77777777" w:rsidR="00AB098C" w:rsidRPr="00133B2E" w:rsidRDefault="00AB098C"/>
        </w:tc>
      </w:tr>
      <w:tr w:rsidR="000F072C" w14:paraId="0561F3F4" w14:textId="77777777">
        <w:trPr>
          <w:trHeight w:val="240"/>
          <w:jc w:val="center"/>
        </w:trPr>
        <w:tc>
          <w:tcPr>
            <w:tcW w:w="4876" w:type="dxa"/>
            <w:tcBorders>
              <w:top w:val="nil"/>
              <w:left w:val="nil"/>
              <w:bottom w:val="nil"/>
              <w:right w:val="nil"/>
            </w:tcBorders>
          </w:tcPr>
          <w:p w14:paraId="75D7C2A1"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71528269" w14:textId="77777777" w:rsidR="00AB098C" w:rsidRPr="00133B2E" w:rsidRDefault="00F55940">
            <w:pPr>
              <w:pStyle w:val="AmColumnHeading"/>
            </w:pPr>
            <w:r>
              <w:t>Amendement</w:t>
            </w:r>
          </w:p>
        </w:tc>
      </w:tr>
      <w:tr w:rsidR="000F072C" w:rsidRPr="00F55940" w14:paraId="35A3F6BE" w14:textId="77777777">
        <w:trPr>
          <w:jc w:val="center"/>
        </w:trPr>
        <w:tc>
          <w:tcPr>
            <w:tcW w:w="4876" w:type="dxa"/>
            <w:tcBorders>
              <w:top w:val="nil"/>
              <w:left w:val="nil"/>
              <w:bottom w:val="nil"/>
              <w:right w:val="nil"/>
            </w:tcBorders>
          </w:tcPr>
          <w:p w14:paraId="19D88A38" w14:textId="77777777" w:rsidR="00AB098C" w:rsidRPr="00133B2E" w:rsidRDefault="00AB098C">
            <w:pPr>
              <w:pStyle w:val="Normal6a"/>
            </w:pPr>
          </w:p>
        </w:tc>
        <w:tc>
          <w:tcPr>
            <w:tcW w:w="4876" w:type="dxa"/>
            <w:tcBorders>
              <w:top w:val="nil"/>
              <w:left w:val="nil"/>
              <w:bottom w:val="nil"/>
              <w:right w:val="nil"/>
            </w:tcBorders>
          </w:tcPr>
          <w:p w14:paraId="0374F855" w14:textId="457B656D" w:rsidR="00AB098C" w:rsidRPr="00133B2E" w:rsidRDefault="00F55940">
            <w:pPr>
              <w:pStyle w:val="Normal6a"/>
              <w:pBdr>
                <w:bottom w:val="single" w:sz="12" w:space="1" w:color="auto"/>
              </w:pBdr>
              <w:rPr>
                <w:b/>
                <w:i/>
              </w:rPr>
            </w:pPr>
            <w:r>
              <w:rPr>
                <w:b/>
                <w:i/>
              </w:rPr>
              <w:t>–</w:t>
            </w:r>
            <w:r>
              <w:tab/>
            </w:r>
            <w:r>
              <w:rPr>
                <w:b/>
                <w:i/>
              </w:rPr>
              <w:t xml:space="preserve">vu les arrêts de la Cour de justice de l’Union européenne du 16 février 2022 dans les affaires C-156/21, </w:t>
            </w:r>
            <w:r>
              <w:rPr>
                <w:b/>
                <w:i/>
              </w:rPr>
              <w:t>Hongrie/Parlement et Conseil, et C-157/21, Pologne/Parlement et Conseil</w:t>
            </w:r>
            <w:r>
              <w:rPr>
                <w:b/>
                <w:i/>
                <w:vertAlign w:val="superscript"/>
              </w:rPr>
              <w:t>1 bis</w:t>
            </w:r>
            <w:r>
              <w:rPr>
                <w:b/>
                <w:i/>
              </w:rPr>
              <w:t>, qui confirment la légalité du règlement relatif à la conditionnalité,</w:t>
            </w:r>
          </w:p>
          <w:p w14:paraId="233B5120" w14:textId="7895A482" w:rsidR="0022097A" w:rsidRPr="00F55940" w:rsidRDefault="00F55940">
            <w:pPr>
              <w:pStyle w:val="Normal6a"/>
              <w:rPr>
                <w:lang w:val="pt-BR"/>
              </w:rPr>
            </w:pPr>
            <w:r w:rsidRPr="00F55940">
              <w:rPr>
                <w:b/>
                <w:i/>
                <w:vertAlign w:val="superscript"/>
                <w:lang w:val="pt-BR"/>
              </w:rPr>
              <w:t>1 bis</w:t>
            </w:r>
            <w:r w:rsidRPr="00F55940">
              <w:rPr>
                <w:b/>
                <w:i/>
                <w:lang w:val="pt-BR"/>
              </w:rPr>
              <w:t xml:space="preserve"> ECLI:EU:C:2022:97 &amp; ECLI:EU:C:2022:98.</w:t>
            </w:r>
          </w:p>
        </w:tc>
      </w:tr>
    </w:tbl>
    <w:p w14:paraId="6E3DA0C0" w14:textId="77777777" w:rsidR="00AB098C" w:rsidRPr="00F55940" w:rsidRDefault="00F55940">
      <w:pPr>
        <w:pStyle w:val="AmOrLang"/>
        <w:rPr>
          <w:lang w:val="en-GB"/>
        </w:rPr>
      </w:pPr>
      <w:r w:rsidRPr="00F55940">
        <w:rPr>
          <w:lang w:val="en-GB"/>
        </w:rPr>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4D4CDBC3" w14:textId="77777777" w:rsidR="00AB098C" w:rsidRPr="00F55940" w:rsidRDefault="00F55940">
      <w:pPr>
        <w:rPr>
          <w:lang w:val="en-GB"/>
        </w:rPr>
        <w:sectPr w:rsidR="00AB098C" w:rsidRPr="00F55940">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F55940">
        <w:rPr>
          <w:rStyle w:val="HideTWBExt"/>
          <w:lang w:val="en-GB"/>
        </w:rPr>
        <w:t>&lt;/Amend&gt;</w:t>
      </w:r>
    </w:p>
    <w:p w14:paraId="1897A4FA"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51</w:t>
      </w:r>
      <w:r w:rsidRPr="00F55940">
        <w:rPr>
          <w:rStyle w:val="HideTWBExt"/>
          <w:lang w:val="pt-BR"/>
        </w:rPr>
        <w:t>&lt;/NumAm&gt;</w:t>
      </w:r>
    </w:p>
    <w:p w14:paraId="0CA0DC32"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51</w:t>
      </w:r>
      <w:r w:rsidRPr="00F55940">
        <w:rPr>
          <w:rStyle w:val="HideTWBExt"/>
          <w:lang w:val="en-GB"/>
        </w:rPr>
        <w:t>&lt;/NumAm&gt;</w:t>
      </w:r>
    </w:p>
    <w:p w14:paraId="122C27AF"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42FB1CEC"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369153FD" w14:textId="77777777" w:rsidR="00AB098C" w:rsidRPr="00F55940" w:rsidRDefault="00F55940">
      <w:pPr>
        <w:pStyle w:val="NormalBold"/>
        <w:rPr>
          <w:lang w:val="en-GB"/>
        </w:rPr>
      </w:pPr>
      <w:r w:rsidRPr="00F55940">
        <w:rPr>
          <w:rStyle w:val="HideTWBExt"/>
          <w:b w:val="0"/>
          <w:lang w:val="en-GB"/>
        </w:rPr>
        <w:t>&lt;/By&gt;&lt;/RepeatBlock-By&gt;</w:t>
      </w:r>
    </w:p>
    <w:p w14:paraId="004FEAFA"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14F63909" w14:textId="77777777" w:rsidR="00AB098C" w:rsidRPr="00133B2E" w:rsidRDefault="00F55940">
      <w:pPr>
        <w:pStyle w:val="NormalBold"/>
      </w:pPr>
      <w:r>
        <w:rPr>
          <w:rStyle w:val="HideTWBExt"/>
        </w:rPr>
        <w:t>&lt;Rapporteur&gt;</w:t>
      </w:r>
      <w:r>
        <w:t>Julien Sanchez</w:t>
      </w:r>
      <w:r>
        <w:rPr>
          <w:rStyle w:val="HideTWBExt"/>
        </w:rPr>
        <w:t>&lt;/Rapporteur&gt;</w:t>
      </w:r>
    </w:p>
    <w:p w14:paraId="44F6DB4C" w14:textId="69E7F1E8" w:rsidR="00AB098C" w:rsidRPr="00133B2E" w:rsidRDefault="00F55940">
      <w:r>
        <w:rPr>
          <w:rStyle w:val="HideTWBExt"/>
        </w:rPr>
        <w:t>&lt;Titre&gt;</w:t>
      </w:r>
      <w:r>
        <w:t xml:space="preserve">Protection des intérêts </w:t>
      </w:r>
      <w:r>
        <w:t>financiers de l’Union européenne – lutte contre la fraude – rapport annuel 2024</w:t>
      </w:r>
      <w:r>
        <w:rPr>
          <w:rStyle w:val="HideTWBExt"/>
        </w:rPr>
        <w:t>&lt;/Titre&gt;</w:t>
      </w:r>
    </w:p>
    <w:p w14:paraId="4D47D053" w14:textId="77777777" w:rsidR="00AB098C" w:rsidRPr="00133B2E" w:rsidRDefault="00F55940">
      <w:pPr>
        <w:pStyle w:val="Normal12a"/>
      </w:pPr>
      <w:r>
        <w:rPr>
          <w:rStyle w:val="HideTWBExt"/>
        </w:rPr>
        <w:t>&lt;DocRef&gt;</w:t>
      </w:r>
      <w:r>
        <w:t>(2025/2238(INI))</w:t>
      </w:r>
      <w:r>
        <w:rPr>
          <w:rStyle w:val="HideTWBExt"/>
        </w:rPr>
        <w:t>&lt;/DocRef&gt;</w:t>
      </w:r>
    </w:p>
    <w:p w14:paraId="570FEAC6" w14:textId="77777777" w:rsidR="00AB098C" w:rsidRPr="00133B2E" w:rsidRDefault="00F55940">
      <w:pPr>
        <w:pStyle w:val="NormalBold"/>
      </w:pPr>
      <w:r>
        <w:rPr>
          <w:rStyle w:val="HideTWBExt"/>
        </w:rPr>
        <w:t>&lt;DocAmend&gt;</w:t>
      </w:r>
      <w:r>
        <w:t>Proposition de résolution</w:t>
      </w:r>
      <w:r>
        <w:rPr>
          <w:rStyle w:val="HideTWBExt"/>
        </w:rPr>
        <w:t>&lt;/DocAmend&gt;</w:t>
      </w:r>
    </w:p>
    <w:p w14:paraId="18AE99FB" w14:textId="77777777" w:rsidR="00AB098C" w:rsidRPr="00133B2E" w:rsidRDefault="00F55940">
      <w:pPr>
        <w:pStyle w:val="NormalBold"/>
      </w:pPr>
      <w:r>
        <w:rPr>
          <w:rStyle w:val="HideTWBExt"/>
        </w:rPr>
        <w:t>&lt;Article&gt;</w:t>
      </w:r>
      <w:r>
        <w:t xml:space="preserve">Visa 25 ter (nouveau) </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62EB1AFB" w14:textId="77777777">
        <w:trPr>
          <w:trHeight w:hRule="exact" w:val="240"/>
          <w:jc w:val="center"/>
        </w:trPr>
        <w:tc>
          <w:tcPr>
            <w:tcW w:w="9752" w:type="dxa"/>
            <w:gridSpan w:val="2"/>
            <w:tcBorders>
              <w:top w:val="nil"/>
              <w:left w:val="nil"/>
              <w:bottom w:val="nil"/>
              <w:right w:val="nil"/>
            </w:tcBorders>
          </w:tcPr>
          <w:p w14:paraId="7D55E2CF" w14:textId="77777777" w:rsidR="00AB098C" w:rsidRPr="00133B2E" w:rsidRDefault="00AB098C"/>
        </w:tc>
      </w:tr>
      <w:tr w:rsidR="000F072C" w14:paraId="689BD4CC" w14:textId="77777777">
        <w:trPr>
          <w:trHeight w:val="240"/>
          <w:jc w:val="center"/>
        </w:trPr>
        <w:tc>
          <w:tcPr>
            <w:tcW w:w="4876" w:type="dxa"/>
            <w:tcBorders>
              <w:top w:val="nil"/>
              <w:left w:val="nil"/>
              <w:bottom w:val="nil"/>
              <w:right w:val="nil"/>
            </w:tcBorders>
          </w:tcPr>
          <w:p w14:paraId="7076EBB8"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1D3DD833" w14:textId="77777777" w:rsidR="00AB098C" w:rsidRPr="00133B2E" w:rsidRDefault="00F55940">
            <w:pPr>
              <w:pStyle w:val="AmColumnHeading"/>
            </w:pPr>
            <w:r>
              <w:t>Amendement</w:t>
            </w:r>
          </w:p>
        </w:tc>
      </w:tr>
      <w:tr w:rsidR="000F072C" w14:paraId="6BA02098" w14:textId="77777777">
        <w:trPr>
          <w:jc w:val="center"/>
        </w:trPr>
        <w:tc>
          <w:tcPr>
            <w:tcW w:w="4876" w:type="dxa"/>
            <w:tcBorders>
              <w:top w:val="nil"/>
              <w:left w:val="nil"/>
              <w:bottom w:val="nil"/>
              <w:right w:val="nil"/>
            </w:tcBorders>
          </w:tcPr>
          <w:p w14:paraId="3D3F7FC2" w14:textId="77777777" w:rsidR="00AB098C" w:rsidRPr="00133B2E" w:rsidRDefault="00AB098C">
            <w:pPr>
              <w:pStyle w:val="Normal6a"/>
            </w:pPr>
          </w:p>
        </w:tc>
        <w:tc>
          <w:tcPr>
            <w:tcW w:w="4876" w:type="dxa"/>
            <w:tcBorders>
              <w:top w:val="nil"/>
              <w:left w:val="nil"/>
              <w:bottom w:val="nil"/>
              <w:right w:val="nil"/>
            </w:tcBorders>
          </w:tcPr>
          <w:p w14:paraId="481513A9" w14:textId="5E786CD9" w:rsidR="00AB098C" w:rsidRPr="00133B2E" w:rsidRDefault="00F55940">
            <w:pPr>
              <w:pStyle w:val="Normal6a"/>
            </w:pPr>
            <w:r>
              <w:rPr>
                <w:b/>
                <w:i/>
              </w:rPr>
              <w:t>–</w:t>
            </w:r>
            <w:r>
              <w:tab/>
            </w:r>
            <w:r>
              <w:rPr>
                <w:b/>
                <w:i/>
              </w:rPr>
              <w:t>vu l’enquête en cours ouverte par le Parquet européen en juillet 2025 sur le détournement présumé de fonds de l’Union par l’ancien groupe «Identité et démocratie» du Parlement européen,</w:t>
            </w:r>
          </w:p>
        </w:tc>
      </w:tr>
    </w:tbl>
    <w:p w14:paraId="790F5E20" w14:textId="77777777" w:rsidR="00AB098C" w:rsidRPr="00F55940" w:rsidRDefault="00F55940">
      <w:pPr>
        <w:pStyle w:val="AmOrLang"/>
        <w:rPr>
          <w:lang w:val="en-GB"/>
        </w:rPr>
      </w:pPr>
      <w:r w:rsidRPr="00F55940">
        <w:rPr>
          <w:lang w:val="en-GB"/>
        </w:rPr>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5D9AFC04" w14:textId="77777777" w:rsidR="00AB098C" w:rsidRPr="00F55940" w:rsidRDefault="00F55940">
      <w:pPr>
        <w:rPr>
          <w:lang w:val="en-GB"/>
        </w:rPr>
        <w:sectPr w:rsidR="00AB098C" w:rsidRPr="00F55940">
          <w:pgSz w:w="11909" w:h="16834"/>
          <w:pgMar w:top="1134" w:right="1417" w:bottom="1417" w:left="1417" w:header="1134" w:footer="567" w:gutter="0"/>
          <w:cols w:space="720"/>
        </w:sectPr>
      </w:pPr>
      <w:r w:rsidRPr="00F55940">
        <w:rPr>
          <w:rStyle w:val="HideTWBExt"/>
          <w:lang w:val="en-GB"/>
        </w:rPr>
        <w:t>&lt;/Amend&gt;</w:t>
      </w:r>
    </w:p>
    <w:p w14:paraId="1DC3122D"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52</w:t>
      </w:r>
      <w:r w:rsidRPr="00F55940">
        <w:rPr>
          <w:rStyle w:val="HideTWBExt"/>
          <w:lang w:val="pt-BR"/>
        </w:rPr>
        <w:t>&lt;/NumAm&gt;</w:t>
      </w:r>
    </w:p>
    <w:p w14:paraId="5F9D1154"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52</w:t>
      </w:r>
      <w:r w:rsidRPr="00F55940">
        <w:rPr>
          <w:rStyle w:val="HideTWBExt"/>
          <w:lang w:val="en-GB"/>
        </w:rPr>
        <w:t>&lt;/NumAm&gt;</w:t>
      </w:r>
    </w:p>
    <w:p w14:paraId="27AE9A36"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705EC329"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7E71E8E9" w14:textId="77777777" w:rsidR="00AB098C" w:rsidRPr="00F55940" w:rsidRDefault="00F55940">
      <w:pPr>
        <w:pStyle w:val="NormalBold"/>
        <w:rPr>
          <w:lang w:val="en-GB"/>
        </w:rPr>
      </w:pPr>
      <w:r w:rsidRPr="00F55940">
        <w:rPr>
          <w:rStyle w:val="HideTWBExt"/>
          <w:b w:val="0"/>
          <w:lang w:val="en-GB"/>
        </w:rPr>
        <w:t>&lt;/By&gt;&lt;/RepeatBlock-By&gt;</w:t>
      </w:r>
    </w:p>
    <w:p w14:paraId="73013DEF"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11B1ED71" w14:textId="77777777" w:rsidR="00AB098C" w:rsidRPr="00133B2E" w:rsidRDefault="00F55940">
      <w:pPr>
        <w:pStyle w:val="NormalBold"/>
      </w:pPr>
      <w:r>
        <w:rPr>
          <w:rStyle w:val="HideTWBExt"/>
        </w:rPr>
        <w:t>&lt;Rapporteur&gt;</w:t>
      </w:r>
      <w:r>
        <w:t>Julien Sanchez</w:t>
      </w:r>
      <w:r>
        <w:rPr>
          <w:rStyle w:val="HideTWBExt"/>
        </w:rPr>
        <w:t>&lt;/Rapporteur&gt;</w:t>
      </w:r>
    </w:p>
    <w:p w14:paraId="71EEC604" w14:textId="4192E226" w:rsidR="00AB098C" w:rsidRPr="00133B2E" w:rsidRDefault="00F55940">
      <w:r>
        <w:rPr>
          <w:rStyle w:val="HideTWBExt"/>
        </w:rPr>
        <w:t>&lt;Titre&gt;</w:t>
      </w:r>
      <w:r>
        <w:t>Protection des intérêts financiers de l’Union européenne – lutte contre la fraude – rapport annuel 2024</w:t>
      </w:r>
      <w:r>
        <w:rPr>
          <w:rStyle w:val="HideTWBExt"/>
        </w:rPr>
        <w:t>&lt;/Titre&gt;</w:t>
      </w:r>
    </w:p>
    <w:p w14:paraId="702F699B" w14:textId="77777777" w:rsidR="00AB098C" w:rsidRPr="00133B2E" w:rsidRDefault="00F55940">
      <w:pPr>
        <w:pStyle w:val="Normal12a"/>
      </w:pPr>
      <w:r>
        <w:rPr>
          <w:rStyle w:val="HideTWBExt"/>
        </w:rPr>
        <w:t>&lt;DocRef&gt;</w:t>
      </w:r>
      <w:r>
        <w:t>(2025/2238(INI))</w:t>
      </w:r>
      <w:r>
        <w:rPr>
          <w:rStyle w:val="HideTWBExt"/>
        </w:rPr>
        <w:t>&lt;/DocRef&gt;</w:t>
      </w:r>
    </w:p>
    <w:p w14:paraId="65F35DB6" w14:textId="77777777" w:rsidR="00AB098C" w:rsidRPr="00133B2E" w:rsidRDefault="00F55940">
      <w:pPr>
        <w:pStyle w:val="NormalBold"/>
      </w:pPr>
      <w:r>
        <w:rPr>
          <w:rStyle w:val="HideTWBExt"/>
        </w:rPr>
        <w:t>&lt;DocAmend&gt;</w:t>
      </w:r>
      <w:r>
        <w:t>Proposition de résolution</w:t>
      </w:r>
      <w:r>
        <w:rPr>
          <w:rStyle w:val="HideTWBExt"/>
        </w:rPr>
        <w:t>&lt;/DocAmend&gt;</w:t>
      </w:r>
    </w:p>
    <w:p w14:paraId="445EF971" w14:textId="77777777" w:rsidR="00AB098C" w:rsidRPr="00133B2E" w:rsidRDefault="00F55940">
      <w:pPr>
        <w:pStyle w:val="NormalBold"/>
      </w:pPr>
      <w:r>
        <w:rPr>
          <w:rStyle w:val="HideTWBExt"/>
        </w:rPr>
        <w:t>&lt;Article&gt;</w:t>
      </w:r>
      <w:r>
        <w:t>Paragraphe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72A4562E" w14:textId="77777777">
        <w:trPr>
          <w:trHeight w:hRule="exact" w:val="240"/>
          <w:jc w:val="center"/>
        </w:trPr>
        <w:tc>
          <w:tcPr>
            <w:tcW w:w="9752" w:type="dxa"/>
            <w:gridSpan w:val="2"/>
            <w:tcBorders>
              <w:top w:val="nil"/>
              <w:left w:val="nil"/>
              <w:bottom w:val="nil"/>
              <w:right w:val="nil"/>
            </w:tcBorders>
          </w:tcPr>
          <w:p w14:paraId="0A94343A" w14:textId="77777777" w:rsidR="00AB098C" w:rsidRPr="00133B2E" w:rsidRDefault="00AB098C"/>
        </w:tc>
      </w:tr>
      <w:tr w:rsidR="000F072C" w14:paraId="1FB50B3E" w14:textId="77777777">
        <w:trPr>
          <w:trHeight w:val="240"/>
          <w:jc w:val="center"/>
        </w:trPr>
        <w:tc>
          <w:tcPr>
            <w:tcW w:w="4876" w:type="dxa"/>
            <w:tcBorders>
              <w:top w:val="nil"/>
              <w:left w:val="nil"/>
              <w:bottom w:val="nil"/>
              <w:right w:val="nil"/>
            </w:tcBorders>
          </w:tcPr>
          <w:p w14:paraId="258B1CFF"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64E426E5" w14:textId="77777777" w:rsidR="00AB098C" w:rsidRPr="00133B2E" w:rsidRDefault="00F55940">
            <w:pPr>
              <w:pStyle w:val="AmColumnHeading"/>
            </w:pPr>
            <w:r>
              <w:t>Amendement</w:t>
            </w:r>
          </w:p>
        </w:tc>
      </w:tr>
      <w:tr w:rsidR="000F072C" w14:paraId="1A4C7A08" w14:textId="77777777">
        <w:trPr>
          <w:jc w:val="center"/>
        </w:trPr>
        <w:tc>
          <w:tcPr>
            <w:tcW w:w="4876" w:type="dxa"/>
            <w:tcBorders>
              <w:top w:val="nil"/>
              <w:left w:val="nil"/>
              <w:bottom w:val="nil"/>
              <w:right w:val="nil"/>
            </w:tcBorders>
          </w:tcPr>
          <w:p w14:paraId="7F7CFA26" w14:textId="77777777" w:rsidR="00AB098C" w:rsidRPr="00133B2E" w:rsidRDefault="00AB098C">
            <w:pPr>
              <w:pStyle w:val="Normal6a"/>
            </w:pPr>
          </w:p>
        </w:tc>
        <w:tc>
          <w:tcPr>
            <w:tcW w:w="4876" w:type="dxa"/>
            <w:tcBorders>
              <w:top w:val="nil"/>
              <w:left w:val="nil"/>
              <w:bottom w:val="nil"/>
              <w:right w:val="nil"/>
            </w:tcBorders>
          </w:tcPr>
          <w:p w14:paraId="78957F95" w14:textId="3A1F513C" w:rsidR="00AB098C" w:rsidRPr="00133B2E" w:rsidRDefault="00F55940">
            <w:pPr>
              <w:pStyle w:val="Normal6a"/>
            </w:pPr>
            <w:r>
              <w:rPr>
                <w:b/>
                <w:i/>
              </w:rPr>
              <w:t>2 bis.</w:t>
            </w:r>
            <w:r>
              <w:tab/>
            </w:r>
            <w:r>
              <w:rPr>
                <w:b/>
                <w:i/>
              </w:rPr>
              <w:t xml:space="preserve">regrette que tous les États membres ne participent pas au Parquet européen, ce qui engendre des lacunes dans la </w:t>
            </w:r>
            <w:r>
              <w:rPr>
                <w:b/>
                <w:i/>
              </w:rPr>
              <w:t>répression des délits qui restreignent la capacité de l’Union de protéger ses intérêts financiers de manière uniforme; note que le Parquet européen a émis un nombre important de décisions d’enquête européenne et de demandes d’entraide judiciaire impliquant des États membres qui ne participent pas au Parquet en 2024, ce qui augmente le risque de charge procédurale et de perte de preuves; réitère l’appel lancé à tous les États membres qui ne participent pas encore au Parquet européen pour qu’ils y adhèrent sa</w:t>
            </w:r>
            <w:r>
              <w:rPr>
                <w:b/>
                <w:i/>
              </w:rPr>
              <w:t>ns délai;</w:t>
            </w:r>
          </w:p>
        </w:tc>
      </w:tr>
    </w:tbl>
    <w:p w14:paraId="02F244F9" w14:textId="77777777" w:rsidR="00AB098C" w:rsidRPr="00F55940" w:rsidRDefault="00F55940">
      <w:pPr>
        <w:pStyle w:val="AmOrLang"/>
        <w:rPr>
          <w:lang w:val="en-GB"/>
        </w:rPr>
      </w:pPr>
      <w:r w:rsidRPr="00F55940">
        <w:rPr>
          <w:lang w:val="en-GB"/>
        </w:rPr>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234CC38C" w14:textId="77777777" w:rsidR="00AB098C" w:rsidRPr="00F55940" w:rsidRDefault="00F55940">
      <w:pPr>
        <w:rPr>
          <w:lang w:val="en-GB"/>
        </w:rPr>
        <w:sectPr w:rsidR="00AB098C" w:rsidRPr="00F55940">
          <w:pgSz w:w="11909" w:h="16834"/>
          <w:pgMar w:top="1134" w:right="1417" w:bottom="1417" w:left="1417" w:header="1134" w:footer="567" w:gutter="0"/>
          <w:cols w:space="720"/>
        </w:sectPr>
      </w:pPr>
      <w:r w:rsidRPr="00F55940">
        <w:rPr>
          <w:rStyle w:val="HideTWBExt"/>
          <w:lang w:val="en-GB"/>
        </w:rPr>
        <w:t>&lt;/Amend&gt;</w:t>
      </w:r>
    </w:p>
    <w:p w14:paraId="52F6A974"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53</w:t>
      </w:r>
      <w:r w:rsidRPr="00F55940">
        <w:rPr>
          <w:rStyle w:val="HideTWBExt"/>
          <w:lang w:val="pt-BR"/>
        </w:rPr>
        <w:t>&lt;/NumAm&gt;</w:t>
      </w:r>
    </w:p>
    <w:p w14:paraId="5BCF9E95"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53</w:t>
      </w:r>
      <w:r w:rsidRPr="00F55940">
        <w:rPr>
          <w:rStyle w:val="HideTWBExt"/>
          <w:lang w:val="en-GB"/>
        </w:rPr>
        <w:t>&lt;/NumAm&gt;</w:t>
      </w:r>
    </w:p>
    <w:p w14:paraId="470392FE"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6F2B0472"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60567203" w14:textId="77777777" w:rsidR="00AB098C" w:rsidRPr="00F55940" w:rsidRDefault="00F55940">
      <w:pPr>
        <w:pStyle w:val="NormalBold"/>
        <w:rPr>
          <w:lang w:val="en-GB"/>
        </w:rPr>
      </w:pPr>
      <w:r w:rsidRPr="00F55940">
        <w:rPr>
          <w:rStyle w:val="HideTWBExt"/>
          <w:b w:val="0"/>
          <w:lang w:val="en-GB"/>
        </w:rPr>
        <w:t>&lt;/By&gt;&lt;/RepeatBlock-By&gt;</w:t>
      </w:r>
    </w:p>
    <w:p w14:paraId="6F60CCCE"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6F9DF45E" w14:textId="77777777" w:rsidR="00AB098C" w:rsidRPr="00133B2E" w:rsidRDefault="00F55940">
      <w:pPr>
        <w:pStyle w:val="NormalBold"/>
      </w:pPr>
      <w:r>
        <w:rPr>
          <w:rStyle w:val="HideTWBExt"/>
        </w:rPr>
        <w:t>&lt;Rapporteur&gt;</w:t>
      </w:r>
      <w:r>
        <w:t>Julien Sanchez</w:t>
      </w:r>
      <w:r>
        <w:rPr>
          <w:rStyle w:val="HideTWBExt"/>
        </w:rPr>
        <w:t>&lt;/Rapporteur&gt;</w:t>
      </w:r>
    </w:p>
    <w:p w14:paraId="19B4ABF8" w14:textId="5CA79DD2" w:rsidR="00AB098C" w:rsidRPr="00133B2E" w:rsidRDefault="00F55940">
      <w:r>
        <w:rPr>
          <w:rStyle w:val="HideTWBExt"/>
        </w:rPr>
        <w:t>&lt;Titre&gt;</w:t>
      </w:r>
      <w:r>
        <w:t>Protection des intérêts financiers de l’Union européenne – lutte contre la fraude – rapport annuel 2024</w:t>
      </w:r>
      <w:r>
        <w:rPr>
          <w:rStyle w:val="HideTWBExt"/>
        </w:rPr>
        <w:t>&lt;/Titre&gt;</w:t>
      </w:r>
    </w:p>
    <w:p w14:paraId="4335F946" w14:textId="77777777" w:rsidR="00AB098C" w:rsidRPr="00133B2E" w:rsidRDefault="00F55940">
      <w:pPr>
        <w:pStyle w:val="Normal12a"/>
      </w:pPr>
      <w:r>
        <w:rPr>
          <w:rStyle w:val="HideTWBExt"/>
        </w:rPr>
        <w:t>&lt;DocRef&gt;</w:t>
      </w:r>
      <w:r>
        <w:t>(2025/2238(INI))</w:t>
      </w:r>
      <w:r>
        <w:rPr>
          <w:rStyle w:val="HideTWBExt"/>
        </w:rPr>
        <w:t>&lt;/DocRef&gt;</w:t>
      </w:r>
    </w:p>
    <w:p w14:paraId="08A8C468" w14:textId="77777777" w:rsidR="00AB098C" w:rsidRPr="00133B2E" w:rsidRDefault="00F55940">
      <w:pPr>
        <w:pStyle w:val="NormalBold"/>
      </w:pPr>
      <w:r>
        <w:rPr>
          <w:rStyle w:val="HideTWBExt"/>
        </w:rPr>
        <w:t>&lt;DocAmend&gt;</w:t>
      </w:r>
      <w:r>
        <w:t>Proposition de résolution</w:t>
      </w:r>
      <w:r>
        <w:rPr>
          <w:rStyle w:val="HideTWBExt"/>
        </w:rPr>
        <w:t>&lt;/DocAmend&gt;</w:t>
      </w:r>
    </w:p>
    <w:p w14:paraId="4D837251" w14:textId="77777777" w:rsidR="00AB098C" w:rsidRPr="00133B2E" w:rsidRDefault="00F55940">
      <w:pPr>
        <w:pStyle w:val="NormalBold"/>
      </w:pPr>
      <w:r>
        <w:rPr>
          <w:rStyle w:val="HideTWBExt"/>
        </w:rPr>
        <w:t>&lt;Article&gt;</w:t>
      </w:r>
      <w:r>
        <w:t>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1FA13BA9" w14:textId="77777777">
        <w:trPr>
          <w:trHeight w:hRule="exact" w:val="240"/>
          <w:jc w:val="center"/>
        </w:trPr>
        <w:tc>
          <w:tcPr>
            <w:tcW w:w="9752" w:type="dxa"/>
            <w:gridSpan w:val="2"/>
            <w:tcBorders>
              <w:top w:val="nil"/>
              <w:left w:val="nil"/>
              <w:bottom w:val="nil"/>
              <w:right w:val="nil"/>
            </w:tcBorders>
          </w:tcPr>
          <w:p w14:paraId="46C57188" w14:textId="77777777" w:rsidR="00AB098C" w:rsidRPr="00133B2E" w:rsidRDefault="00AB098C"/>
        </w:tc>
      </w:tr>
      <w:tr w:rsidR="000F072C" w14:paraId="4A9D3AC4" w14:textId="77777777">
        <w:trPr>
          <w:trHeight w:val="240"/>
          <w:jc w:val="center"/>
        </w:trPr>
        <w:tc>
          <w:tcPr>
            <w:tcW w:w="4876" w:type="dxa"/>
            <w:tcBorders>
              <w:top w:val="nil"/>
              <w:left w:val="nil"/>
              <w:bottom w:val="nil"/>
              <w:right w:val="nil"/>
            </w:tcBorders>
          </w:tcPr>
          <w:p w14:paraId="077A804A"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01984BB6" w14:textId="77777777" w:rsidR="00AB098C" w:rsidRPr="00133B2E" w:rsidRDefault="00F55940">
            <w:pPr>
              <w:pStyle w:val="AmColumnHeading"/>
            </w:pPr>
            <w:r>
              <w:t>Amendement</w:t>
            </w:r>
          </w:p>
        </w:tc>
      </w:tr>
      <w:tr w:rsidR="000F072C" w14:paraId="461AF8AA" w14:textId="77777777">
        <w:trPr>
          <w:jc w:val="center"/>
        </w:trPr>
        <w:tc>
          <w:tcPr>
            <w:tcW w:w="4876" w:type="dxa"/>
            <w:tcBorders>
              <w:top w:val="nil"/>
              <w:left w:val="nil"/>
              <w:bottom w:val="nil"/>
              <w:right w:val="nil"/>
            </w:tcBorders>
          </w:tcPr>
          <w:p w14:paraId="0CE44D25" w14:textId="339AE777" w:rsidR="00AB098C" w:rsidRPr="00133B2E" w:rsidRDefault="00F55940">
            <w:pPr>
              <w:pStyle w:val="Normal6a"/>
            </w:pPr>
            <w:r>
              <w:t>3.</w:t>
            </w:r>
            <w:r>
              <w:tab/>
              <w:t xml:space="preserve">souligne que l’état de droit, pierre angulaire de l’Union, est essentiel pour la </w:t>
            </w:r>
            <w:r>
              <w:t xml:space="preserve">protection des intérêts financiers de cette dernière dans tous les États membres; souligne que le mécanisme de conditionnalité liée à l’état de droit doit être appliqué lorsque </w:t>
            </w:r>
            <w:r>
              <w:rPr>
                <w:b/>
                <w:i/>
              </w:rPr>
              <w:t>les</w:t>
            </w:r>
            <w:r>
              <w:t xml:space="preserve"> violations </w:t>
            </w:r>
            <w:r>
              <w:rPr>
                <w:b/>
                <w:i/>
              </w:rPr>
              <w:t>affectent directement le</w:t>
            </w:r>
            <w:r>
              <w:t xml:space="preserve"> budget de l’Union; insiste sur le fait que les décisions visant à protéger les intérêts financiers de l’Union doivent être fondées sur des conclusions techniques et juridiques; invite la Commission à garantir une utilisation cohérente et proportionnée du mécanisme, tout en respectant la respons</w:t>
            </w:r>
            <w:r>
              <w:t>abilité première des États membres en matière de respect des principes de l’état de droit et en veillant à la cohérence entre les instruments de l’Union;</w:t>
            </w:r>
          </w:p>
        </w:tc>
        <w:tc>
          <w:tcPr>
            <w:tcW w:w="4876" w:type="dxa"/>
            <w:tcBorders>
              <w:top w:val="nil"/>
              <w:left w:val="nil"/>
              <w:bottom w:val="nil"/>
              <w:right w:val="nil"/>
            </w:tcBorders>
          </w:tcPr>
          <w:p w14:paraId="2D703E83" w14:textId="077BD94F" w:rsidR="00AB098C" w:rsidRPr="00133B2E" w:rsidRDefault="00F55940">
            <w:pPr>
              <w:pStyle w:val="Normal6a"/>
            </w:pPr>
            <w:r>
              <w:t>3.</w:t>
            </w:r>
            <w:r>
              <w:tab/>
              <w:t xml:space="preserve">souligne que l’état de droit, pierre angulaire de l’Union, est essentiel pour la protection des intérêts financiers de cette dernière dans tous les États membres; souligne que le mécanisme de conditionnalité liée à l’état de droit doit être appliqué lorsque </w:t>
            </w:r>
            <w:r>
              <w:rPr>
                <w:b/>
                <w:i/>
              </w:rPr>
              <w:t>des</w:t>
            </w:r>
            <w:r>
              <w:t xml:space="preserve"> violations </w:t>
            </w:r>
            <w:r>
              <w:rPr>
                <w:b/>
                <w:i/>
              </w:rPr>
              <w:t>de l’indépendance de la justice, de la capacité de poursuite, de la responsabilité ou de la transparence portent atteinte ou risquent de porter atteinte à la bonne gestion financière du</w:t>
            </w:r>
            <w:r>
              <w:t xml:space="preserve"> budget de l’Union</w:t>
            </w:r>
            <w:r>
              <w:rPr>
                <w:b/>
                <w:i/>
              </w:rPr>
              <w:t>, conformément à la jurisprudence c</w:t>
            </w:r>
            <w:r>
              <w:rPr>
                <w:b/>
                <w:i/>
              </w:rPr>
              <w:t>onstante de la Cour de justice</w:t>
            </w:r>
            <w:r>
              <w:t>; insiste sur le fait que les décisions visant à protéger les intérêts financiers de l’Union doivent être fondées sur des conclusions techniques et juridiques; invite la Commission à garantir une utilisation cohérente et proportionnée du mécanisme, tout en respectant la responsabilité première des États membres en matière de respect des principes de l’état de droit et en veillant à la cohérence entre les instruments de l’Union;</w:t>
            </w:r>
          </w:p>
        </w:tc>
      </w:tr>
    </w:tbl>
    <w:p w14:paraId="13C259C4" w14:textId="77777777" w:rsidR="00AB098C" w:rsidRPr="00F55940" w:rsidRDefault="00F55940">
      <w:pPr>
        <w:pStyle w:val="AmOrLang"/>
        <w:rPr>
          <w:lang w:val="en-GB"/>
        </w:rPr>
      </w:pPr>
      <w:r w:rsidRPr="00F55940">
        <w:rPr>
          <w:lang w:val="en-GB"/>
        </w:rPr>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21FA7D09" w14:textId="77777777" w:rsidR="00AB098C" w:rsidRPr="00F55940" w:rsidRDefault="00F55940">
      <w:pPr>
        <w:rPr>
          <w:lang w:val="en-GB"/>
        </w:rPr>
        <w:sectPr w:rsidR="00AB098C" w:rsidRPr="00F55940">
          <w:pgSz w:w="11909" w:h="16834"/>
          <w:pgMar w:top="1134" w:right="1417" w:bottom="1417" w:left="1417" w:header="1134" w:footer="567" w:gutter="0"/>
          <w:cols w:space="720"/>
        </w:sectPr>
      </w:pPr>
      <w:r w:rsidRPr="00F55940">
        <w:rPr>
          <w:rStyle w:val="HideTWBExt"/>
          <w:lang w:val="en-GB"/>
        </w:rPr>
        <w:t>&lt;/Amend&gt;</w:t>
      </w:r>
    </w:p>
    <w:p w14:paraId="219B8B07"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54</w:t>
      </w:r>
      <w:r w:rsidRPr="00F55940">
        <w:rPr>
          <w:rStyle w:val="HideTWBExt"/>
          <w:lang w:val="pt-BR"/>
        </w:rPr>
        <w:t>&lt;/NumAm&gt;</w:t>
      </w:r>
    </w:p>
    <w:p w14:paraId="67314D54"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54</w:t>
      </w:r>
      <w:r w:rsidRPr="00F55940">
        <w:rPr>
          <w:rStyle w:val="HideTWBExt"/>
          <w:lang w:val="en-GB"/>
        </w:rPr>
        <w:t>&lt;/NumAm&gt;</w:t>
      </w:r>
    </w:p>
    <w:p w14:paraId="69707BC9"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1B49B9EB"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766E356C" w14:textId="77777777" w:rsidR="00AB098C" w:rsidRPr="00F55940" w:rsidRDefault="00F55940">
      <w:pPr>
        <w:pStyle w:val="NormalBold"/>
        <w:rPr>
          <w:lang w:val="en-GB"/>
        </w:rPr>
      </w:pPr>
      <w:r w:rsidRPr="00F55940">
        <w:rPr>
          <w:rStyle w:val="HideTWBExt"/>
          <w:b w:val="0"/>
          <w:lang w:val="en-GB"/>
        </w:rPr>
        <w:t>&lt;/By&gt;&lt;/RepeatBlock-By&gt;</w:t>
      </w:r>
    </w:p>
    <w:p w14:paraId="7D047441"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2EECE3EA" w14:textId="77777777" w:rsidR="00AB098C" w:rsidRPr="00133B2E" w:rsidRDefault="00F55940">
      <w:pPr>
        <w:pStyle w:val="NormalBold"/>
      </w:pPr>
      <w:r>
        <w:rPr>
          <w:rStyle w:val="HideTWBExt"/>
        </w:rPr>
        <w:t>&lt;Rapporteur&gt;</w:t>
      </w:r>
      <w:r>
        <w:t>Julien Sanchez</w:t>
      </w:r>
      <w:r>
        <w:rPr>
          <w:rStyle w:val="HideTWBExt"/>
        </w:rPr>
        <w:t>&lt;/Rapporteur&gt;</w:t>
      </w:r>
    </w:p>
    <w:p w14:paraId="50F05D0D" w14:textId="50C0726E" w:rsidR="00AB098C" w:rsidRPr="00133B2E" w:rsidRDefault="00F55940">
      <w:r>
        <w:rPr>
          <w:rStyle w:val="HideTWBExt"/>
        </w:rPr>
        <w:t>&lt;Titre&gt;</w:t>
      </w:r>
      <w:r>
        <w:t>Protection des intérêts financiers de l’Union européenne – lutte contre la fraude – rapport annuel 2024</w:t>
      </w:r>
      <w:r>
        <w:rPr>
          <w:rStyle w:val="HideTWBExt"/>
        </w:rPr>
        <w:t>&lt;/Titre&gt;</w:t>
      </w:r>
    </w:p>
    <w:p w14:paraId="302E9BC8" w14:textId="77777777" w:rsidR="00AB098C" w:rsidRPr="00133B2E" w:rsidRDefault="00F55940">
      <w:pPr>
        <w:pStyle w:val="Normal12a"/>
      </w:pPr>
      <w:r>
        <w:rPr>
          <w:rStyle w:val="HideTWBExt"/>
        </w:rPr>
        <w:t>&lt;DocRef&gt;</w:t>
      </w:r>
      <w:r>
        <w:t>(2025/2238(INI))</w:t>
      </w:r>
      <w:r>
        <w:rPr>
          <w:rStyle w:val="HideTWBExt"/>
        </w:rPr>
        <w:t>&lt;/DocRef&gt;</w:t>
      </w:r>
    </w:p>
    <w:p w14:paraId="071B1C41" w14:textId="77777777" w:rsidR="00AB098C" w:rsidRPr="00133B2E" w:rsidRDefault="00F55940">
      <w:pPr>
        <w:pStyle w:val="NormalBold"/>
      </w:pPr>
      <w:r>
        <w:rPr>
          <w:rStyle w:val="HideTWBExt"/>
        </w:rPr>
        <w:t>&lt;DocAmend&gt;</w:t>
      </w:r>
      <w:r>
        <w:t>Proposition de résolution</w:t>
      </w:r>
      <w:r>
        <w:rPr>
          <w:rStyle w:val="HideTWBExt"/>
        </w:rPr>
        <w:t>&lt;/DocAmend&gt;</w:t>
      </w:r>
    </w:p>
    <w:p w14:paraId="36179FDD" w14:textId="77777777" w:rsidR="00AB098C" w:rsidRPr="00133B2E" w:rsidRDefault="00F55940">
      <w:pPr>
        <w:pStyle w:val="NormalBold"/>
      </w:pPr>
      <w:r>
        <w:rPr>
          <w:rStyle w:val="HideTWBExt"/>
        </w:rPr>
        <w:t>&lt;Article&gt;</w:t>
      </w:r>
      <w:r>
        <w:t>Paragraphe 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54AF2CE3" w14:textId="77777777">
        <w:trPr>
          <w:trHeight w:hRule="exact" w:val="240"/>
          <w:jc w:val="center"/>
        </w:trPr>
        <w:tc>
          <w:tcPr>
            <w:tcW w:w="9752" w:type="dxa"/>
            <w:gridSpan w:val="2"/>
            <w:tcBorders>
              <w:top w:val="nil"/>
              <w:left w:val="nil"/>
              <w:bottom w:val="nil"/>
              <w:right w:val="nil"/>
            </w:tcBorders>
          </w:tcPr>
          <w:p w14:paraId="435CA83E" w14:textId="77777777" w:rsidR="00AB098C" w:rsidRPr="00133B2E" w:rsidRDefault="00AB098C"/>
        </w:tc>
      </w:tr>
      <w:tr w:rsidR="000F072C" w14:paraId="5BFEF2D6" w14:textId="77777777">
        <w:trPr>
          <w:trHeight w:val="240"/>
          <w:jc w:val="center"/>
        </w:trPr>
        <w:tc>
          <w:tcPr>
            <w:tcW w:w="4876" w:type="dxa"/>
            <w:tcBorders>
              <w:top w:val="nil"/>
              <w:left w:val="nil"/>
              <w:bottom w:val="nil"/>
              <w:right w:val="nil"/>
            </w:tcBorders>
          </w:tcPr>
          <w:p w14:paraId="5F59DC8D"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156EF022" w14:textId="77777777" w:rsidR="00AB098C" w:rsidRPr="00133B2E" w:rsidRDefault="00F55940">
            <w:pPr>
              <w:pStyle w:val="AmColumnHeading"/>
            </w:pPr>
            <w:r>
              <w:t>Amendement</w:t>
            </w:r>
          </w:p>
        </w:tc>
      </w:tr>
      <w:tr w:rsidR="000F072C" w14:paraId="4ADC2E69" w14:textId="77777777">
        <w:trPr>
          <w:jc w:val="center"/>
        </w:trPr>
        <w:tc>
          <w:tcPr>
            <w:tcW w:w="4876" w:type="dxa"/>
            <w:tcBorders>
              <w:top w:val="nil"/>
              <w:left w:val="nil"/>
              <w:bottom w:val="nil"/>
              <w:right w:val="nil"/>
            </w:tcBorders>
          </w:tcPr>
          <w:p w14:paraId="5EB6D534" w14:textId="77777777" w:rsidR="00AB098C" w:rsidRPr="00133B2E" w:rsidRDefault="00AB098C">
            <w:pPr>
              <w:pStyle w:val="Normal6a"/>
            </w:pPr>
          </w:p>
        </w:tc>
        <w:tc>
          <w:tcPr>
            <w:tcW w:w="4876" w:type="dxa"/>
            <w:tcBorders>
              <w:top w:val="nil"/>
              <w:left w:val="nil"/>
              <w:bottom w:val="nil"/>
              <w:right w:val="nil"/>
            </w:tcBorders>
          </w:tcPr>
          <w:p w14:paraId="271E2773" w14:textId="583C3293" w:rsidR="00AB098C" w:rsidRPr="00133B2E" w:rsidRDefault="00F55940">
            <w:pPr>
              <w:pStyle w:val="Normal6a"/>
            </w:pPr>
            <w:r>
              <w:rPr>
                <w:b/>
                <w:i/>
              </w:rPr>
              <w:t>3 bis.</w:t>
            </w:r>
            <w:r>
              <w:tab/>
            </w:r>
            <w:r>
              <w:rPr>
                <w:b/>
                <w:i/>
              </w:rPr>
              <w:t xml:space="preserve">constate avec une vive inquiétude la détérioration continue de l’état de droit dans certains États membres, en particulier en Hongrie, où des risques systémiques pour les intérêts financiers de l’Union ont été </w:t>
            </w:r>
            <w:r>
              <w:rPr>
                <w:b/>
                <w:i/>
              </w:rPr>
              <w:t>recensés à plusieurs reprises, notamment par la Cour des comptes européenne, l’OLAF et le Parquet européen; rappelle qu’en décembre 2022, le Conseil a suspendu 6,3 milliards d’euros de fonds de cohésion en faveur de la Hongrie au titre du règlement sur la conditionnalité, et que des montants importants restent gelés en raison de préoccupations non résolues concernant les marchés publics et les cadres de lutte contre la corruption; souligne que ces conclusions ne sont pas politiques mais fondées sur des preu</w:t>
            </w:r>
            <w:r>
              <w:rPr>
                <w:b/>
                <w:i/>
              </w:rPr>
              <w:t>ves objectives, documentées et vérifiées à plusieurs reprises; réaffirme que la conditionnalité liée à l’état de droit n’est pas un instrument politique, mais une garantie pour le budget de l’Union, qui doit être appliquée de manière cohérente chaque fois que des risques se matérialisent;</w:t>
            </w:r>
          </w:p>
        </w:tc>
      </w:tr>
    </w:tbl>
    <w:p w14:paraId="7BED3E7E" w14:textId="77777777" w:rsidR="00AB098C" w:rsidRPr="00F55940" w:rsidRDefault="00F55940">
      <w:pPr>
        <w:pStyle w:val="AmOrLang"/>
        <w:rPr>
          <w:lang w:val="en-GB"/>
        </w:rPr>
      </w:pPr>
      <w:r w:rsidRPr="00F55940">
        <w:rPr>
          <w:lang w:val="en-GB"/>
        </w:rPr>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57836B7F" w14:textId="77777777" w:rsidR="00AB098C" w:rsidRPr="00F55940" w:rsidRDefault="00F55940">
      <w:pPr>
        <w:rPr>
          <w:lang w:val="en-GB"/>
        </w:rPr>
        <w:sectPr w:rsidR="00AB098C" w:rsidRPr="00F55940">
          <w:pgSz w:w="11909" w:h="16834"/>
          <w:pgMar w:top="1134" w:right="1417" w:bottom="1417" w:left="1417" w:header="1134" w:footer="567" w:gutter="0"/>
          <w:cols w:space="720"/>
        </w:sectPr>
      </w:pPr>
      <w:r w:rsidRPr="00F55940">
        <w:rPr>
          <w:rStyle w:val="HideTWBExt"/>
          <w:lang w:val="en-GB"/>
        </w:rPr>
        <w:t>&lt;/Amend&gt;</w:t>
      </w:r>
    </w:p>
    <w:p w14:paraId="67BFCD90"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55</w:t>
      </w:r>
      <w:r w:rsidRPr="00F55940">
        <w:rPr>
          <w:rStyle w:val="HideTWBExt"/>
          <w:lang w:val="pt-BR"/>
        </w:rPr>
        <w:t>&lt;/NumAm&gt;</w:t>
      </w:r>
    </w:p>
    <w:p w14:paraId="443DF2C4"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55</w:t>
      </w:r>
      <w:r w:rsidRPr="00F55940">
        <w:rPr>
          <w:rStyle w:val="HideTWBExt"/>
          <w:lang w:val="en-GB"/>
        </w:rPr>
        <w:t>&lt;/NumAm&gt;</w:t>
      </w:r>
    </w:p>
    <w:p w14:paraId="179720CC"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1BD1F28D"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6052C6CA" w14:textId="77777777" w:rsidR="00AB098C" w:rsidRPr="00F55940" w:rsidRDefault="00F55940">
      <w:pPr>
        <w:pStyle w:val="NormalBold"/>
        <w:rPr>
          <w:lang w:val="en-GB"/>
        </w:rPr>
      </w:pPr>
      <w:r w:rsidRPr="00F55940">
        <w:rPr>
          <w:rStyle w:val="HideTWBExt"/>
          <w:b w:val="0"/>
          <w:lang w:val="en-GB"/>
        </w:rPr>
        <w:t>&lt;/By&gt;&lt;/RepeatBlock-By&gt;</w:t>
      </w:r>
    </w:p>
    <w:p w14:paraId="62A11CBB"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59D81A9B" w14:textId="77777777" w:rsidR="00AB098C" w:rsidRPr="00133B2E" w:rsidRDefault="00F55940">
      <w:pPr>
        <w:pStyle w:val="NormalBold"/>
      </w:pPr>
      <w:r>
        <w:rPr>
          <w:rStyle w:val="HideTWBExt"/>
        </w:rPr>
        <w:t>&lt;Rapporteur&gt;</w:t>
      </w:r>
      <w:r>
        <w:t>Julien Sanchez</w:t>
      </w:r>
      <w:r>
        <w:rPr>
          <w:rStyle w:val="HideTWBExt"/>
        </w:rPr>
        <w:t>&lt;/Rapporteur&gt;</w:t>
      </w:r>
    </w:p>
    <w:p w14:paraId="5281A2FF" w14:textId="2D351118" w:rsidR="00AB098C" w:rsidRPr="00133B2E" w:rsidRDefault="00F55940">
      <w:r>
        <w:rPr>
          <w:rStyle w:val="HideTWBExt"/>
        </w:rPr>
        <w:t>&lt;Titre&gt;</w:t>
      </w:r>
      <w:r>
        <w:t xml:space="preserve">Protection des intérêts financiers de l’Union européenne – lutte contre la </w:t>
      </w:r>
      <w:r>
        <w:t>fraude – rapport annuel 2024</w:t>
      </w:r>
      <w:r>
        <w:rPr>
          <w:rStyle w:val="HideTWBExt"/>
        </w:rPr>
        <w:t>&lt;/Titre&gt;</w:t>
      </w:r>
    </w:p>
    <w:p w14:paraId="5256DFAF" w14:textId="77777777" w:rsidR="00AB098C" w:rsidRPr="00133B2E" w:rsidRDefault="00F55940">
      <w:pPr>
        <w:pStyle w:val="Normal12a"/>
      </w:pPr>
      <w:r>
        <w:rPr>
          <w:rStyle w:val="HideTWBExt"/>
        </w:rPr>
        <w:t>&lt;DocRef&gt;</w:t>
      </w:r>
      <w:r>
        <w:t>(2025/2238(INI))</w:t>
      </w:r>
      <w:r>
        <w:rPr>
          <w:rStyle w:val="HideTWBExt"/>
        </w:rPr>
        <w:t>&lt;/DocRef&gt;</w:t>
      </w:r>
    </w:p>
    <w:p w14:paraId="69D02E9D" w14:textId="77777777" w:rsidR="00AB098C" w:rsidRPr="00133B2E" w:rsidRDefault="00F55940">
      <w:pPr>
        <w:pStyle w:val="NormalBold"/>
      </w:pPr>
      <w:r>
        <w:rPr>
          <w:rStyle w:val="HideTWBExt"/>
        </w:rPr>
        <w:t>&lt;DocAmend&gt;</w:t>
      </w:r>
      <w:r>
        <w:t>Proposition de résolution</w:t>
      </w:r>
      <w:r>
        <w:rPr>
          <w:rStyle w:val="HideTWBExt"/>
        </w:rPr>
        <w:t>&lt;/DocAmend&gt;</w:t>
      </w:r>
    </w:p>
    <w:p w14:paraId="72992868" w14:textId="77777777" w:rsidR="00AB098C" w:rsidRPr="00133B2E" w:rsidRDefault="00F55940">
      <w:pPr>
        <w:pStyle w:val="NormalBold"/>
      </w:pPr>
      <w:r>
        <w:rPr>
          <w:rStyle w:val="HideTWBExt"/>
        </w:rPr>
        <w:t>&lt;Article&gt;</w:t>
      </w:r>
      <w:r>
        <w:t>Paragraphe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1367AD2B" w14:textId="77777777">
        <w:trPr>
          <w:trHeight w:hRule="exact" w:val="240"/>
          <w:jc w:val="center"/>
        </w:trPr>
        <w:tc>
          <w:tcPr>
            <w:tcW w:w="9752" w:type="dxa"/>
            <w:gridSpan w:val="2"/>
            <w:tcBorders>
              <w:top w:val="nil"/>
              <w:left w:val="nil"/>
              <w:bottom w:val="nil"/>
              <w:right w:val="nil"/>
            </w:tcBorders>
          </w:tcPr>
          <w:p w14:paraId="78B002C8" w14:textId="77777777" w:rsidR="00AB098C" w:rsidRPr="00133B2E" w:rsidRDefault="00AB098C"/>
        </w:tc>
      </w:tr>
      <w:tr w:rsidR="000F072C" w14:paraId="69E23460" w14:textId="77777777">
        <w:trPr>
          <w:trHeight w:val="240"/>
          <w:jc w:val="center"/>
        </w:trPr>
        <w:tc>
          <w:tcPr>
            <w:tcW w:w="4876" w:type="dxa"/>
            <w:tcBorders>
              <w:top w:val="nil"/>
              <w:left w:val="nil"/>
              <w:bottom w:val="nil"/>
              <w:right w:val="nil"/>
            </w:tcBorders>
          </w:tcPr>
          <w:p w14:paraId="0B6AFD80"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228BD7CA" w14:textId="77777777" w:rsidR="00AB098C" w:rsidRPr="00133B2E" w:rsidRDefault="00F55940">
            <w:pPr>
              <w:pStyle w:val="AmColumnHeading"/>
            </w:pPr>
            <w:r>
              <w:t>Amendement</w:t>
            </w:r>
          </w:p>
        </w:tc>
      </w:tr>
      <w:tr w:rsidR="000F072C" w14:paraId="4CCF76E6" w14:textId="77777777">
        <w:trPr>
          <w:jc w:val="center"/>
        </w:trPr>
        <w:tc>
          <w:tcPr>
            <w:tcW w:w="4876" w:type="dxa"/>
            <w:tcBorders>
              <w:top w:val="nil"/>
              <w:left w:val="nil"/>
              <w:bottom w:val="nil"/>
              <w:right w:val="nil"/>
            </w:tcBorders>
          </w:tcPr>
          <w:p w14:paraId="26003878" w14:textId="77777777" w:rsidR="00AB098C" w:rsidRPr="00133B2E" w:rsidRDefault="00AB098C">
            <w:pPr>
              <w:pStyle w:val="Normal6a"/>
            </w:pPr>
          </w:p>
        </w:tc>
        <w:tc>
          <w:tcPr>
            <w:tcW w:w="4876" w:type="dxa"/>
            <w:tcBorders>
              <w:top w:val="nil"/>
              <w:left w:val="nil"/>
              <w:bottom w:val="nil"/>
              <w:right w:val="nil"/>
            </w:tcBorders>
          </w:tcPr>
          <w:p w14:paraId="71831527" w14:textId="0CB06975" w:rsidR="00AB098C" w:rsidRPr="00133B2E" w:rsidRDefault="00F55940">
            <w:pPr>
              <w:pStyle w:val="Normal6a"/>
            </w:pPr>
            <w:r>
              <w:rPr>
                <w:b/>
                <w:i/>
              </w:rPr>
              <w:t>25 bis.</w:t>
            </w:r>
            <w:r>
              <w:tab/>
            </w:r>
            <w:r>
              <w:rPr>
                <w:b/>
                <w:i/>
              </w:rPr>
              <w:t xml:space="preserve">prend acte du rôle essentiel joué par </w:t>
            </w:r>
            <w:r>
              <w:rPr>
                <w:b/>
                <w:i/>
              </w:rPr>
              <w:t>les organisations de la société civile, les organisations non gouvernementales et les syndicats dans le suivi de l’utilisation des fonds de l’Union, le signalement des soupçons de fraude, le soutien aux lanceurs d’alerte et l’exercice d’un contrôle indépendant qui complète le travail des organes antifraude de l’Union; rejette toute tentative d’instrumentalisation des préoccupations relatives à l’utilisation des fonds de l’Union par des organisations non gouvernementales pour justifier des restrictions génér</w:t>
            </w:r>
            <w:r>
              <w:rPr>
                <w:b/>
                <w:i/>
              </w:rPr>
              <w:t>alisées à l’égard de la société civile; rappelle que les restrictions disproportionnées imposées aux organisations de la société civile constituent elles-mêmes un signal d’alarme pour la détérioration de l’état de droit;</w:t>
            </w:r>
          </w:p>
        </w:tc>
      </w:tr>
    </w:tbl>
    <w:p w14:paraId="4E11279A" w14:textId="77777777" w:rsidR="00AB098C" w:rsidRPr="00F55940" w:rsidRDefault="00F55940">
      <w:pPr>
        <w:pStyle w:val="AmOrLang"/>
        <w:rPr>
          <w:lang w:val="en-GB"/>
        </w:rPr>
      </w:pPr>
      <w:r w:rsidRPr="00F55940">
        <w:rPr>
          <w:lang w:val="en-GB"/>
        </w:rPr>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032914D1" w14:textId="77777777" w:rsidR="00AB098C" w:rsidRPr="00F55940" w:rsidRDefault="00F55940">
      <w:pPr>
        <w:rPr>
          <w:lang w:val="en-GB"/>
        </w:rPr>
        <w:sectPr w:rsidR="00AB098C" w:rsidRPr="00F55940">
          <w:pgSz w:w="11909" w:h="16834"/>
          <w:pgMar w:top="1134" w:right="1417" w:bottom="1417" w:left="1417" w:header="1134" w:footer="567" w:gutter="0"/>
          <w:cols w:space="720"/>
        </w:sectPr>
      </w:pPr>
      <w:r w:rsidRPr="00F55940">
        <w:rPr>
          <w:rStyle w:val="HideTWBExt"/>
          <w:lang w:val="en-GB"/>
        </w:rPr>
        <w:t>&lt;/Amend&gt;</w:t>
      </w:r>
    </w:p>
    <w:p w14:paraId="5A104F8B"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56</w:t>
      </w:r>
      <w:r w:rsidRPr="00F55940">
        <w:rPr>
          <w:rStyle w:val="HideTWBExt"/>
          <w:lang w:val="pt-BR"/>
        </w:rPr>
        <w:t>&lt;/NumAm&gt;</w:t>
      </w:r>
    </w:p>
    <w:p w14:paraId="3EC87B7D"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56</w:t>
      </w:r>
      <w:r w:rsidRPr="00F55940">
        <w:rPr>
          <w:rStyle w:val="HideTWBExt"/>
          <w:lang w:val="en-GB"/>
        </w:rPr>
        <w:t>&lt;/NumAm&gt;</w:t>
      </w:r>
    </w:p>
    <w:p w14:paraId="2C363BC9"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37A04B89"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1B7EA57B" w14:textId="77777777" w:rsidR="00AB098C" w:rsidRPr="00F55940" w:rsidRDefault="00F55940">
      <w:pPr>
        <w:pStyle w:val="NormalBold"/>
        <w:rPr>
          <w:lang w:val="en-GB"/>
        </w:rPr>
      </w:pPr>
      <w:r w:rsidRPr="00F55940">
        <w:rPr>
          <w:rStyle w:val="HideTWBExt"/>
          <w:b w:val="0"/>
          <w:lang w:val="en-GB"/>
        </w:rPr>
        <w:t>&lt;/By&gt;&lt;/RepeatBlock-By&gt;</w:t>
      </w:r>
    </w:p>
    <w:p w14:paraId="649F29F0"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4918B640" w14:textId="77777777" w:rsidR="00AB098C" w:rsidRPr="00133B2E" w:rsidRDefault="00F55940">
      <w:pPr>
        <w:pStyle w:val="NormalBold"/>
      </w:pPr>
      <w:r>
        <w:rPr>
          <w:rStyle w:val="HideTWBExt"/>
        </w:rPr>
        <w:t>&lt;Rapporteur&gt;</w:t>
      </w:r>
      <w:r>
        <w:t>Julien Sanchez</w:t>
      </w:r>
      <w:r>
        <w:rPr>
          <w:rStyle w:val="HideTWBExt"/>
        </w:rPr>
        <w:t>&lt;/Rapporteur&gt;</w:t>
      </w:r>
    </w:p>
    <w:p w14:paraId="54149BD3" w14:textId="37F21427" w:rsidR="00AB098C" w:rsidRPr="00133B2E" w:rsidRDefault="00F55940">
      <w:r>
        <w:rPr>
          <w:rStyle w:val="HideTWBExt"/>
        </w:rPr>
        <w:t>&lt;Titre&gt;</w:t>
      </w:r>
      <w:r>
        <w:t>Protection des intérêts financiers de l’Union européenne – lutte contre la fraude – rapport annuel 2024</w:t>
      </w:r>
      <w:r>
        <w:rPr>
          <w:rStyle w:val="HideTWBExt"/>
        </w:rPr>
        <w:t>&lt;/Titre&gt;</w:t>
      </w:r>
    </w:p>
    <w:p w14:paraId="35AAE10B" w14:textId="77777777" w:rsidR="00AB098C" w:rsidRPr="00133B2E" w:rsidRDefault="00F55940">
      <w:pPr>
        <w:pStyle w:val="Normal12a"/>
      </w:pPr>
      <w:r>
        <w:rPr>
          <w:rStyle w:val="HideTWBExt"/>
        </w:rPr>
        <w:t>&lt;DocRef&gt;</w:t>
      </w:r>
      <w:r>
        <w:t>(2025/2238(INI))</w:t>
      </w:r>
      <w:r>
        <w:rPr>
          <w:rStyle w:val="HideTWBExt"/>
        </w:rPr>
        <w:t>&lt;/DocRef&gt;</w:t>
      </w:r>
    </w:p>
    <w:p w14:paraId="77883258" w14:textId="77777777" w:rsidR="00AB098C" w:rsidRPr="00133B2E" w:rsidRDefault="00F55940">
      <w:pPr>
        <w:pStyle w:val="NormalBold"/>
      </w:pPr>
      <w:r>
        <w:rPr>
          <w:rStyle w:val="HideTWBExt"/>
        </w:rPr>
        <w:t>&lt;DocAmend&gt;</w:t>
      </w:r>
      <w:r>
        <w:t>Proposition de résolution</w:t>
      </w:r>
      <w:r>
        <w:rPr>
          <w:rStyle w:val="HideTWBExt"/>
        </w:rPr>
        <w:t>&lt;/DocAmend&gt;</w:t>
      </w:r>
    </w:p>
    <w:p w14:paraId="3F004185" w14:textId="77777777" w:rsidR="00AB098C" w:rsidRPr="00133B2E" w:rsidRDefault="00F55940">
      <w:pPr>
        <w:pStyle w:val="NormalBold"/>
      </w:pPr>
      <w:r>
        <w:rPr>
          <w:rStyle w:val="HideTWBExt"/>
        </w:rPr>
        <w:t>&lt;Article&gt;</w:t>
      </w:r>
      <w:r>
        <w:t>Paragraphe 43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7A097F21" w14:textId="77777777">
        <w:trPr>
          <w:trHeight w:hRule="exact" w:val="240"/>
          <w:jc w:val="center"/>
        </w:trPr>
        <w:tc>
          <w:tcPr>
            <w:tcW w:w="9752" w:type="dxa"/>
            <w:gridSpan w:val="2"/>
            <w:tcBorders>
              <w:top w:val="nil"/>
              <w:left w:val="nil"/>
              <w:bottom w:val="nil"/>
              <w:right w:val="nil"/>
            </w:tcBorders>
          </w:tcPr>
          <w:p w14:paraId="07DE665C" w14:textId="77777777" w:rsidR="00AB098C" w:rsidRPr="00133B2E" w:rsidRDefault="00AB098C"/>
        </w:tc>
      </w:tr>
      <w:tr w:rsidR="000F072C" w14:paraId="6AA85220" w14:textId="77777777">
        <w:trPr>
          <w:trHeight w:val="240"/>
          <w:jc w:val="center"/>
        </w:trPr>
        <w:tc>
          <w:tcPr>
            <w:tcW w:w="4876" w:type="dxa"/>
            <w:tcBorders>
              <w:top w:val="nil"/>
              <w:left w:val="nil"/>
              <w:bottom w:val="nil"/>
              <w:right w:val="nil"/>
            </w:tcBorders>
          </w:tcPr>
          <w:p w14:paraId="595F1F88"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314978B4" w14:textId="77777777" w:rsidR="00AB098C" w:rsidRPr="00133B2E" w:rsidRDefault="00F55940">
            <w:pPr>
              <w:pStyle w:val="AmColumnHeading"/>
            </w:pPr>
            <w:r>
              <w:t>Amendement</w:t>
            </w:r>
          </w:p>
        </w:tc>
      </w:tr>
      <w:tr w:rsidR="000F072C" w14:paraId="540177D3" w14:textId="77777777">
        <w:trPr>
          <w:jc w:val="center"/>
        </w:trPr>
        <w:tc>
          <w:tcPr>
            <w:tcW w:w="4876" w:type="dxa"/>
            <w:tcBorders>
              <w:top w:val="nil"/>
              <w:left w:val="nil"/>
              <w:bottom w:val="nil"/>
              <w:right w:val="nil"/>
            </w:tcBorders>
          </w:tcPr>
          <w:p w14:paraId="5663936E" w14:textId="77777777" w:rsidR="00AB098C" w:rsidRPr="00133B2E" w:rsidRDefault="00AB098C">
            <w:pPr>
              <w:pStyle w:val="Normal6a"/>
            </w:pPr>
          </w:p>
        </w:tc>
        <w:tc>
          <w:tcPr>
            <w:tcW w:w="4876" w:type="dxa"/>
            <w:tcBorders>
              <w:top w:val="nil"/>
              <w:left w:val="nil"/>
              <w:bottom w:val="nil"/>
              <w:right w:val="nil"/>
            </w:tcBorders>
          </w:tcPr>
          <w:p w14:paraId="451BBBD3" w14:textId="37E9973A" w:rsidR="00AB098C" w:rsidRPr="00133B2E" w:rsidRDefault="00F55940">
            <w:pPr>
              <w:pStyle w:val="Normal6a"/>
            </w:pPr>
            <w:r>
              <w:rPr>
                <w:b/>
                <w:i/>
              </w:rPr>
              <w:t>43 bis.</w:t>
            </w:r>
            <w:r>
              <w:tab/>
            </w:r>
            <w:r>
              <w:rPr>
                <w:b/>
                <w:i/>
              </w:rPr>
              <w:t xml:space="preserve">souligne que les campagnes de désinformation fondées sur l’IA ciblant les </w:t>
            </w:r>
            <w:r>
              <w:rPr>
                <w:b/>
                <w:i/>
              </w:rPr>
              <w:t>institutions de l’Union, y compris les contenus coordonnés conçus pour saper la confiance dans les organismes de lutte contre la fraude, le budget de l’Union et l’état de droit, représentent un risque direct pour les intérêts financiers de l’Union en érodant le soutien public aux mécanismes de protection et en couvrant les pratiques frauduleuses; invite la Commission, en coopération avec l’OLAF, le Parquet européen et Europol, à développer des capacités à l’échelle de l’Union pour détecter, documenter et co</w:t>
            </w:r>
            <w:r>
              <w:rPr>
                <w:b/>
                <w:i/>
              </w:rPr>
              <w:t>ntrer les campagnes de désinformation fondées sur l’IA ciblant la gouvernance financière de l’Union;</w:t>
            </w:r>
          </w:p>
        </w:tc>
      </w:tr>
    </w:tbl>
    <w:p w14:paraId="575EC240" w14:textId="77777777" w:rsidR="00AB098C" w:rsidRPr="00F55940" w:rsidRDefault="00F55940">
      <w:pPr>
        <w:pStyle w:val="AmOrLang"/>
        <w:rPr>
          <w:lang w:val="en-GB"/>
        </w:rPr>
      </w:pPr>
      <w:r w:rsidRPr="00F55940">
        <w:rPr>
          <w:lang w:val="en-GB"/>
        </w:rPr>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694F00F7" w14:textId="77777777" w:rsidR="00AB098C" w:rsidRPr="00F55940" w:rsidRDefault="00F55940">
      <w:pPr>
        <w:rPr>
          <w:lang w:val="en-GB"/>
        </w:rPr>
        <w:sectPr w:rsidR="00AB098C" w:rsidRPr="00F55940">
          <w:pgSz w:w="11909" w:h="16834"/>
          <w:pgMar w:top="1134" w:right="1417" w:bottom="1417" w:left="1417" w:header="1134" w:footer="567" w:gutter="0"/>
          <w:cols w:space="720"/>
        </w:sectPr>
      </w:pPr>
      <w:r w:rsidRPr="00F55940">
        <w:rPr>
          <w:rStyle w:val="HideTWBExt"/>
          <w:lang w:val="en-GB"/>
        </w:rPr>
        <w:t>&lt;/Amend&gt;</w:t>
      </w:r>
    </w:p>
    <w:p w14:paraId="16E4FD44"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57</w:t>
      </w:r>
      <w:r w:rsidRPr="00F55940">
        <w:rPr>
          <w:rStyle w:val="HideTWBExt"/>
          <w:lang w:val="pt-BR"/>
        </w:rPr>
        <w:t>&lt;/NumAm&gt;</w:t>
      </w:r>
    </w:p>
    <w:p w14:paraId="69D4E501"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57</w:t>
      </w:r>
      <w:r w:rsidRPr="00F55940">
        <w:rPr>
          <w:rStyle w:val="HideTWBExt"/>
          <w:lang w:val="en-GB"/>
        </w:rPr>
        <w:t>&lt;/NumAm&gt;</w:t>
      </w:r>
    </w:p>
    <w:p w14:paraId="27624642"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002E253A"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0556CDFB" w14:textId="77777777" w:rsidR="00AB098C" w:rsidRPr="00F55940" w:rsidRDefault="00F55940">
      <w:pPr>
        <w:pStyle w:val="NormalBold"/>
        <w:rPr>
          <w:lang w:val="en-GB"/>
        </w:rPr>
      </w:pPr>
      <w:r w:rsidRPr="00F55940">
        <w:rPr>
          <w:rStyle w:val="HideTWBExt"/>
          <w:b w:val="0"/>
          <w:lang w:val="en-GB"/>
        </w:rPr>
        <w:t>&lt;/By&gt;&lt;/RepeatBlock-By&gt;</w:t>
      </w:r>
    </w:p>
    <w:p w14:paraId="6E28DA98"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3056DB36" w14:textId="77777777" w:rsidR="00AB098C" w:rsidRPr="00133B2E" w:rsidRDefault="00F55940">
      <w:pPr>
        <w:pStyle w:val="NormalBold"/>
      </w:pPr>
      <w:r>
        <w:rPr>
          <w:rStyle w:val="HideTWBExt"/>
        </w:rPr>
        <w:t>&lt;Rapporteur&gt;</w:t>
      </w:r>
      <w:r>
        <w:t>Julien Sanchez</w:t>
      </w:r>
      <w:r>
        <w:rPr>
          <w:rStyle w:val="HideTWBExt"/>
        </w:rPr>
        <w:t>&lt;/Rapporteur&gt;</w:t>
      </w:r>
    </w:p>
    <w:p w14:paraId="0F248029" w14:textId="2567AF97" w:rsidR="00AB098C" w:rsidRPr="00133B2E" w:rsidRDefault="00F55940">
      <w:r>
        <w:rPr>
          <w:rStyle w:val="HideTWBExt"/>
        </w:rPr>
        <w:t>&lt;Titre&gt;</w:t>
      </w:r>
      <w:r>
        <w:t>Protection des intérêts financiers de l’Union européenne – lutte contre la fraude – rapport annuel 2024</w:t>
      </w:r>
      <w:r>
        <w:rPr>
          <w:rStyle w:val="HideTWBExt"/>
        </w:rPr>
        <w:t>&lt;/Titre&gt;</w:t>
      </w:r>
    </w:p>
    <w:p w14:paraId="06555AB2" w14:textId="77777777" w:rsidR="00AB098C" w:rsidRPr="00133B2E" w:rsidRDefault="00F55940">
      <w:pPr>
        <w:pStyle w:val="Normal12a"/>
      </w:pPr>
      <w:r>
        <w:rPr>
          <w:rStyle w:val="HideTWBExt"/>
        </w:rPr>
        <w:t>&lt;DocRef&gt;</w:t>
      </w:r>
      <w:r>
        <w:t>(2025/2238(INI))</w:t>
      </w:r>
      <w:r>
        <w:rPr>
          <w:rStyle w:val="HideTWBExt"/>
        </w:rPr>
        <w:t>&lt;/DocRef&gt;</w:t>
      </w:r>
    </w:p>
    <w:p w14:paraId="1385222D" w14:textId="77777777" w:rsidR="00AB098C" w:rsidRPr="00133B2E" w:rsidRDefault="00F55940">
      <w:pPr>
        <w:pStyle w:val="NormalBold"/>
      </w:pPr>
      <w:r>
        <w:rPr>
          <w:rStyle w:val="HideTWBExt"/>
        </w:rPr>
        <w:t>&lt;DocAmend&gt;</w:t>
      </w:r>
      <w:r>
        <w:t>Proposition de résolution</w:t>
      </w:r>
      <w:r>
        <w:rPr>
          <w:rStyle w:val="HideTWBExt"/>
        </w:rPr>
        <w:t>&lt;/DocAmend&gt;</w:t>
      </w:r>
    </w:p>
    <w:p w14:paraId="757CE512" w14:textId="77777777" w:rsidR="00AB098C" w:rsidRPr="00133B2E" w:rsidRDefault="00F55940">
      <w:pPr>
        <w:pStyle w:val="NormalBold"/>
      </w:pPr>
      <w:r>
        <w:rPr>
          <w:rStyle w:val="HideTWBExt"/>
        </w:rPr>
        <w:t>&lt;Article&gt;</w:t>
      </w:r>
      <w:r>
        <w:t>Paragraphe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1369C1C6" w14:textId="77777777">
        <w:trPr>
          <w:trHeight w:hRule="exact" w:val="240"/>
          <w:jc w:val="center"/>
        </w:trPr>
        <w:tc>
          <w:tcPr>
            <w:tcW w:w="9752" w:type="dxa"/>
            <w:gridSpan w:val="2"/>
            <w:tcBorders>
              <w:top w:val="nil"/>
              <w:left w:val="nil"/>
              <w:bottom w:val="nil"/>
              <w:right w:val="nil"/>
            </w:tcBorders>
          </w:tcPr>
          <w:p w14:paraId="536CE3BE" w14:textId="77777777" w:rsidR="00AB098C" w:rsidRPr="00133B2E" w:rsidRDefault="00AB098C"/>
        </w:tc>
      </w:tr>
      <w:tr w:rsidR="000F072C" w14:paraId="35E7FF05" w14:textId="77777777">
        <w:trPr>
          <w:trHeight w:val="240"/>
          <w:jc w:val="center"/>
        </w:trPr>
        <w:tc>
          <w:tcPr>
            <w:tcW w:w="4876" w:type="dxa"/>
            <w:tcBorders>
              <w:top w:val="nil"/>
              <w:left w:val="nil"/>
              <w:bottom w:val="nil"/>
              <w:right w:val="nil"/>
            </w:tcBorders>
          </w:tcPr>
          <w:p w14:paraId="5B3B82EC" w14:textId="77777777" w:rsidR="00AB098C" w:rsidRPr="00133B2E" w:rsidRDefault="00F55940">
            <w:pPr>
              <w:pStyle w:val="AmColumnHeading"/>
            </w:pPr>
            <w:r>
              <w:t xml:space="preserve">Proposition de </w:t>
            </w:r>
            <w:r>
              <w:t>résolution</w:t>
            </w:r>
          </w:p>
        </w:tc>
        <w:tc>
          <w:tcPr>
            <w:tcW w:w="4876" w:type="dxa"/>
            <w:tcBorders>
              <w:top w:val="nil"/>
              <w:left w:val="nil"/>
              <w:bottom w:val="nil"/>
              <w:right w:val="nil"/>
            </w:tcBorders>
          </w:tcPr>
          <w:p w14:paraId="151A8834" w14:textId="77777777" w:rsidR="00AB098C" w:rsidRPr="00133B2E" w:rsidRDefault="00F55940">
            <w:pPr>
              <w:pStyle w:val="AmColumnHeading"/>
            </w:pPr>
            <w:r>
              <w:t>Amendement</w:t>
            </w:r>
          </w:p>
        </w:tc>
      </w:tr>
      <w:tr w:rsidR="000F072C" w14:paraId="143B3E26" w14:textId="77777777">
        <w:trPr>
          <w:jc w:val="center"/>
        </w:trPr>
        <w:tc>
          <w:tcPr>
            <w:tcW w:w="4876" w:type="dxa"/>
            <w:tcBorders>
              <w:top w:val="nil"/>
              <w:left w:val="nil"/>
              <w:bottom w:val="nil"/>
              <w:right w:val="nil"/>
            </w:tcBorders>
          </w:tcPr>
          <w:p w14:paraId="202F2B46" w14:textId="77777777" w:rsidR="00AB098C" w:rsidRPr="00133B2E" w:rsidRDefault="00F55940">
            <w:pPr>
              <w:pStyle w:val="Normal6a"/>
            </w:pPr>
            <w:r>
              <w:t>53.</w:t>
            </w:r>
            <w:r>
              <w:tab/>
              <w:t xml:space="preserve">rappelle que le mécanisme de conditionnalité budgétaire établi par le règlement sur la conditionnalité est un outil réglementé juridiquement visant à prévenir les risques pour le budget de l’Union; </w:t>
            </w:r>
            <w:r>
              <w:rPr>
                <w:b/>
                <w:i/>
              </w:rPr>
              <w:t>précise</w:t>
            </w:r>
            <w:r>
              <w:t xml:space="preserve"> que </w:t>
            </w:r>
            <w:r>
              <w:rPr>
                <w:b/>
                <w:i/>
              </w:rPr>
              <w:t xml:space="preserve">son </w:t>
            </w:r>
            <w:r>
              <w:rPr>
                <w:b/>
                <w:i/>
              </w:rPr>
              <w:t>application ne peut toutefois être justifiée que s’il existe un lien direct, réel et démontré entre les manquements constatés et le préjudice causé aux</w:t>
            </w:r>
            <w:r>
              <w:t xml:space="preserve"> intérêts financiers de l’Union;</w:t>
            </w:r>
            <w:r>
              <w:rPr>
                <w:b/>
                <w:i/>
              </w:rPr>
              <w:t xml:space="preserve"> se dit préoccupé par le fait que toute extension</w:t>
            </w:r>
            <w:r>
              <w:t xml:space="preserve"> de </w:t>
            </w:r>
            <w:r>
              <w:rPr>
                <w:b/>
                <w:i/>
              </w:rPr>
              <w:t>son</w:t>
            </w:r>
            <w:r>
              <w:t xml:space="preserve"> champ d’application </w:t>
            </w:r>
            <w:r>
              <w:rPr>
                <w:b/>
                <w:i/>
              </w:rPr>
              <w:t>au-delà de cet objectif budgétaire serait contraire à l’esprit des traités et au principe</w:t>
            </w:r>
            <w:r>
              <w:t xml:space="preserve"> de </w:t>
            </w:r>
            <w:r>
              <w:rPr>
                <w:b/>
                <w:i/>
              </w:rPr>
              <w:t>proportionnalité</w:t>
            </w:r>
            <w:r>
              <w:t xml:space="preserve">; </w:t>
            </w:r>
            <w:r>
              <w:rPr>
                <w:b/>
                <w:i/>
              </w:rPr>
              <w:t>ajoute</w:t>
            </w:r>
            <w:r>
              <w:t xml:space="preserve"> que la légitimité de ce mécanisme repose sur une application </w:t>
            </w:r>
            <w:r>
              <w:rPr>
                <w:b/>
                <w:i/>
              </w:rPr>
              <w:t>strictement</w:t>
            </w:r>
            <w:r>
              <w:t xml:space="preserve"> objective, exempte de toute </w:t>
            </w:r>
            <w:r>
              <w:rPr>
                <w:b/>
                <w:i/>
              </w:rPr>
              <w:t>considération politique et respec</w:t>
            </w:r>
            <w:r>
              <w:rPr>
                <w:b/>
                <w:i/>
              </w:rPr>
              <w:t>tueuse de l’égalité de traitement entre les États membres; constate que sa mise en œuvre a soulevé des défis pratiques</w:t>
            </w:r>
            <w:r>
              <w:t xml:space="preserve"> et </w:t>
            </w:r>
            <w:r>
              <w:rPr>
                <w:b/>
                <w:i/>
              </w:rPr>
              <w:t>opérationnels, comme l’a souligné la Cour des comptes européenne dans son rapport spécial 03/2024 sur l’état de droit dans l’Union européenne</w:t>
            </w:r>
            <w:r>
              <w:t xml:space="preserve">; invite la Commission à appliquer le </w:t>
            </w:r>
            <w:r>
              <w:rPr>
                <w:b/>
                <w:i/>
              </w:rPr>
              <w:t>mécanisme</w:t>
            </w:r>
            <w:r>
              <w:t xml:space="preserve"> de manière cohérente et </w:t>
            </w:r>
            <w:r>
              <w:rPr>
                <w:b/>
                <w:i/>
              </w:rPr>
              <w:t>transparente</w:t>
            </w:r>
            <w:r>
              <w:t xml:space="preserve"> sur </w:t>
            </w:r>
            <w:r>
              <w:rPr>
                <w:b/>
                <w:i/>
              </w:rPr>
              <w:t>la base</w:t>
            </w:r>
            <w:r>
              <w:t xml:space="preserve"> de </w:t>
            </w:r>
            <w:r>
              <w:rPr>
                <w:b/>
                <w:i/>
              </w:rPr>
              <w:t>preuves objectives</w:t>
            </w:r>
            <w:r>
              <w:t>;</w:t>
            </w:r>
          </w:p>
        </w:tc>
        <w:tc>
          <w:tcPr>
            <w:tcW w:w="4876" w:type="dxa"/>
            <w:tcBorders>
              <w:top w:val="nil"/>
              <w:left w:val="nil"/>
              <w:bottom w:val="nil"/>
              <w:right w:val="nil"/>
            </w:tcBorders>
          </w:tcPr>
          <w:p w14:paraId="4C9BE8B5" w14:textId="33A03B6B" w:rsidR="00AB098C" w:rsidRPr="00133B2E" w:rsidRDefault="00F55940">
            <w:pPr>
              <w:pStyle w:val="Normal6a"/>
            </w:pPr>
            <w:r>
              <w:t>53.</w:t>
            </w:r>
            <w:r>
              <w:tab/>
              <w:t xml:space="preserve">rappelle que le mécanisme de conditionnalité budgétaire établi par le règlement sur la conditionnalité est un outil réglementé juridiquement visant à prévenir les risques pour le budget de l’Union; </w:t>
            </w:r>
            <w:r>
              <w:rPr>
                <w:b/>
                <w:i/>
              </w:rPr>
              <w:t>réaffirme</w:t>
            </w:r>
            <w:r>
              <w:t xml:space="preserve"> que </w:t>
            </w:r>
            <w:r>
              <w:rPr>
                <w:b/>
                <w:i/>
              </w:rPr>
              <w:t>le règlement sur la conditionnalité est une garantie budgétaire destinée à protéger le budget de l’Union lorsque des violations des principes de l’état de droit compromettent ou risquent sérieusement de compromettre la bonne gestion financière des</w:t>
            </w:r>
            <w:r>
              <w:t xml:space="preserve"> intérêts financiers de l’Union;</w:t>
            </w:r>
            <w:r>
              <w:rPr>
                <w:b/>
                <w:i/>
              </w:rPr>
              <w:t xml:space="preserve"> rappelle que, dans </w:t>
            </w:r>
            <w:r>
              <w:rPr>
                <w:b/>
                <w:i/>
              </w:rPr>
              <w:t>les affaires C-156/21 et C-157/21, la Cour</w:t>
            </w:r>
            <w:r>
              <w:t xml:space="preserve"> de </w:t>
            </w:r>
            <w:r>
              <w:rPr>
                <w:b/>
                <w:i/>
              </w:rPr>
              <w:t>justice a confirmé la légalité du règlement relatif à la conditionnalité et le large</w:t>
            </w:r>
            <w:r>
              <w:t xml:space="preserve"> champ d’application </w:t>
            </w:r>
            <w:r>
              <w:rPr>
                <w:b/>
                <w:i/>
              </w:rPr>
              <w:t>de celui-ci en ce qui concerne la protection du budget de l’Union contre les violations de l’état</w:t>
            </w:r>
            <w:r>
              <w:t xml:space="preserve"> de </w:t>
            </w:r>
            <w:r>
              <w:rPr>
                <w:b/>
                <w:i/>
              </w:rPr>
              <w:t>droit</w:t>
            </w:r>
            <w:r>
              <w:t xml:space="preserve">; </w:t>
            </w:r>
            <w:r>
              <w:rPr>
                <w:b/>
                <w:i/>
              </w:rPr>
              <w:t>observe</w:t>
            </w:r>
            <w:r>
              <w:t xml:space="preserve"> que la légitimité de ce mécanisme repose sur une application objective, exempte de toute </w:t>
            </w:r>
            <w:r>
              <w:rPr>
                <w:b/>
                <w:i/>
              </w:rPr>
              <w:t>politique du «deux poids, deux mesures»; souligne que les lacunes systémiques en matière d’indépendance de la justice, de cadres de lutte contre la corrupti</w:t>
            </w:r>
            <w:r>
              <w:rPr>
                <w:b/>
                <w:i/>
              </w:rPr>
              <w:t>on</w:t>
            </w:r>
            <w:r>
              <w:t xml:space="preserve"> et </w:t>
            </w:r>
            <w:r>
              <w:rPr>
                <w:b/>
                <w:i/>
              </w:rPr>
              <w:t>de capacité de poursuite peuvent constituer un tel risque avant même qu’une perte financière directe et spécifique ne soit quantifiée</w:t>
            </w:r>
            <w:r>
              <w:t xml:space="preserve">; invite la Commission à appliquer le </w:t>
            </w:r>
            <w:r>
              <w:rPr>
                <w:b/>
                <w:i/>
              </w:rPr>
              <w:t xml:space="preserve">règlement relatif à la conditionnalité en </w:t>
            </w:r>
            <w:r>
              <w:rPr>
                <w:b/>
                <w:i/>
              </w:rPr>
              <w:lastRenderedPageBreak/>
              <w:t>temps utile et</w:t>
            </w:r>
            <w:r>
              <w:t xml:space="preserve"> de manière cohérente </w:t>
            </w:r>
            <w:r>
              <w:rPr>
                <w:b/>
                <w:i/>
              </w:rPr>
              <w:t>chaque fois que cette norme est respectée,</w:t>
            </w:r>
            <w:r>
              <w:t xml:space="preserve"> et </w:t>
            </w:r>
            <w:r>
              <w:rPr>
                <w:b/>
                <w:i/>
              </w:rPr>
              <w:t>à faire rapport chaque année au Parlement sur son évaluation des risques pour l’état de droit pesant</w:t>
            </w:r>
            <w:r>
              <w:t xml:space="preserve"> sur </w:t>
            </w:r>
            <w:r>
              <w:rPr>
                <w:b/>
                <w:i/>
              </w:rPr>
              <w:t>le budget</w:t>
            </w:r>
            <w:r>
              <w:t xml:space="preserve"> de </w:t>
            </w:r>
            <w:r>
              <w:rPr>
                <w:b/>
                <w:i/>
              </w:rPr>
              <w:t>l’Union dans chaque État membre</w:t>
            </w:r>
            <w:r>
              <w:t>;</w:t>
            </w:r>
          </w:p>
        </w:tc>
      </w:tr>
    </w:tbl>
    <w:p w14:paraId="3FCBFBD7" w14:textId="77777777" w:rsidR="00AB098C" w:rsidRPr="00F55940" w:rsidRDefault="00F55940">
      <w:pPr>
        <w:pStyle w:val="AmOrLang"/>
        <w:rPr>
          <w:lang w:val="en-GB"/>
        </w:rPr>
      </w:pPr>
      <w:r w:rsidRPr="00F55940">
        <w:rPr>
          <w:lang w:val="en-GB"/>
        </w:rPr>
        <w:lastRenderedPageBreak/>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0F893E40" w14:textId="77777777" w:rsidR="00AB098C" w:rsidRPr="00F55940" w:rsidRDefault="00F55940">
      <w:pPr>
        <w:rPr>
          <w:lang w:val="en-GB"/>
        </w:rPr>
        <w:sectPr w:rsidR="00AB098C" w:rsidRPr="00F55940">
          <w:pgSz w:w="11909" w:h="16834"/>
          <w:pgMar w:top="1134" w:right="1417" w:bottom="1417" w:left="1417" w:header="1134" w:footer="567" w:gutter="0"/>
          <w:cols w:space="720"/>
        </w:sectPr>
      </w:pPr>
      <w:r w:rsidRPr="00F55940">
        <w:rPr>
          <w:rStyle w:val="HideTWBExt"/>
          <w:lang w:val="en-GB"/>
        </w:rPr>
        <w:t>&lt;/Amend&gt;</w:t>
      </w:r>
    </w:p>
    <w:p w14:paraId="1F25DA3E"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58</w:t>
      </w:r>
      <w:r w:rsidRPr="00F55940">
        <w:rPr>
          <w:rStyle w:val="HideTWBExt"/>
          <w:lang w:val="pt-BR"/>
        </w:rPr>
        <w:t>&lt;/NumAm&gt;</w:t>
      </w:r>
    </w:p>
    <w:p w14:paraId="0A3250D2"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58</w:t>
      </w:r>
      <w:r w:rsidRPr="00F55940">
        <w:rPr>
          <w:rStyle w:val="HideTWBExt"/>
          <w:lang w:val="en-GB"/>
        </w:rPr>
        <w:t>&lt;/NumAm&gt;</w:t>
      </w:r>
    </w:p>
    <w:p w14:paraId="47534907"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612568FC"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73396469" w14:textId="77777777" w:rsidR="00AB098C" w:rsidRPr="00F55940" w:rsidRDefault="00F55940">
      <w:pPr>
        <w:pStyle w:val="NormalBold"/>
        <w:rPr>
          <w:lang w:val="en-GB"/>
        </w:rPr>
      </w:pPr>
      <w:r w:rsidRPr="00F55940">
        <w:rPr>
          <w:rStyle w:val="HideTWBExt"/>
          <w:b w:val="0"/>
          <w:lang w:val="en-GB"/>
        </w:rPr>
        <w:t>&lt;/By&gt;&lt;/RepeatBlock-By&gt;</w:t>
      </w:r>
    </w:p>
    <w:p w14:paraId="7BCDFA51"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2808DE1A" w14:textId="77777777" w:rsidR="00AB098C" w:rsidRPr="00133B2E" w:rsidRDefault="00F55940">
      <w:pPr>
        <w:pStyle w:val="NormalBold"/>
      </w:pPr>
      <w:r>
        <w:rPr>
          <w:rStyle w:val="HideTWBExt"/>
        </w:rPr>
        <w:t>&lt;Rapporteur&gt;</w:t>
      </w:r>
      <w:r>
        <w:t>Julien Sanchez</w:t>
      </w:r>
      <w:r>
        <w:rPr>
          <w:rStyle w:val="HideTWBExt"/>
        </w:rPr>
        <w:t>&lt;/Rapporteur&gt;</w:t>
      </w:r>
    </w:p>
    <w:p w14:paraId="773D5BD7" w14:textId="17532782" w:rsidR="00AB098C" w:rsidRPr="00133B2E" w:rsidRDefault="00F55940">
      <w:r>
        <w:rPr>
          <w:rStyle w:val="HideTWBExt"/>
        </w:rPr>
        <w:t>&lt;Titre&gt;</w:t>
      </w:r>
      <w:r>
        <w:t xml:space="preserve">Protection des intérêts </w:t>
      </w:r>
      <w:r>
        <w:t>financiers de l’Union européenne – lutte contre la fraude – rapport annuel 2024</w:t>
      </w:r>
      <w:r>
        <w:rPr>
          <w:rStyle w:val="HideTWBExt"/>
        </w:rPr>
        <w:t>&lt;/Titre&gt;</w:t>
      </w:r>
    </w:p>
    <w:p w14:paraId="07F9437D" w14:textId="77777777" w:rsidR="00AB098C" w:rsidRPr="00133B2E" w:rsidRDefault="00F55940">
      <w:pPr>
        <w:pStyle w:val="Normal12a"/>
      </w:pPr>
      <w:r>
        <w:rPr>
          <w:rStyle w:val="HideTWBExt"/>
        </w:rPr>
        <w:t>&lt;DocRef&gt;</w:t>
      </w:r>
      <w:r>
        <w:t>(2025/2238(INI))</w:t>
      </w:r>
      <w:r>
        <w:rPr>
          <w:rStyle w:val="HideTWBExt"/>
        </w:rPr>
        <w:t>&lt;/DocRef&gt;</w:t>
      </w:r>
    </w:p>
    <w:p w14:paraId="009ED9F9" w14:textId="77777777" w:rsidR="00AB098C" w:rsidRPr="00133B2E" w:rsidRDefault="00F55940">
      <w:pPr>
        <w:pStyle w:val="NormalBold"/>
      </w:pPr>
      <w:r>
        <w:rPr>
          <w:rStyle w:val="HideTWBExt"/>
        </w:rPr>
        <w:t>&lt;DocAmend&gt;</w:t>
      </w:r>
      <w:r>
        <w:t>Proposition de résolution</w:t>
      </w:r>
      <w:r>
        <w:rPr>
          <w:rStyle w:val="HideTWBExt"/>
        </w:rPr>
        <w:t>&lt;/DocAmend&gt;</w:t>
      </w:r>
    </w:p>
    <w:p w14:paraId="691CC47A" w14:textId="77777777" w:rsidR="00AB098C" w:rsidRPr="00133B2E" w:rsidRDefault="00F55940">
      <w:pPr>
        <w:pStyle w:val="NormalBold"/>
      </w:pPr>
      <w:r>
        <w:rPr>
          <w:rStyle w:val="HideTWBExt"/>
        </w:rPr>
        <w:t>&lt;Article&gt;</w:t>
      </w:r>
      <w:r>
        <w:t>Paragraphe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15DD72D8" w14:textId="77777777">
        <w:trPr>
          <w:trHeight w:hRule="exact" w:val="240"/>
          <w:jc w:val="center"/>
        </w:trPr>
        <w:tc>
          <w:tcPr>
            <w:tcW w:w="9752" w:type="dxa"/>
            <w:gridSpan w:val="2"/>
            <w:tcBorders>
              <w:top w:val="nil"/>
              <w:left w:val="nil"/>
              <w:bottom w:val="nil"/>
              <w:right w:val="nil"/>
            </w:tcBorders>
          </w:tcPr>
          <w:p w14:paraId="0FAA5DCE" w14:textId="77777777" w:rsidR="00AB098C" w:rsidRPr="00133B2E" w:rsidRDefault="00AB098C"/>
        </w:tc>
      </w:tr>
      <w:tr w:rsidR="000F072C" w14:paraId="4160E3E8" w14:textId="77777777">
        <w:trPr>
          <w:trHeight w:val="240"/>
          <w:jc w:val="center"/>
        </w:trPr>
        <w:tc>
          <w:tcPr>
            <w:tcW w:w="4876" w:type="dxa"/>
            <w:tcBorders>
              <w:top w:val="nil"/>
              <w:left w:val="nil"/>
              <w:bottom w:val="nil"/>
              <w:right w:val="nil"/>
            </w:tcBorders>
          </w:tcPr>
          <w:p w14:paraId="6B8B7520"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6019305A" w14:textId="77777777" w:rsidR="00AB098C" w:rsidRPr="00133B2E" w:rsidRDefault="00F55940">
            <w:pPr>
              <w:pStyle w:val="AmColumnHeading"/>
            </w:pPr>
            <w:r>
              <w:t>Amendement</w:t>
            </w:r>
          </w:p>
        </w:tc>
      </w:tr>
      <w:tr w:rsidR="000F072C" w14:paraId="53F1F3C2" w14:textId="77777777">
        <w:trPr>
          <w:jc w:val="center"/>
        </w:trPr>
        <w:tc>
          <w:tcPr>
            <w:tcW w:w="4876" w:type="dxa"/>
            <w:tcBorders>
              <w:top w:val="nil"/>
              <w:left w:val="nil"/>
              <w:bottom w:val="nil"/>
              <w:right w:val="nil"/>
            </w:tcBorders>
          </w:tcPr>
          <w:p w14:paraId="3D1414BF" w14:textId="05D52C3B" w:rsidR="00AB098C" w:rsidRPr="00133B2E" w:rsidRDefault="00F55940">
            <w:pPr>
              <w:pStyle w:val="Normal6a"/>
            </w:pPr>
            <w:r>
              <w:t>54.</w:t>
            </w:r>
            <w:r>
              <w:tab/>
            </w:r>
            <w:r>
              <w:rPr>
                <w:b/>
                <w:i/>
              </w:rPr>
              <w:t>réaffirme</w:t>
            </w:r>
            <w:r>
              <w:t xml:space="preserve"> que </w:t>
            </w:r>
            <w:r>
              <w:rPr>
                <w:b/>
                <w:i/>
              </w:rPr>
              <w:t>l’intégrité et</w:t>
            </w:r>
            <w:r>
              <w:t xml:space="preserve"> la </w:t>
            </w:r>
            <w:r>
              <w:rPr>
                <w:b/>
                <w:i/>
              </w:rPr>
              <w:t>réputation des institutions, organes et organismes</w:t>
            </w:r>
            <w:r>
              <w:t xml:space="preserve"> de l’Union </w:t>
            </w:r>
            <w:r>
              <w:rPr>
                <w:b/>
                <w:i/>
              </w:rPr>
              <w:t>sont un élément essentiel de la confiance des citoyens</w:t>
            </w:r>
            <w:r>
              <w:t>;</w:t>
            </w:r>
            <w:r>
              <w:rPr>
                <w:b/>
                <w:i/>
              </w:rPr>
              <w:t xml:space="preserve"> estime</w:t>
            </w:r>
            <w:r>
              <w:t xml:space="preserve"> que </w:t>
            </w:r>
            <w:r>
              <w:rPr>
                <w:b/>
                <w:i/>
              </w:rPr>
              <w:t>la responsabilité dans</w:t>
            </w:r>
            <w:r>
              <w:t xml:space="preserve"> l’utilisation </w:t>
            </w:r>
            <w:r>
              <w:rPr>
                <w:b/>
                <w:i/>
              </w:rPr>
              <w:t>des ressources budgétaires</w:t>
            </w:r>
            <w:r>
              <w:t xml:space="preserve"> de l’Union </w:t>
            </w:r>
            <w:r>
              <w:rPr>
                <w:b/>
                <w:i/>
              </w:rPr>
              <w:t xml:space="preserve">est </w:t>
            </w:r>
            <w:r>
              <w:rPr>
                <w:b/>
                <w:i/>
              </w:rPr>
              <w:t>indispensable à la légitimité démocratique</w:t>
            </w:r>
            <w:r>
              <w:t xml:space="preserve"> et </w:t>
            </w:r>
            <w:r>
              <w:rPr>
                <w:b/>
                <w:i/>
              </w:rPr>
              <w:t>que les exigences liées à la transparence et à la protection des intérêts financiers</w:t>
            </w:r>
            <w:r>
              <w:t xml:space="preserve"> de </w:t>
            </w:r>
            <w:r>
              <w:rPr>
                <w:b/>
                <w:i/>
              </w:rPr>
              <w:t>l’Union doivent s’appliquer</w:t>
            </w:r>
            <w:r>
              <w:t xml:space="preserve"> de </w:t>
            </w:r>
            <w:r>
              <w:rPr>
                <w:b/>
                <w:i/>
              </w:rPr>
              <w:t>la même manière</w:t>
            </w:r>
            <w:r>
              <w:t xml:space="preserve"> à </w:t>
            </w:r>
            <w:r>
              <w:rPr>
                <w:b/>
                <w:i/>
              </w:rPr>
              <w:t>tous</w:t>
            </w:r>
            <w:r>
              <w:t xml:space="preserve"> les </w:t>
            </w:r>
            <w:r>
              <w:rPr>
                <w:b/>
                <w:i/>
              </w:rPr>
              <w:t>bénéficiaires</w:t>
            </w:r>
            <w:r>
              <w:t xml:space="preserve"> et </w:t>
            </w:r>
            <w:r>
              <w:rPr>
                <w:b/>
                <w:i/>
              </w:rPr>
              <w:t>sans exception</w:t>
            </w:r>
            <w:r>
              <w:t xml:space="preserve"> au </w:t>
            </w:r>
            <w:r>
              <w:rPr>
                <w:b/>
                <w:i/>
              </w:rPr>
              <w:t>sein</w:t>
            </w:r>
            <w:r>
              <w:t xml:space="preserve"> de </w:t>
            </w:r>
            <w:r>
              <w:rPr>
                <w:b/>
                <w:i/>
              </w:rPr>
              <w:t>chaque institution</w:t>
            </w:r>
            <w:r>
              <w:t xml:space="preserve"> de l’Union</w:t>
            </w:r>
            <w:r>
              <w:rPr>
                <w:b/>
                <w:i/>
              </w:rPr>
              <w:t>, y compris le Parlement, afin de garantir une bonne gestion financière et des contrôles efficaces des fonds publics</w:t>
            </w:r>
            <w:r>
              <w:t>;</w:t>
            </w:r>
          </w:p>
        </w:tc>
        <w:tc>
          <w:tcPr>
            <w:tcW w:w="4876" w:type="dxa"/>
            <w:tcBorders>
              <w:top w:val="nil"/>
              <w:left w:val="nil"/>
              <w:bottom w:val="nil"/>
              <w:right w:val="nil"/>
            </w:tcBorders>
          </w:tcPr>
          <w:p w14:paraId="466CB895" w14:textId="76591249" w:rsidR="00AB098C" w:rsidRPr="00133B2E" w:rsidRDefault="00F55940">
            <w:pPr>
              <w:pStyle w:val="Normal6a"/>
            </w:pPr>
            <w:r>
              <w:t>54.</w:t>
            </w:r>
            <w:r>
              <w:tab/>
            </w:r>
            <w:r>
              <w:rPr>
                <w:b/>
                <w:i/>
              </w:rPr>
              <w:t>rappelle</w:t>
            </w:r>
            <w:r>
              <w:t xml:space="preserve"> que </w:t>
            </w:r>
            <w:r>
              <w:rPr>
                <w:b/>
                <w:i/>
              </w:rPr>
              <w:t>le devoir de protéger les intérêts financiers de l’Union s’applique de</w:t>
            </w:r>
            <w:r>
              <w:t xml:space="preserve"> la </w:t>
            </w:r>
            <w:r>
              <w:rPr>
                <w:b/>
                <w:i/>
              </w:rPr>
              <w:t>même manière à tous les bénéficiaires des fonds</w:t>
            </w:r>
            <w:r>
              <w:t xml:space="preserve"> de l’Union</w:t>
            </w:r>
            <w:r>
              <w:rPr>
                <w:b/>
                <w:i/>
              </w:rPr>
              <w:t>, y compris les groupes politiques opérant au sein du Parlement européen</w:t>
            </w:r>
            <w:r>
              <w:t>;</w:t>
            </w:r>
            <w:r>
              <w:rPr>
                <w:b/>
                <w:i/>
              </w:rPr>
              <w:t xml:space="preserve"> note</w:t>
            </w:r>
            <w:r>
              <w:t xml:space="preserve"> que </w:t>
            </w:r>
            <w:r>
              <w:rPr>
                <w:b/>
                <w:i/>
              </w:rPr>
              <w:t>les récentes enquêtes et actions de recouvrement concernant</w:t>
            </w:r>
            <w:r>
              <w:t xml:space="preserve"> l’utilisation </w:t>
            </w:r>
            <w:r>
              <w:rPr>
                <w:b/>
                <w:i/>
              </w:rPr>
              <w:t>abusive présumée de fonds</w:t>
            </w:r>
            <w:r>
              <w:t xml:space="preserve"> de l’Union </w:t>
            </w:r>
            <w:r>
              <w:rPr>
                <w:b/>
                <w:i/>
              </w:rPr>
              <w:t>par l’ancien groupe Identité</w:t>
            </w:r>
            <w:r>
              <w:t xml:space="preserve"> et </w:t>
            </w:r>
            <w:r>
              <w:rPr>
                <w:b/>
                <w:i/>
              </w:rPr>
              <w:t>démocratie soulignent l’importance de contrôles internes solides, d’une vérification a posteriori efficace et de mécanismes</w:t>
            </w:r>
            <w:r>
              <w:t xml:space="preserve"> de </w:t>
            </w:r>
            <w:r>
              <w:rPr>
                <w:b/>
                <w:i/>
              </w:rPr>
              <w:t xml:space="preserve">recouvrement </w:t>
            </w:r>
            <w:r>
              <w:rPr>
                <w:b/>
                <w:i/>
              </w:rPr>
              <w:t>rapides au sein</w:t>
            </w:r>
            <w:r>
              <w:t xml:space="preserve"> de </w:t>
            </w:r>
            <w:r>
              <w:rPr>
                <w:b/>
                <w:i/>
              </w:rPr>
              <w:t>l’administration du Parlement;</w:t>
            </w:r>
            <w:r>
              <w:t xml:space="preserve"> </w:t>
            </w:r>
            <w:r>
              <w:rPr>
                <w:b/>
                <w:i/>
              </w:rPr>
              <w:t>invite l’administration du Parlement à achever sans délai toutes les procédures de recouvrement en cours et à transmettre toute preuve de dépenses irrégulières à l’OLAF et au Parquet européen; souligne que la crédibilité de l’architecture antifraude de l’Union dépend de son application cohérente à tous les bénéficiaires, y compris ceux au sein du Parlement lui-même;</w:t>
            </w:r>
          </w:p>
        </w:tc>
      </w:tr>
    </w:tbl>
    <w:p w14:paraId="04214C32" w14:textId="77777777" w:rsidR="00AB098C" w:rsidRPr="00F55940" w:rsidRDefault="00F55940">
      <w:pPr>
        <w:pStyle w:val="AmOrLang"/>
        <w:rPr>
          <w:lang w:val="en-GB"/>
        </w:rPr>
      </w:pPr>
      <w:r w:rsidRPr="00F55940">
        <w:rPr>
          <w:lang w:val="en-GB"/>
        </w:rPr>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0C74D12A" w14:textId="77777777" w:rsidR="00AB098C" w:rsidRPr="00F55940" w:rsidRDefault="00F55940">
      <w:pPr>
        <w:rPr>
          <w:lang w:val="en-GB"/>
        </w:rPr>
        <w:sectPr w:rsidR="00AB098C" w:rsidRPr="00F55940">
          <w:pgSz w:w="11909" w:h="16834"/>
          <w:pgMar w:top="1134" w:right="1417" w:bottom="1417" w:left="1417" w:header="1134" w:footer="567" w:gutter="0"/>
          <w:cols w:space="720"/>
        </w:sectPr>
      </w:pPr>
      <w:r w:rsidRPr="00F55940">
        <w:rPr>
          <w:rStyle w:val="HideTWBExt"/>
          <w:lang w:val="en-GB"/>
        </w:rPr>
        <w:t>&lt;/Amend&gt;</w:t>
      </w:r>
    </w:p>
    <w:p w14:paraId="7888F82B" w14:textId="77777777" w:rsidR="00AB098C" w:rsidRPr="00F55940" w:rsidRDefault="00F55940">
      <w:pPr>
        <w:pStyle w:val="AmDateTab"/>
        <w:rPr>
          <w:lang w:val="pt-BR"/>
        </w:rPr>
      </w:pPr>
      <w:r w:rsidRPr="00F55940">
        <w:rPr>
          <w:rStyle w:val="HideTWBExt"/>
          <w:lang w:val="pt-BR"/>
        </w:rPr>
        <w:lastRenderedPageBreak/>
        <w:t>&lt;Amend&gt;&lt;Date&gt;</w:t>
      </w:r>
      <w:r w:rsidRPr="00F55940">
        <w:rPr>
          <w:rStyle w:val="HideTWBInt"/>
          <w:color w:val="auto"/>
          <w:lang w:val="pt-BR"/>
        </w:rPr>
        <w:t>{22/04/2026}</w:t>
      </w:r>
      <w:r w:rsidRPr="00F55940">
        <w:rPr>
          <w:lang w:val="pt-BR"/>
        </w:rPr>
        <w:t>22.4.2026</w:t>
      </w:r>
      <w:r w:rsidRPr="00F55940">
        <w:rPr>
          <w:rStyle w:val="HideTWBExt"/>
          <w:lang w:val="pt-BR"/>
        </w:rPr>
        <w:t>&lt;/Date&gt;</w:t>
      </w:r>
      <w:r w:rsidRPr="00F55940">
        <w:rPr>
          <w:lang w:val="pt-BR"/>
        </w:rPr>
        <w:tab/>
      </w:r>
      <w:r w:rsidRPr="00F55940">
        <w:rPr>
          <w:rStyle w:val="HideTWBExt"/>
          <w:lang w:val="pt-BR"/>
        </w:rPr>
        <w:t>&lt;ANo&gt;</w:t>
      </w:r>
      <w:r w:rsidRPr="00F55940">
        <w:rPr>
          <w:lang w:val="pt-BR"/>
        </w:rPr>
        <w:t>A10-0080</w:t>
      </w:r>
      <w:r w:rsidRPr="00F55940">
        <w:rPr>
          <w:rStyle w:val="HideTWBExt"/>
          <w:lang w:val="pt-BR"/>
        </w:rPr>
        <w:t>&lt;/ANo&gt;</w:t>
      </w:r>
      <w:r w:rsidRPr="00F55940">
        <w:rPr>
          <w:lang w:val="pt-BR"/>
        </w:rPr>
        <w:t>/</w:t>
      </w:r>
      <w:r w:rsidRPr="00F55940">
        <w:rPr>
          <w:rStyle w:val="HideTWBExt"/>
          <w:lang w:val="pt-BR"/>
        </w:rPr>
        <w:t>&lt;NumAm&gt;</w:t>
      </w:r>
      <w:r w:rsidRPr="00F55940">
        <w:rPr>
          <w:lang w:val="pt-BR"/>
        </w:rPr>
        <w:t>59</w:t>
      </w:r>
      <w:r w:rsidRPr="00F55940">
        <w:rPr>
          <w:rStyle w:val="HideTWBExt"/>
          <w:lang w:val="pt-BR"/>
        </w:rPr>
        <w:t>&lt;/NumAm&gt;</w:t>
      </w:r>
    </w:p>
    <w:p w14:paraId="39A58780" w14:textId="77777777" w:rsidR="00AB098C" w:rsidRPr="00F55940" w:rsidRDefault="00F55940">
      <w:pPr>
        <w:pStyle w:val="AmNumberTabs"/>
        <w:rPr>
          <w:lang w:val="en-GB"/>
        </w:rPr>
      </w:pPr>
      <w:r w:rsidRPr="00F55940">
        <w:rPr>
          <w:lang w:val="en-GB"/>
        </w:rPr>
        <w:t>Amendement</w:t>
      </w:r>
      <w:r w:rsidRPr="00F55940">
        <w:rPr>
          <w:lang w:val="en-GB"/>
        </w:rPr>
        <w:tab/>
      </w:r>
      <w:r w:rsidRPr="00F55940">
        <w:rPr>
          <w:lang w:val="en-GB"/>
        </w:rPr>
        <w:tab/>
      </w:r>
      <w:r w:rsidRPr="00F55940">
        <w:rPr>
          <w:rStyle w:val="HideTWBExt"/>
          <w:lang w:val="en-GB"/>
        </w:rPr>
        <w:t>&lt;NumAm&gt;</w:t>
      </w:r>
      <w:r w:rsidRPr="00F55940">
        <w:rPr>
          <w:lang w:val="en-GB"/>
        </w:rPr>
        <w:t>59</w:t>
      </w:r>
      <w:r w:rsidRPr="00F55940">
        <w:rPr>
          <w:rStyle w:val="HideTWBExt"/>
          <w:lang w:val="en-GB"/>
        </w:rPr>
        <w:t>&lt;/NumAm&gt;</w:t>
      </w:r>
    </w:p>
    <w:p w14:paraId="1E4C1956" w14:textId="77777777" w:rsidR="00AB098C" w:rsidRPr="00F55940" w:rsidRDefault="00F55940">
      <w:pPr>
        <w:pStyle w:val="NormalBold"/>
        <w:rPr>
          <w:lang w:val="en-GB"/>
        </w:rPr>
      </w:pPr>
      <w:r w:rsidRPr="00F55940">
        <w:rPr>
          <w:rStyle w:val="HideTWBExt"/>
          <w:b w:val="0"/>
          <w:lang w:val="en-GB"/>
        </w:rPr>
        <w:t>&lt;RepeatBlock-By&gt;&lt;By&gt;&lt;Members&gt;</w:t>
      </w:r>
      <w:r w:rsidRPr="00F55940">
        <w:rPr>
          <w:lang w:val="en-GB"/>
        </w:rPr>
        <w:t>Daniel Freund</w:t>
      </w:r>
      <w:r w:rsidRPr="00F55940">
        <w:rPr>
          <w:rStyle w:val="HideTWBExt"/>
          <w:b w:val="0"/>
          <w:lang w:val="en-GB"/>
        </w:rPr>
        <w:t>&lt;/Members&gt;</w:t>
      </w:r>
    </w:p>
    <w:p w14:paraId="6874B7EE" w14:textId="77777777" w:rsidR="00AB098C" w:rsidRPr="00133B2E" w:rsidRDefault="00F55940">
      <w:r>
        <w:rPr>
          <w:rStyle w:val="HideTWBExt"/>
        </w:rPr>
        <w:t>&lt;AuNomDe&gt;</w:t>
      </w:r>
      <w:r>
        <w:rPr>
          <w:rStyle w:val="HideTWBInt"/>
          <w:color w:val="auto"/>
        </w:rPr>
        <w:t>{Verts/ALE}</w:t>
      </w:r>
      <w:r>
        <w:t>au nom du groupe Verts/ALE</w:t>
      </w:r>
      <w:r>
        <w:rPr>
          <w:rStyle w:val="HideTWBExt"/>
        </w:rPr>
        <w:t>&lt;/AuNomDe&gt;</w:t>
      </w:r>
    </w:p>
    <w:p w14:paraId="60C10E6F" w14:textId="77777777" w:rsidR="00AB098C" w:rsidRPr="00F55940" w:rsidRDefault="00F55940">
      <w:pPr>
        <w:pStyle w:val="NormalBold"/>
        <w:rPr>
          <w:lang w:val="en-GB"/>
        </w:rPr>
      </w:pPr>
      <w:r w:rsidRPr="00F55940">
        <w:rPr>
          <w:rStyle w:val="HideTWBExt"/>
          <w:b w:val="0"/>
          <w:lang w:val="en-GB"/>
        </w:rPr>
        <w:t>&lt;/By&gt;&lt;/RepeatBlock-By&gt;</w:t>
      </w:r>
    </w:p>
    <w:p w14:paraId="6953A485" w14:textId="77777777" w:rsidR="00AB098C" w:rsidRPr="00F55940" w:rsidRDefault="00F55940">
      <w:pPr>
        <w:pStyle w:val="AmDocTypeTab"/>
        <w:rPr>
          <w:lang w:val="en-GB"/>
        </w:rPr>
      </w:pPr>
      <w:r w:rsidRPr="00F55940">
        <w:rPr>
          <w:rStyle w:val="HideTWBExt"/>
          <w:lang w:val="en-GB"/>
        </w:rPr>
        <w:t>&lt;TitreType&gt;</w:t>
      </w:r>
      <w:r w:rsidRPr="00F55940">
        <w:rPr>
          <w:lang w:val="en-GB"/>
        </w:rPr>
        <w:t>Rapport</w:t>
      </w:r>
      <w:r w:rsidRPr="00F55940">
        <w:rPr>
          <w:rStyle w:val="HideTWBExt"/>
          <w:lang w:val="en-GB"/>
        </w:rPr>
        <w:t>&lt;/TitreType&gt;</w:t>
      </w:r>
      <w:r w:rsidRPr="00F55940">
        <w:rPr>
          <w:lang w:val="en-GB"/>
        </w:rPr>
        <w:tab/>
        <w:t>A10-0080/2026</w:t>
      </w:r>
    </w:p>
    <w:p w14:paraId="48DB673F" w14:textId="77777777" w:rsidR="00AB098C" w:rsidRPr="00133B2E" w:rsidRDefault="00F55940">
      <w:pPr>
        <w:pStyle w:val="NormalBold"/>
      </w:pPr>
      <w:r>
        <w:rPr>
          <w:rStyle w:val="HideTWBExt"/>
        </w:rPr>
        <w:t>&lt;Rapporteur&gt;</w:t>
      </w:r>
      <w:r>
        <w:t>Julien Sanchez</w:t>
      </w:r>
      <w:r>
        <w:rPr>
          <w:rStyle w:val="HideTWBExt"/>
        </w:rPr>
        <w:t>&lt;/Rapporteur&gt;</w:t>
      </w:r>
    </w:p>
    <w:p w14:paraId="2414A911" w14:textId="193E84CA" w:rsidR="00AB098C" w:rsidRPr="00133B2E" w:rsidRDefault="00F55940">
      <w:r>
        <w:rPr>
          <w:rStyle w:val="HideTWBExt"/>
        </w:rPr>
        <w:t>&lt;Titre&gt;</w:t>
      </w:r>
      <w:r>
        <w:t xml:space="preserve">Protection des intérêts financiers de l’Union européenne – lutte </w:t>
      </w:r>
      <w:r>
        <w:t>contre la fraude – rapport annuel 2024</w:t>
      </w:r>
      <w:r>
        <w:rPr>
          <w:rStyle w:val="HideTWBExt"/>
        </w:rPr>
        <w:t>&lt;/Titre&gt;</w:t>
      </w:r>
    </w:p>
    <w:p w14:paraId="47A6A819" w14:textId="77777777" w:rsidR="00AB098C" w:rsidRPr="00133B2E" w:rsidRDefault="00F55940">
      <w:pPr>
        <w:pStyle w:val="Normal12a"/>
      </w:pPr>
      <w:r>
        <w:rPr>
          <w:rStyle w:val="HideTWBExt"/>
        </w:rPr>
        <w:t>&lt;DocRef&gt;</w:t>
      </w:r>
      <w:r>
        <w:t>(2025/2238(INI))</w:t>
      </w:r>
      <w:r>
        <w:rPr>
          <w:rStyle w:val="HideTWBExt"/>
        </w:rPr>
        <w:t>&lt;/DocRef&gt;</w:t>
      </w:r>
    </w:p>
    <w:p w14:paraId="5F8BA664" w14:textId="77777777" w:rsidR="00AB098C" w:rsidRPr="00133B2E" w:rsidRDefault="00F55940">
      <w:pPr>
        <w:pStyle w:val="NormalBold"/>
      </w:pPr>
      <w:r>
        <w:rPr>
          <w:rStyle w:val="HideTWBExt"/>
        </w:rPr>
        <w:t>&lt;DocAmend&gt;</w:t>
      </w:r>
      <w:r>
        <w:t>Proposition de résolution</w:t>
      </w:r>
      <w:r>
        <w:rPr>
          <w:rStyle w:val="HideTWBExt"/>
        </w:rPr>
        <w:t>&lt;/DocAmend&gt;</w:t>
      </w:r>
    </w:p>
    <w:p w14:paraId="0B7B25F8" w14:textId="77777777" w:rsidR="00AB098C" w:rsidRPr="00133B2E" w:rsidRDefault="00F55940">
      <w:pPr>
        <w:pStyle w:val="NormalBold"/>
      </w:pPr>
      <w:r>
        <w:rPr>
          <w:rStyle w:val="HideTWBExt"/>
        </w:rPr>
        <w:t>&lt;Article&gt;</w:t>
      </w:r>
      <w:r>
        <w:t>Paragraphe 54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F072C" w14:paraId="6CE69F02" w14:textId="77777777">
        <w:trPr>
          <w:trHeight w:hRule="exact" w:val="240"/>
          <w:jc w:val="center"/>
        </w:trPr>
        <w:tc>
          <w:tcPr>
            <w:tcW w:w="9752" w:type="dxa"/>
            <w:gridSpan w:val="2"/>
            <w:tcBorders>
              <w:top w:val="nil"/>
              <w:left w:val="nil"/>
              <w:bottom w:val="nil"/>
              <w:right w:val="nil"/>
            </w:tcBorders>
          </w:tcPr>
          <w:p w14:paraId="0E6C5431" w14:textId="77777777" w:rsidR="00AB098C" w:rsidRPr="00133B2E" w:rsidRDefault="00AB098C"/>
        </w:tc>
      </w:tr>
      <w:tr w:rsidR="000F072C" w14:paraId="36BC4A92" w14:textId="77777777">
        <w:trPr>
          <w:trHeight w:val="240"/>
          <w:jc w:val="center"/>
        </w:trPr>
        <w:tc>
          <w:tcPr>
            <w:tcW w:w="4876" w:type="dxa"/>
            <w:tcBorders>
              <w:top w:val="nil"/>
              <w:left w:val="nil"/>
              <w:bottom w:val="nil"/>
              <w:right w:val="nil"/>
            </w:tcBorders>
          </w:tcPr>
          <w:p w14:paraId="666F0D4E" w14:textId="77777777" w:rsidR="00AB098C" w:rsidRPr="00133B2E" w:rsidRDefault="00F55940">
            <w:pPr>
              <w:pStyle w:val="AmColumnHeading"/>
            </w:pPr>
            <w:r>
              <w:t>Proposition de résolution</w:t>
            </w:r>
          </w:p>
        </w:tc>
        <w:tc>
          <w:tcPr>
            <w:tcW w:w="4876" w:type="dxa"/>
            <w:tcBorders>
              <w:top w:val="nil"/>
              <w:left w:val="nil"/>
              <w:bottom w:val="nil"/>
              <w:right w:val="nil"/>
            </w:tcBorders>
          </w:tcPr>
          <w:p w14:paraId="4D5E53A9" w14:textId="77777777" w:rsidR="00AB098C" w:rsidRPr="00133B2E" w:rsidRDefault="00F55940">
            <w:pPr>
              <w:pStyle w:val="AmColumnHeading"/>
            </w:pPr>
            <w:r>
              <w:t>Amendement</w:t>
            </w:r>
          </w:p>
        </w:tc>
      </w:tr>
      <w:tr w:rsidR="000F072C" w14:paraId="1DA9569E" w14:textId="77777777">
        <w:trPr>
          <w:jc w:val="center"/>
        </w:trPr>
        <w:tc>
          <w:tcPr>
            <w:tcW w:w="4876" w:type="dxa"/>
            <w:tcBorders>
              <w:top w:val="nil"/>
              <w:left w:val="nil"/>
              <w:bottom w:val="nil"/>
              <w:right w:val="nil"/>
            </w:tcBorders>
          </w:tcPr>
          <w:p w14:paraId="70858426" w14:textId="77777777" w:rsidR="00AB098C" w:rsidRPr="00133B2E" w:rsidRDefault="00AB098C">
            <w:pPr>
              <w:pStyle w:val="Normal6a"/>
            </w:pPr>
          </w:p>
        </w:tc>
        <w:tc>
          <w:tcPr>
            <w:tcW w:w="4876" w:type="dxa"/>
            <w:tcBorders>
              <w:top w:val="nil"/>
              <w:left w:val="nil"/>
              <w:bottom w:val="nil"/>
              <w:right w:val="nil"/>
            </w:tcBorders>
          </w:tcPr>
          <w:p w14:paraId="4D2BA016" w14:textId="31C58401" w:rsidR="00AB098C" w:rsidRPr="00133B2E" w:rsidRDefault="00F55940">
            <w:pPr>
              <w:pStyle w:val="Normal6a"/>
            </w:pPr>
            <w:r>
              <w:rPr>
                <w:b/>
                <w:i/>
              </w:rPr>
              <w:t>54 bis.</w:t>
            </w:r>
            <w:r>
              <w:tab/>
            </w:r>
            <w:r>
              <w:rPr>
                <w:b/>
                <w:i/>
              </w:rPr>
              <w:t xml:space="preserve">relève que </w:t>
            </w:r>
            <w:r>
              <w:rPr>
                <w:b/>
                <w:i/>
              </w:rPr>
              <w:t xml:space="preserve">l’administration du Parlement a constaté qu’au moins 4 333 635,78 EUR de crédits de la ligne budgétaire 400 avaient été indûment dépensés par l’ancien groupe «Identité et démocratie» au cours de la législature 2019-2024, et que le Parquet européen a ouvert une enquête en juillet 2025 sur le détournement présumé de fonds de l’Union par le groupe; souligne que la crédibilité de l’architecture antifraude de l’Union exige l’application cohérente des mesures de transparence, de responsabilité et de recouvrement </w:t>
            </w:r>
            <w:r>
              <w:rPr>
                <w:b/>
                <w:i/>
              </w:rPr>
              <w:t xml:space="preserve">à l’ensemble des bénéficiaires, sans exception; invite l’administration du Parlement, parallèlement à l’enquête pénale du Parquet européen, à prendre des mesures administratives provisoires de protection des intérêts financiers de l’Union; estime que la dissolution du groupe Identité et démocratie en 2024 et les procédures financières qui en ont résulté ont démontré que le cadre actuel est inadéquat pour garantir la détection, la notification et le recouvrement en temps utile; invite le Bureau du Parlement </w:t>
            </w:r>
            <w:r>
              <w:rPr>
                <w:b/>
                <w:i/>
              </w:rPr>
              <w:t>à revoir et à renforcer d’urgence le cadre de contrôle financier interne applicable aux groupes politiques du Parlement européen;</w:t>
            </w:r>
          </w:p>
        </w:tc>
      </w:tr>
    </w:tbl>
    <w:p w14:paraId="046CB116" w14:textId="77777777" w:rsidR="00AB098C" w:rsidRPr="00F55940" w:rsidRDefault="00F55940">
      <w:pPr>
        <w:pStyle w:val="AmOrLang"/>
        <w:rPr>
          <w:lang w:val="en-GB"/>
        </w:rPr>
      </w:pPr>
      <w:r w:rsidRPr="00F55940">
        <w:rPr>
          <w:lang w:val="en-GB"/>
        </w:rPr>
        <w:lastRenderedPageBreak/>
        <w:t xml:space="preserve">Or. </w:t>
      </w:r>
      <w:r w:rsidRPr="00F55940">
        <w:rPr>
          <w:rStyle w:val="HideTWBExt"/>
          <w:lang w:val="en-GB"/>
        </w:rPr>
        <w:t>&lt;Original&gt;</w:t>
      </w:r>
      <w:r w:rsidRPr="00F55940">
        <w:rPr>
          <w:rStyle w:val="HideTWBInt"/>
          <w:lang w:val="en-GB"/>
        </w:rPr>
        <w:t>{EN}</w:t>
      </w:r>
      <w:r w:rsidRPr="00F55940">
        <w:rPr>
          <w:lang w:val="en-GB"/>
        </w:rPr>
        <w:t>en</w:t>
      </w:r>
      <w:r w:rsidRPr="00F55940">
        <w:rPr>
          <w:rStyle w:val="HideTWBExt"/>
          <w:lang w:val="en-GB"/>
        </w:rPr>
        <w:t>&lt;/Original&gt;</w:t>
      </w:r>
    </w:p>
    <w:p w14:paraId="58D2499F" w14:textId="77777777" w:rsidR="00AB098C" w:rsidRPr="00F55940" w:rsidRDefault="00F55940">
      <w:pPr>
        <w:rPr>
          <w:lang w:val="en-GB"/>
        </w:rPr>
      </w:pPr>
      <w:r w:rsidRPr="00F55940">
        <w:rPr>
          <w:rStyle w:val="HideTWBExt"/>
          <w:lang w:val="en-GB"/>
        </w:rPr>
        <w:t>&lt;/Amend&gt;</w:t>
      </w:r>
    </w:p>
    <w:p w14:paraId="165F2E2F" w14:textId="77777777" w:rsidR="00AB098C" w:rsidRPr="00133B2E" w:rsidRDefault="00F55940">
      <w:r>
        <w:rPr>
          <w:rStyle w:val="HideTWBExt"/>
        </w:rPr>
        <w:t>&lt;/RepeatBlock-Amend&gt;</w:t>
      </w:r>
    </w:p>
    <w:sectPr w:rsidR="00AB098C" w:rsidRPr="00133B2E">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1BFA7" w14:textId="77777777" w:rsidR="00F55940" w:rsidRDefault="00F55940">
      <w:r>
        <w:separator/>
      </w:r>
    </w:p>
  </w:endnote>
  <w:endnote w:type="continuationSeparator" w:id="0">
    <w:p w14:paraId="1896F4A0" w14:textId="77777777" w:rsidR="00F55940" w:rsidRDefault="00F55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649A8" w14:textId="77777777" w:rsidR="00F55940" w:rsidRDefault="00F55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F744" w14:textId="77777777" w:rsidR="001E75AD" w:rsidRPr="00133B2E" w:rsidRDefault="00F55940" w:rsidP="001E75AD">
    <w:pPr>
      <w:pStyle w:val="EPFooter"/>
    </w:pPr>
    <w:r w:rsidRPr="00133B2E">
      <w:rPr>
        <w:rStyle w:val="HideTWBExt"/>
      </w:rPr>
      <w:t>&lt;PathFdR&gt;</w:t>
    </w:r>
    <w:r w:rsidRPr="00133B2E">
      <w:t>AM\1342225FR.docx</w:t>
    </w:r>
    <w:r w:rsidRPr="00133B2E">
      <w:rPr>
        <w:rStyle w:val="HideTWBExt"/>
      </w:rPr>
      <w:t>&lt;/PathFdR&gt;</w:t>
    </w:r>
    <w:r w:rsidRPr="00133B2E">
      <w:tab/>
    </w:r>
    <w:r w:rsidRPr="00133B2E">
      <w:tab/>
      <w:t>PE</w:t>
    </w:r>
    <w:r w:rsidRPr="00133B2E">
      <w:rPr>
        <w:rStyle w:val="HideTWBExt"/>
      </w:rPr>
      <w:t>&lt;NoPE&gt;</w:t>
    </w:r>
    <w:r w:rsidRPr="00133B2E">
      <w:t>783.022</w:t>
    </w:r>
    <w:r w:rsidRPr="00133B2E">
      <w:rPr>
        <w:rStyle w:val="HideTWBExt"/>
      </w:rPr>
      <w:t>&lt;/NoPE&gt;&lt;Version&gt;</w:t>
    </w:r>
    <w:r w:rsidRPr="00133B2E">
      <w:t>v01-00</w:t>
    </w:r>
    <w:r w:rsidRPr="00133B2E">
      <w:rPr>
        <w:rStyle w:val="HideTWBExt"/>
      </w:rPr>
      <w:t>&lt;/Version&gt;</w:t>
    </w:r>
  </w:p>
  <w:p w14:paraId="7CDB53C2" w14:textId="29E9C51F" w:rsidR="00AB098C" w:rsidRPr="00133B2E" w:rsidRDefault="00F55940" w:rsidP="001E75AD">
    <w:pPr>
      <w:pStyle w:val="EPFooter2"/>
    </w:pPr>
    <w:r w:rsidRPr="00133B2E">
      <w:t>FR</w:t>
    </w:r>
    <w:r w:rsidRPr="00133B2E">
      <w:tab/>
    </w:r>
    <w:r w:rsidRPr="00133B2E">
      <w:rPr>
        <w:b w:val="0"/>
        <w:i/>
        <w:color w:val="C0C0C0"/>
        <w:sz w:val="22"/>
      </w:rPr>
      <w:t>Unie dans la diversité</w:t>
    </w:r>
    <w:r w:rsidRPr="00133B2E">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37EE" w14:textId="77777777" w:rsidR="00F55940" w:rsidRDefault="00F559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C14FA" w14:textId="77777777" w:rsidR="00F55940" w:rsidRDefault="00F55940">
      <w:r>
        <w:separator/>
      </w:r>
    </w:p>
  </w:footnote>
  <w:footnote w:type="continuationSeparator" w:id="0">
    <w:p w14:paraId="2CF43FE1" w14:textId="77777777" w:rsidR="00F55940" w:rsidRDefault="00F55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571E9" w14:textId="77777777" w:rsidR="00F55940" w:rsidRDefault="00F559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D96F7" w14:textId="77777777" w:rsidR="00F55940" w:rsidRDefault="00F559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7758" w14:textId="77777777" w:rsidR="00F55940" w:rsidRDefault="00F559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6728 HideTWBExt;}{\s16\ql \li0\ri0\nowidctlpar\wrapdefault\aspalpha\aspnum\faauto\adjustright\rin0\lin0\itap0 \rtlch\fcs1 \af0\afs20\alang1025 \ltrch\fcs0 _x000d__x000a_\b\fs24\lang2057\langfe2057\cgrid\langnp2057\langfenp2057 \sbasedon0 \snext16 \spriority0 \styrsid156728 NormalBold;}}{\*\rsidtbl \rsid24658\rsid156728\rsid358857\rsid735077\rsid787282\rsid1659652\rsid2892074\rsid3622648\rsid4666813\rsid5708216_x000d__x000a_\rsid6641733\rsid7553164\rsid8465581\rsid8681905\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8\hr13\min55}{\revtim\yr2019\mo6\dy28\hr13\min55}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672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96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9652 \chftnsepc _x000d__x000a_\par }}{\*\aftnsep \ltrpar \pard\plain \ltrpar\ql \li0\ri0\widctlpar\wrapdefault\aspalpha\aspnum\faauto\adjustright\rin0\lin0\itap0 \rtlch\fcs1 \af0\afs20\alang1025 \ltrch\fcs0 \fs24\lang2057\langfe2057\cgrid\langnp2057\langfenp2057 {\rtlch\fcs1 \af0 _x000d__x000a_\ltrch\fcs0 \insrsid1659652 \chftnsep _x000d__x000a_\par }}{\*\aftnsepc \ltrpar \pard\plain \ltrpar\ql \li0\ri0\widctlpar\wrapdefault\aspalpha\aspnum\faauto\adjustright\rin0\lin0\itap0 \rtlch\fcs1 \af0\afs20\alang1025 \ltrch\fcs0 \fs24\lang2057\langfe2057\cgrid\langnp2057\langfenp2057 {\rtlch\fcs1 \af0 _x000d__x000a_\ltrch\fcs0 \insrsid165965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156728 \rtlch\fcs1 \af0\afs20\alang1025 \ltrch\fcs0 \b\fs24\lang2057\langfe2057\cgrid\langnp2057\langfenp2057 {\rtlch\fcs1 \af0 \ltrch\fcs0 _x000d__x000a_\cs15\b0\v\f1\fs20\cf9\lang1024\langfe1024\noproof\insrsid156728\charrsid9375197 {\*\bkmkstart By}&lt;}{\rtlch\fcs1 \af0 \ltrch\fcs0 \cs15\b0\v\f1\fs20\cf9\lang1024\langfe1024\noproof\insrsid156728 By&gt;&lt;}{\rtlch\fcs1 \af0 \ltrch\fcs0 _x000d__x000a_\cs15\b0\v\f1\fs20\cf9\lang1024\langfe1024\noproof\insrsid156728\charrsid9375197 Members&gt;}{\rtlch\fcs1 \af0 \ltrch\fcs0 \insrsid156728\charrsid9375197 [ZMEMBERS]}{\rtlch\fcs1 \af0 \ltrch\fcs0 _x000d__x000a_\cs15\b0\v\f1\fs20\cf9\lang1024\langfe1024\noproof\insrsid156728\charrsid9375197 &lt;/Members&gt;}{\rtlch\fcs1 \af0 \ltrch\fcs0 \insrsid156728\charrsid9375197 _x000d__x000a_\par }\pard\plain \ltrpar\ql \li0\ri0\widctlpar\wrapdefault\aspalpha\aspnum\faauto\adjustright\rin0\lin0\itap0\pararsid156728 \rtlch\fcs1 \af0\afs20\alang1025 \ltrch\fcs0 \fs24\lang2057\langfe2057\cgrid\langnp2057\langfenp2057 {\rtlch\fcs1 \af0 \ltrch\fcs0 _x000d__x000a_\cs15\v\f1\fs20\cf9\lang1024\langfe1024\noproof\langnp1043\insrsid156728\charrsid6296823 &lt;AuNomDe&gt;}{\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lang1024\langfe1024\noproof\langnp1043\insrsid156728\charrsid6296823 [ZONBEHALF]}{\rtlch\fcs1 \af0 \ltrch\fcs0 \cs15\v\f1\fs20\cf9\lang1024\langfe1024\noproof\langnp2067\insrsid156728\charrsid16390444 &lt;}{\rtlch\fcs1 \af0 \ltrch\fcs0 _x000d__x000a_\cs15\v\f1\fs20\cf9\lang1024\langfe1024\noproof\langnp2067\insrsid156728 /OptDel}{\rtlch\fcs1 \af0 \ltrch\fcs0 \cs15\v\f1\fs20\cf9\lang1024\langfe1024\noproof\langnp2067\insrsid156728\charrsid16390444 &gt;}{\rtlch\fcs1 \af0 \ltrch\fcs0 _x000d__x000a_\cs15\v\f1\fs20\cf9\lang1024\langfe1024\noproof\langnp1043\insrsid156728\charrsid6296823 &lt;/AuNomDe&gt;}{\rtlch\fcs1 \af0 \ltrch\fcs0 \lang1043\langfe2057\langnp1043\insrsid156728\charrsid12461056 _x000d__x000a_\par }{\rtlch\fcs1 \ab\af0 \ltrch\fcs0 \cs15\v\f1\fs20\cf9\lang1024\langfe1024\noproof\insrsid156728\charrsid6054407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865981 HideTWBExt;}{\s16\ql \li0\ri0\nowidctlpar\tqr\tx9071\wrapdefault\aspalpha\aspnum\faauto\adjustright\rin0\lin0\itap0 \rtlch\fcs1 \af0\afs20\alang1025 \ltrch\fcs0 _x000d__x000a_\b\fs24\lang2057\langfe2057\cgrid\langnp2057\langfenp2057 \sbasedon0 \snext16 \spriority0 \styrsid1865981 AmDocTypeTab;}{\s17\ql \li0\ri0\sa240\nowidctlpar\wrapdefault\aspalpha\aspnum\faauto\adjustright\rin0\lin0\itap0 \rtlch\fcs1 \af0\afs20\alang1025 _x000d__x000a_\ltrch\fcs0 \fs24\lang2057\langfe2057\cgrid\langnp2057\langfenp2057 \sbasedon0 \snext17 \spriority0 \styrsid1865981 Normal12a;}{\s18\ql \li-850\ri-850\widctlpar\tqc\tx4535\tqr\tx9921\wrapdefault\aspalpha\aspnum\faauto\adjustright\rin-850\lin-850\itap0 _x000d__x000a_\rtlch\fcs1 \af1\afs20\alang1025 \ltrch\fcs0 \b\f1\fs48\lang2057\langfe2057\cgrid\langnp2057\langfenp2057 \sbasedon0 \snext0 \spriority0 \styrsid1865981 EPFooter2;}{_x000d__x000a_\s19\ql \li0\ri0\nowidctlpar\wrapdefault\aspalpha\aspnum\faauto\adjustright\rin0\lin0\itap0 \rtlch\fcs1 \af0\afs20\alang1025 \ltrch\fcs0 \b\fs24\lang2057\langfe2057\cgrid\langnp2057\langfenp2057 \sbasedon0 \snext19 \spriority0 \styrsid1865981 NormalBold;}_x000d__x000a_{\s20\qr \li0\ri0\sb240\sa240\nowidctlpar\wrapdefault\aspalpha\aspnum\faauto\adjustright\rin0\lin0\itap0 \rtlch\fcs1 \af0\afs20\alang1025 \ltrch\fcs0 \fs24\lang2057\langfe2057\cgrid\langnp2057\langfenp2057 \sbasedon0 \snext20 \spriority0 \styrsid1865981 _x000d__x000a_AmOrLang;}{\s21\ql \li0\ri0\sa120\nowidctlpar\wrapdefault\aspalpha\aspnum\faauto\adjustright\rin0\lin0\itap0 \rtlch\fcs1 \af0\afs20\alang1025 \ltrch\fcs0 \fs24\lang2057\langfe2057\cgrid\langnp2057\langfenp2057 _x000d__x000a_\sbasedon0 \snext21 \spriority0 \styrsid1865981 Normal6a;}{\s22\ql \li0\ri0\nowidctlpar\tqr\tx9071\wrapdefault\aspalpha\aspnum\faauto\adjustright\rin0\lin0\itap0 \rtlch\fcs1 \af0\afs20\alang1025 \ltrch\fcs0 _x000d__x000a_\fs24\lang2057\langfe2057\cgrid\langnp2057\langfenp2057 \sbasedon0 \snext22 \spriority0 \styrsid1865981 AmDateTab;}{\s23\qc \li0\ri0\sa240\nowidctlpar\wrapdefault\aspalpha\aspnum\faauto\adjustright\rin0\lin0\itap0 \rtlch\fcs1 \af0\afs20\alang1025 _x000d__x000a_\ltrch\fcs0 \i\fs24\lang2057\langfe2057\cgrid\langnp2057\langfenp2057 \sbasedon0 \snext23 \spriority0 \styrsid1865981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865981 AmNumberTabs;}{\s25\ql \li0\ri0\sb240\sa240\nowidctlpar_x000d__x000a_\tqc\tx4535\tqr\tx9071\wrapdefault\aspalpha\aspnum\faauto\adjustright\rin0\lin0\itap0 \rtlch\fcs1 \af0\afs20\alang1025 \ltrch\fcs0 \fs22\lang2057\langfe2057\cgrid\langnp2057\langfenp2057 \sbasedon0 \snext25 \spriority0 \styrsid1865981 EPFooter;}}_x000d__x000a_{\*\rsidtbl \rsid24658\rsid358857\rsid735077\rsid787282\rsid1865981\rsid2237677\rsid2892074\rsid3622648\rsid4666813\rsid5708216\rsid6641733\rsid7553164\rsid8465581\rsid8681905\rsid8724649\rsid9636012\rsid9862312\rsid11215221\rsid11370291\rsid11434737_x000d__x000a_\rsid11607138\rsid11824949\rsid12154954\rsid14424199\rsid15204470\rsid15285974\rsid15535219\rsid15950462\rsid16324206\rsid16662270}{\mmathPr\mmathFont34\mbrkBin0\mbrkBinSub0\msmallFrac0\mdispDef1\mlMargin0\mrMargin0\mdefJc1\mwrapIndent1440\mintLim0_x000d__x000a_\mnaryLim1}{\info{\author FELIX Karina}{\operator FELIX Karina}{\creatim\yr2019\mo6\dy28\hr13\min55}{\revtim\yr2019\mo6\dy28\hr13\min55}{\version1}{\edmins0}{\nofpages2}{\nofwords79}{\nofchars454}{\*\company European Parliament}{\nofcharsws532}{\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86598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767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7677 \chftnsepc _x000d__x000a_\par }}{\*\aftnsep \ltrpar \pard\plain \ltrpar\ql \li0\ri0\widctlpar\wrapdefault\aspalpha\aspnum\faauto\adjustright\rin0\lin0\itap0 \rtlch\fcs1 \af0\afs20\alang1025 \ltrch\fcs0 \fs24\lang2057\langfe2057\cgrid\langnp2057\langfenp2057 {\rtlch\fcs1 \af0 _x000d__x000a_\ltrch\fcs0 \insrsid2237677 \chftnsep _x000d__x000a_\par }}{\*\aftnsepc \ltrpar \pard\plain \ltrpar\ql \li0\ri0\widctlpar\wrapdefault\aspalpha\aspnum\faauto\adjustright\rin0\lin0\itap0 \rtlch\fcs1 \af0\afs20\alang1025 \ltrch\fcs0 \fs24\lang2057\langfe2057\cgrid\langnp2057\langfenp2057 {\rtlch\fcs1 \af0 _x000d__x000a_\ltrch\fcs0 \insrsid2237677 \chftnsepc _x000d__x000a_\par }}\ltrpar \sectd \ltrsect\psz9\linex0\headery1134\footery567\sectlinegrid326\sectdefaultcl\sectrsid10360031\sftnbj\saftnnar\sftnrestart {\footerr \ltrpar \pard\plain \ltrpar\s25\ql \li0\ri0\sb240\sa240\nowidctlpar_x000d__x000a_\tqc\tx4535\tqr\tx9071\wrapdefault\aspalpha\aspnum\faauto\adjustright\rin0\lin0\itap0\pararsid2762611 \rtlch\fcs1 \af0\afs20\alang1025 \ltrch\fcs0 \fs22\lang2057\langfe2057\cgrid\langnp2057\langfenp2057 {\rtlch\fcs1 \af0 \ltrch\fcs0 _x000d__x000a_\cs15\v\f1\fs20\cf9\lang1024\langfe1024\noproof\insrsid1865981 &lt;PathFdR&gt;}{\rtlch\fcs1 \af0 \ltrch\fcs0 \insrsid1865981 [ZPATH]}{\rtlch\fcs1 \af0 \ltrch\fcs0 \cs15\v\f1\fs20\cf9\lang1024\langfe1024\noproof\insrsid1865981 &lt;/PathFdR&gt;}{\rtlch\fcs1 \af0 _x000d__x000a_\ltrch\fcs0 \insrsid1865981 \tab \tab PE}{\rtlch\fcs1 \af0 \ltrch\fcs0 \cs15\v\f1\fs20\cf9\lang1024\langfe1024\noproof\insrsid1865981 &lt;NoPE&gt;}{\rtlch\fcs1 \af0 \ltrch\fcs0 \insrsid1865981 [ZNRPE]}{\rtlch\fcs1 \af0 \ltrch\fcs0 _x000d__x000a_\cs15\v\f1\fs20\cf9\lang1024\langfe1024\noproof\insrsid1865981 &lt;/NoPE&gt;&lt;Version&gt;}{\rtlch\fcs1 \af0 \ltrch\fcs0 \insrsid1865981 [ZNRV]}{\rtlch\fcs1 \af0 \ltrch\fcs0 \cs15\v\f1\fs20\cf9\lang1024\langfe1024\noproof\insrsid1865981 &lt;/Version&gt;}{\rtlch\fcs1 \af0 _x000d__x000a_\ltrch\fcs0 \insrsid1865981 _x000d__x000a_\par }\pard\plain \ltrpar\s18\ql \li-850\ri-850\widctlpar\tqc\tx4535\tqr\tx9921\wrapdefault\aspalpha\aspnum\faauto\adjustright\rin-850\lin-850\itap0\pararsid12667435 \rtlch\fcs1 \af1\afs20\alang1025 \ltrch\fcs0 _x000d__x000a_\b\f1\fs48\lang2057\langfe2057\cgrid\langnp2057\langfenp2057 {\field\fldedit{\*\fldinst {\rtlch\fcs1 \af1 \ltrch\fcs0 \insrsid1865981  DOCPROPERTY &quot;&lt;Extension&gt;&quot; }}{\fldrslt {\rtlch\fcs1 \af1 \ltrch\fcs0 \insrsid1865981 XX}}}\sectd \ltrsect_x000d__x000a_\linex0\endnhere\sectdefaultcl\sftnbj {\rtlch\fcs1 \af1 \ltrch\fcs0 \insrsid1865981\charrsid2762611 \tab }{\rtlch\fcs1 \af1\afs22 \ltrch\fcs0 \b0\i\fs22\cf16\insrsid1865981\charrsid10767834 #(STD@_Motto#}{\rtlch\fcs1 \af1 \ltrch\fcs0 _x000d__x000a_\insrsid1865981\charrsid2762611 \tab }{\field\fldedit{\*\fldinst {\rtlch\fcs1 \af1 \ltrch\fcs0 \insrsid1865981  DOCPROPERTY &quot;&lt;Extension&gt;&quot; }}{\fldrslt {\rtlch\fcs1 \af1 \ltrch\fcs0 \insrsid1865981 XX}}}\sectd \ltrsect\linex0\endnhere\sectdefaultcl\sftnbj {_x000d__x000a_\rtlch\fcs1 \af1 \ltrch\fcs0 \insrsid186598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nowidctlpar_x000d__x000a_\tqr\tx9071\wrapdefault\aspalpha\aspnum\faauto\adjustright\rin0\lin0\itap0\pararsid1865981 \rtlch\fcs1 \af0\afs20\alang1025 \ltrch\fcs0 \fs24\lang2057\langfe2057\cgrid\langnp2057\langfenp2057 {\rtlch\fcs1 \af0 \ltrch\fcs0 _x000d__x000a_\cs15\v\f1\fs20\cf9\lang1024\langfe1024\noproof\insrsid1865981 {\*\bkmkstart restart}&lt;Amend&gt;&lt;Date&gt;}{\rtlch\fcs1 \af0 \ltrch\fcs0 \lang1024\langfe1024\noproof\insrsid1865981 [ZDATE]}{\rtlch\fcs1 \af0 \ltrch\fcs0 _x000d__x000a_\cs15\v\f1\fs20\cf9\lang1024\langfe1024\noproof\insrsid1865981 &lt;/Date&gt;}{\rtlch\fcs1 \af0 \ltrch\fcs0 \lang1024\langfe1024\noproof\insrsid1865981 \tab }{\rtlch\fcs1 \af0 \ltrch\fcs0 \cs15\v\f1\fs20\cf9\lang1024\langfe1024\noproof\insrsid1865981 &lt;ANo&gt;}{_x000d__x000a_\rtlch\fcs1 \af0 \ltrch\fcs0 \lang1024\langfe1024\noproof\insrsid1865981 [ZNRA]}{\rtlch\fcs1 \af0 \ltrch\fcs0 \cs15\v\f1\fs20\cf9\lang1024\langfe1024\noproof\insrsid1865981 &lt;/ANo&gt;}{\rtlch\fcs1 \af0 \ltrch\fcs0 \lang1024\langfe1024\noproof\insrsid1865981 /_x000d__x000a_}{\rtlch\fcs1 \af0 \ltrch\fcs0 \cs15\v\f1\fs20\cf9\lang1024\langfe1024\noproof\insrsid1865981 &lt;NumAm&gt;}{\rtlch\fcs1 \af0 \ltrch\fcs0 \lang1024\langfe1024\noproof\insrsid1865981 [ZNRAM]}{\rtlch\fcs1 \af0 \ltrch\fcs0 _x000d__x000a_\cs15\v\f1\fs20\cf9\lang1024\langfe1024\noproof\insrsid1865981 &lt;/NumAm&gt;}{\rtlch\fcs1 \af0 \ltrch\fcs0 \lang1024\langfe1024\noproof\insrsid1865981 _x000d__x000a_\par }\pard\plain \ltrpar\s24\ql \li0\ri0\sb240\nowidctlpar_x000d__x000a_\tx879\tx936\tx1021\tx1077\tx1134\tx1191\tx1247\tx1304\tx1361\tx1418\tx1474\tx1531\tx1588\tx1644\tx1701\tx1758\tx1814\tx1871\tx2070\tx2126\tx3374\tx3430\wrapdefault\aspalpha\aspnum\faauto\adjustright\rin0\lin0\itap0\pararsid1865981 \rtlch\fcs1 _x000d__x000a_\af0\afs20\alang1025 \ltrch\fcs0 \b\fs24\lang2057\langfe2057\cgrid\langnp2057\langfenp2057 {\rtlch\fcs1 \af0 \ltrch\fcs0 \insrsid1865981\charrsid1799708 [Z}{\rtlch\fcs1 \af0 \ltrch\fcs0 \insrsid1865981 DOCTYPE}{\rtlch\fcs1 \af0 \ltrch\fcs0 _x000d__x000a_\insrsid1865981\charrsid1799708 ]}{\rtlch\fcs1 \af0 \ltrch\fcs0 \insrsid1865981 \tab \tab }{\rtlch\fcs1 \af0 \ltrch\fcs0 \cs15\b0\v\f1\fs20\cf9\insrsid1865981\charrsid1799708 &lt;NumAm&gt;}{\rtlch\fcs1 \af0 \ltrch\fcs0 \insrsid1865981\charrsid1799708 [ZNRAM]}{_x000d__x000a_\rtlch\fcs1 \af0 \ltrch\fcs0 \cs15\b0\v\f1\fs20\cf9\insrsid1865981\charrsid1799708 &lt;/NumAm&gt;}{\rtlch\fcs1 \af0 \ltrch\fcs0 \insrsid1865981\charrsid4080556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insrsid1865981\charrsid3698311 &lt;RepeatBlock-By&gt;}{\rtlch\fcs1 \af0 \ltrch\fcs0 \lang1024\langfe1024\noproof\insrsid1865981 [RepeatMembers]}{\rtlch\fcs1 \af0 \ltrch\fcs0 _x000d__x000a_\cs15\b0\v\f1\fs20\cf9\lang1024\langfe1024\noproof\insrsid1865981\charrsid9375197 {\*\bkmkstart By}&lt;}{\rtlch\fcs1 \af0 \ltrch\fcs0 \cs15\b0\v\f1\fs20\cf9\lang1024\langfe1024\noproof\insrsid1865981 By&gt;&lt;}{\rtlch\fcs1 \af0 \ltrch\fcs0 _x000d__x000a_\cs15\b0\v\f1\fs20\cf9\lang1024\langfe1024\noproof\insrsid1865981\charrsid9375197 Members&gt;}{\rtlch\fcs1 \af0 \ltrch\fcs0 \insrsid1865981\charrsid9375197 [ZMEMBERS]}{\rtlch\fcs1 \af0 \ltrch\fcs0 _x000d__x000a_\cs15\b0\v\f1\fs20\cf9\lang1024\langfe1024\noproof\insrsid1865981\charrsid9375197 &lt;/Members&gt;}{\rtlch\fcs1 \af0 \ltrch\fcs0 \insrsid1865981\charrsid9375197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43\insrsid1865981\charrsid6296823 &lt;AuNomDe&gt;}{\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lang1024\langfe1024\noproof\langnp1043\insrsid1865981\charrsid6296823 [ZONBEHALF]}{\rtlch\fcs1 \af0 \ltrch\fcs0 \cs15\v\f1\fs20\cf9\lang1024\langfe1024\noproof\langnp2067\insrsid1865981\charrsid16390444 &lt;}{\rtlch\fcs1 \af0 \ltrch\fcs0 _x000d__x000a_\cs15\v\f1\fs20\cf9\lang1024\langfe1024\noproof\langnp2067\insrsid1865981 /OptDel}{\rtlch\fcs1 \af0 \ltrch\fcs0 \cs15\v\f1\fs20\cf9\lang1024\langfe1024\noproof\langnp2067\insrsid1865981\charrsid16390444 &gt;}{\rtlch\fcs1 \af0 \ltrch\fcs0 _x000d__x000a_\cs15\v\f1\fs20\cf9\lang1024\langfe1024\noproof\langnp1043\insrsid1865981\charrsid6296823 &lt;/AuNomDe&gt;}{\rtlch\fcs1 \af0 \ltrch\fcs0 \lang1043\langfe2057\langnp1043\insrsid1865981\charrsid12461056 _x000d__x000a_\par }{\rtlch\fcs1 \ab\af0 \ltrch\fcs0 \cs15\v\f1\fs20\cf9\lang1024\langfe1024\noproof\insrsid1865981\charrsid6054407 &lt;/By&gt;}{\rtlch\fcs1 \af0 \ltrch\fcs0 \insrsid1865981\charrsid13639461 {\*\bkmkend By}&lt;&lt;&lt;}{\rtlch\fcs1 \af0 \ltrch\fcs0 _x000d__x000a_\cs15\v\f1\fs20\cf9\lang1024\langfe1024\noproof\insrsid1865981\charrsid3698311 &lt;}{\rtlch\fcs1 \af0 \ltrch\fcs0 \cs15\v\f1\fs20\cf9\lang1024\langfe1024\noproof\insrsid1865981 /}{\rtlch\fcs1 \af0 \ltrch\fcs0 _x000d__x000a_\cs15\v\f1\fs20\cf9\lang1024\langfe1024\noproof\insrsid1865981\charrsid3698311 RepeatBlock-By&gt;}{\rtlch\fcs1 \af0 \ltrch\fcs0 \insrsid1865981\charrsid13639461 _x000d__x000a_\par }\pard\plain \ltrpar\s16\ql \li0\ri0\nowidctlpar\tqr\tx9071\wrapdefault\aspalpha\aspnum\faauto\adjustright\rin0\lin0\itap0\pararsid1865981 \rtlch\fcs1 \af0\afs20\alang1025 \ltrch\fcs0 \b\fs24\lang2057\langfe2057\cgrid\langnp2057\langfenp2057 {\rtlch\fcs1 _x000d__x000a_\af0 \ltrch\fcs0 \cs15\b0\v\f1\fs20\cf9\lang1024\langfe1024\noproof\insrsid1865981\charrsid13639461 &lt;TitreType&gt;}{\rtlch\fcs1 \af0 \ltrch\fcs0 \insrsid1865981\charrsid13639461 [ZAMENDDOCTYPE]}{\rtlch\fcs1 \af0 \ltrch\fcs0 _x000d__x000a_\cs15\b0\v\f1\fs20\cf9\lang1024\langfe1024\noproof\insrsid1865981\charrsid13639461 &lt;/TitreType&gt;}{\rtlch\fcs1 \af0 \ltrch\fcs0 \lang1024\langfe1024\noproof\insrsid1865981\charrsid13639461 \tab [ZNRA]/[ZDOCYEAR]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4758522 &lt;Rapporteur&gt;}{\rtlch\fcs1 \af0 \ltrch\fcs0 \lang1024\langfe1024\noproof\langnp1036\insrsid1865981\charrsid15805814 [ZAUTHORNAME]}{\rtlch\fcs1 \af0 _x000d__x000a_\ltrch\fcs0 \cs15\b0\v\f1\fs20\cf9\lang1024\langfe1024\noproof\langnp1036\insrsid1865981\charrsid14758522 &lt;/Rapporteur&gt;}{\rtlch\fcs1 \af0 \ltrch\fcs0 \lang1024\langfe1024\noproof\langnp1036\insrsid1865981\charrsid15805814 _x000d__x000a_\par }\pard\plain \ltrpar\ql \li0\ri0\widctlpar\wrapdefault\aspalpha\aspnum\faauto\adjustright\rin0\lin0\itap0\pararsid1865981 \rtlch\fcs1 \af0\afs20\alang1025 \ltrch\fcs0 \fs24\lang2057\langfe2057\cgrid\langnp2057\langfenp2057 {\rtlch\fcs1 \af0 \ltrch\fcs0 _x000d__x000a_\cs15\v\f1\fs20\cf9\lang1024\langfe1024\noproof\langnp1036\insrsid1865981\charrsid15805814 &lt;Titre&gt;}{\rtlch\fcs1 \af0 \ltrch\fcs0 \lang1024\langfe1024\noproof\langnp1036\insrsid1865981\charrsid15805814 [ZTITLE]}{\rtlch\fcs1 \af0 \ltrch\fcs0 _x000d__x000a_\cs15\v\f1\fs20\cf9\lang1024\langfe1024\noproof\langnp1036\insrsid1865981\charrsid15805814 &lt;/Titre&gt;}{\rtlch\fcs1 \af0 \ltrch\fcs0 \lang1036\langfe2057\langnp1036\insrsid1865981\charrsid12461056 _x000d__x000a_\par }\pard\plain \ltrpar\s17\ql \li0\ri0\sa240\nowidctlpar\wrapdefault\aspalpha\aspnum\faauto\adjustright\rin0\lin0\itap0\pararsid1865981 \rtlch\fcs1 \af0\afs20\alang1025 \ltrch\fcs0 \fs24\lang2057\langfe2057\cgrid\langnp2057\langfenp2057 {\rtlch\fcs1 \af0 _x000d__x000a_\ltrch\fcs0 \cs15\v\f1\fs20\cf9\lang1024\langfe1024\noproof\langnp1036\insrsid1865981\charrsid13639461 &lt;DocRef&gt;}{\rtlch\fcs1 \af0 \ltrch\fcs0 \lang1036\langfe2057\langnp1036\insrsid1865981\charrsid13639461 [ZDOCREF]}{\rtlch\fcs1 \af0 \ltrch\fcs0 _x000d__x000a_\cs15\v\f1\fs20\cf9\lang1024\langfe1024\noproof\langnp1036\insrsid1865981\charrsid13639461 &lt;/DocRef&gt;}{\rtlch\fcs1 \af0 \ltrch\fcs0 \lang1036\langfe2057\langnp1036\insrsid1865981\charrsid13639461 _x000d__x000a_\par }\pard\plain \ltrpar\s19\ql \li0\ri0\nowidctlpar\wrapdefault\aspalpha\aspnum\faauto\adjustright\rin0\lin0\itap0\pararsid1865981 \rtlch\fcs1 \af0\afs20\alang1025 \ltrch\fcs0 \b\fs24\lang2057\langfe2057\cgrid\langnp2057\langfenp2057 {\rtlch\fcs1 \af0 _x000d__x000a_\ltrch\fcs0 \cs15\b0\v\f1\fs20\cf9\lang1024\langfe1024\noproof\langnp1036\insrsid1865981\charrsid13639461 &lt;DocAmend&gt;}{\rtlch\fcs1 \af0 \ltrch\fcs0 \lang1036\langfe2057\langnp1036\insrsid1865981\charrsid13639461 [ZAMDOC]}{\rtlch\fcs1 \af0 \ltrch\fcs0 _x000d__x000a_\cs15\b0\v\f1\fs20\cf9\lang1024\langfe1024\noproof\langnp1036\insrsid1865981\charrsid13639461 &lt;/DocAmend&gt;}{\rtlch\fcs1 \af0 \ltrch\fcs0 \lang1036\langfe2057\langnp1036\insrsid1865981\charrsid13639461 _x000d__x000a_\par }{\rtlch\fcs1 \af0 \ltrch\fcs0 \cs15\b0\v\f1\fs20\cf9\lang1024\langfe1024\noproof\langnp1036\insrsid1865981\charrsid13639461 &lt;Article&gt;}{\rtlch\fcs1 \af0 \ltrch\fcs0 \lang1036\langfe2057\langnp1036\insrsid1865981\charrsid13639461 [ZAMPART]}{\rtlch\fcs1 _x000d__x000a_\af0 \ltrch\fcs0 \cs15\b0\v\f1\fs20\cf9\lang1024\langfe1024\noproof\langnp1036\insrsid1865981\charrsid13639461 &lt;/Article&gt;}{\rtlch\fcs1 \af0 \ltrch\fcs0 \lang1036\langfe2057\langnp1036\insrsid1865981\charrsid13639461 _x000d__x000a_\par \ltrrow}\trowd \irow0\irowband0\ltrrow\ts11\trqc\trgaph340\trleft-340\trftsWidth3\trwWidth9752\trftsWidthB3\trpaddl340\trpaddr340\trpaddfl3\trpaddft3\trpaddfb3\trpaddfr3\tblrsid6904234\tblind0\tblindtype3 \clvertalt\clbrdrt\brdrtbl \clbrdrl\brdrtbl _x000d__x000a_\clbrdrb\brdrtbl \clbrdrr\brdrtbl \cltxlrtb\clftsWidth3\clwWidth9752\clshdrawnil \cellx9412\pard\plain \ltrpar\ql \li0\ri0\keepn\widctlpar\intbl\wrapdefault\aspalpha\aspnum\faauto\adjustright\rin0\lin0\pararsid15616660 \rtlch\fcs1 \af0\afs20\alang1025 _x000d__x000a_\ltrch\fcs0 \fs24\lang2057\langfe2057\cgrid\langnp2057\langfenp2057 {\rtlch\fcs1 \af0 \ltrch\fcs0 \lang1036\langfe2057\langnp1036\insrsid1865981\charrsid13639461 \cell }\pard\plain \ltrpar_x000d__x000a_\ql \li0\ri0\widctlpar\intbl\wrapdefault\aspalpha\aspnum\faauto\adjustright\rin0\lin0 \rtlch\fcs1 \af0\afs20\alang1025 \ltrch\fcs0 \fs24\lang2057\langfe2057\cgrid\langnp2057\langfenp2057 {\rtlch\fcs1 \af0 \ltrch\fcs0 \insrsid1865981\charrsid13639461 _x000d__x000a_\trowd \irow0\irowband0\ltrrow\ts11\trqc\trgaph340\trleft-340\trftsWidth3\trwWidth9752\trftsWidthB3\trpaddl340\trpaddr340\trpaddfl3\trpaddft3\trpaddfb3\trpaddfr3\tblrsid6904234\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690423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5616660 \rtlch\fcs1 \af0\afs20\alang1025 \ltrch\fcs0 \i\fs24\lang2057\langfe2057\cgrid\langnp2057\langfenp2057 {\rtlch\fcs1 \af0 \ltrch\fcs0 _x000d__x000a_\lang1036\langfe2057\langnp1036\insrsid1865981 [ZLEFT]}{\rtlch\fcs1 \af0 \ltrch\fcs0 \lang1036\langfe2057\langnp1036\insrsid1865981\charrsid8942076 \cell }{\rtlch\fcs1 \af0 \ltrch\fcs0 \lang1036\langfe2057\langnp1036\insrsid1865981 [ZRIGHT]}{\rtlch\fcs1 _x000d__x000a_\af0 \ltrch\fcs0 \insrsid1865981 \cell }\pard\plain \ltrpar\ql \li0\ri0\widctlpar\intbl\wrapdefault\aspalpha\aspnum\faauto\adjustright\rin0\lin0 \rtlch\fcs1 \af0\afs20\alang1025 \ltrch\fcs0 \fs24\lang2057\langfe2057\cgrid\langnp2057\langfenp2057 {_x000d__x000a_\rtlch\fcs1 \af0 \ltrch\fcs0 \insrsid1865981 \trowd \irow1\irowband1\ltrrow\ts11\trqc\trgaph340\trleft-340\trftsWidth3\trwWidth9752\trftsWidthB3\trpaddl340\trpaddr340\trpaddfl3\trpaddft3\trpaddfb3\trpaddfr3\tblrsid6904234\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21\ql \li0\ri0\sa120\nowidctlpar\intbl\wrapdefault\aspalpha\aspnum\faauto\adjustright\rin0\lin0\pararsid12461056 \rtlch\fcs1 \af0\afs20\alang1025 \ltrch\fcs0 _x000d__x000a_\fs24\lang2057\langfe2057\cgrid\langnp2057\langfenp2057 {\rtlch\fcs1 \af0 \ltrch\fcs0 \lang1036\langfe2057\langnp1036\insrsid1865981 [ZTEXTL]}{\rtlch\fcs1 \af0 \ltrch\fcs0 \lang1036\langfe2057\langnp1036\insrsid1865981\charrsid10968246 \cell }{_x000d__x000a_\rtlch\fcs1 \af0 \ltrch\fcs0 \lang1036\langfe2057\langnp1036\insrsid1865981 [ZTEXTR]}{\rtlch\fcs1 \af0\afs24 \ltrch\fcs0 \lang1036\langfe2057\langnp1036\insrsid1865981\charrsid13509416 \cell }\pard\plain \ltrpar_x000d__x000a_\ql \li0\ri0\widctlpar\intbl\wrapdefault\aspalpha\aspnum\faauto\adjustright\rin0\lin0 \rtlch\fcs1 \af0\afs20\alang1025 \ltrch\fcs0 \fs24\lang2057\langfe2057\cgrid\langnp2057\langfenp2057 {\rtlch\fcs1 \af0 \ltrch\fcs0 \insrsid1865981\charrsid10968246 _x000d__x000a_\trowd \irow2\irowband2\lastrow \ltrrow\ts11\trqc\trgaph340\trleft-340\trftsWidth3\trwWidth9752\trftsWidthB3\trpaddl340\trpaddr340\trpaddfl3\trpaddft3\trpaddfb3\trpaddfr3\tblrsid6904234\tblind0\tblindtype3 \clvertalt\clbrdrt\brdrtbl \clbrdrl\brdrtbl _x000d__x000a_\clbrdrb\brdrtbl \clbrdrr\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865981 \rtlch\fcs1 \af0\afs20\alang1025 \ltrch\fcs0 \fs24\lang2057\langfe2057\cgrid\langnp2057\langfenp2057 {\rtlch\fcs1 \af0 \ltrch\fcs0 _x000d__x000a_\lang1043\langfe2057\langnp1043\insrsid1865981\charrsid6296823 Or. }{\rtlch\fcs1 \af0 \ltrch\fcs0 \cs15\v\f1\fs20\cf9\lang1024\langfe1024\noproof\langnp1043\insrsid1865981\charrsid6296823 &lt;Original&gt;}{\rtlch\fcs1 \af0 \ltrch\fcs0 _x000d__x000a_\lang1043\langfe2057\langnp1043\insrsid1865981\charrsid6296823 [ZORLANG]}{\rtlch\fcs1 \af0 \ltrch\fcs0 \cs15\v\f1\fs20\cf9\lang1024\langfe1024\noproof\langnp1043\insrsid1865981\charrsid6296823 &lt;/Original&gt;}{\rtlch\fcs1 \af0 \ltrch\fcs0 _x000d__x000a_\lang1043\langfe2057\langnp1043\insrsid1865981 _x000d__x000a_\par }\pard\plain \ltrpar\ql \li0\ri0\widctlpar\wrapdefault\aspalpha\aspnum\faauto\adjustright\rin0\lin0\itap0\pararsid1865981 \rtlch\fcs1 \af0\afs20\alang1025 \ltrch\fcs0 \fs24\lang2057\langfe2057\cgrid\langnp2057\langfenp2057 {\rtlch\fcs1 \af0 \ltrch\fcs0 _x000d__x000a_\lang1043\langfe2057\langnp1043\insrsid1865981\charrsid9594454 \sect }\sectd \ltrsect\psz9\linex0\headery1134\footery505\endnhere\titlepg\sectdefaultcl\sectrsid14424199\sftnbj\sftnrestart \pard\plain \ltrpar_x000d__x000a_\ql \li0\ri0\widctlpar\wrapdefault\aspalpha\aspnum\faauto\adjustright\rin0\lin0\itap0\pararsid1865981 \rtlch\fcs1 \af0\afs20\alang1025 \ltrch\fcs0 \fs24\lang2057\langfe2057\cgrid\langnp2057\langfenp2057 {\rtlch\fcs1 \af0 \ltrch\fcs0 _x000d__x000a_\cs15\v\f1\fs20\cf9\lang1024\langfe1024\noproof\insrsid186598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2"/>
    <w:docVar w:name="TXTLANGUE" w:val="FR"/>
    <w:docVar w:name="TXTLANGUEMIN" w:val="fr"/>
    <w:docVar w:name="TXTNRPE" w:val="783.022"/>
    <w:docVar w:name="TXTPEorAP" w:val="PE"/>
    <w:docVar w:name="TXTROUTE" w:val="AM\1342225FR.docx"/>
    <w:docVar w:name="TXTVERSION" w:val="01-00"/>
  </w:docVars>
  <w:rsids>
    <w:rsidRoot w:val="00A77B3E"/>
    <w:rsid w:val="000F072C"/>
    <w:rsid w:val="00133B2E"/>
    <w:rsid w:val="001C6F26"/>
    <w:rsid w:val="001E6DCE"/>
    <w:rsid w:val="001E75AD"/>
    <w:rsid w:val="0022097A"/>
    <w:rsid w:val="002C4F66"/>
    <w:rsid w:val="0034105C"/>
    <w:rsid w:val="00380094"/>
    <w:rsid w:val="00404DC1"/>
    <w:rsid w:val="0044003A"/>
    <w:rsid w:val="004A2B70"/>
    <w:rsid w:val="00566641"/>
    <w:rsid w:val="005744EE"/>
    <w:rsid w:val="005D1D4D"/>
    <w:rsid w:val="006447B6"/>
    <w:rsid w:val="006A13A9"/>
    <w:rsid w:val="006F1F54"/>
    <w:rsid w:val="00705A00"/>
    <w:rsid w:val="007B6BE6"/>
    <w:rsid w:val="009C0B53"/>
    <w:rsid w:val="009F6C83"/>
    <w:rsid w:val="00A77B3E"/>
    <w:rsid w:val="00AB098C"/>
    <w:rsid w:val="00C62949"/>
    <w:rsid w:val="00CA2A55"/>
    <w:rsid w:val="00CF50AB"/>
    <w:rsid w:val="00F55940"/>
    <w:rsid w:val="00F628DF"/>
    <w:rsid w:val="00FA7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135163"/>
  <w15:docId w15:val="{C4F0EAC1-4B7D-4BB5-A8AE-971B0280D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80094"/>
    <w:pPr>
      <w:tabs>
        <w:tab w:val="center" w:pos="4513"/>
        <w:tab w:val="right" w:pos="9026"/>
      </w:tabs>
    </w:pPr>
  </w:style>
  <w:style w:type="character" w:customStyle="1" w:styleId="HeaderChar">
    <w:name w:val="Header Char"/>
    <w:basedOn w:val="DefaultParagraphFont"/>
    <w:link w:val="Header"/>
    <w:rsid w:val="00380094"/>
    <w:rPr>
      <w:sz w:val="24"/>
      <w:szCs w:val="24"/>
    </w:rPr>
  </w:style>
  <w:style w:type="paragraph" w:styleId="Footer">
    <w:name w:val="footer"/>
    <w:basedOn w:val="Normal"/>
    <w:link w:val="FooterChar1"/>
    <w:rsid w:val="00380094"/>
    <w:pPr>
      <w:tabs>
        <w:tab w:val="center" w:pos="4513"/>
        <w:tab w:val="right" w:pos="9026"/>
      </w:tabs>
    </w:pPr>
  </w:style>
  <w:style w:type="character" w:customStyle="1" w:styleId="FooterChar1">
    <w:name w:val="Footer Char1"/>
    <w:basedOn w:val="DefaultParagraphFont"/>
    <w:link w:val="Footer"/>
    <w:rsid w:val="00380094"/>
    <w:rPr>
      <w:sz w:val="24"/>
      <w:szCs w:val="24"/>
    </w:rPr>
  </w:style>
  <w:style w:type="paragraph" w:styleId="Revision">
    <w:name w:val="Revision"/>
    <w:hidden/>
    <w:uiPriority w:val="99"/>
    <w:semiHidden/>
    <w:rsid w:val="0022097A"/>
    <w:rPr>
      <w:sz w:val="24"/>
      <w:szCs w:val="24"/>
    </w:rPr>
  </w:style>
  <w:style w:type="character" w:styleId="CommentReference">
    <w:name w:val="annotation reference"/>
    <w:basedOn w:val="DefaultParagraphFont"/>
    <w:rsid w:val="00FA7453"/>
    <w:rPr>
      <w:sz w:val="16"/>
      <w:szCs w:val="16"/>
    </w:rPr>
  </w:style>
  <w:style w:type="paragraph" w:styleId="CommentText">
    <w:name w:val="annotation text"/>
    <w:basedOn w:val="Normal"/>
    <w:link w:val="CommentTextChar"/>
    <w:rsid w:val="00FA7453"/>
    <w:rPr>
      <w:sz w:val="20"/>
      <w:szCs w:val="20"/>
    </w:rPr>
  </w:style>
  <w:style w:type="character" w:customStyle="1" w:styleId="CommentTextChar">
    <w:name w:val="Comment Text Char"/>
    <w:basedOn w:val="DefaultParagraphFont"/>
    <w:link w:val="CommentText"/>
    <w:rsid w:val="00FA7453"/>
  </w:style>
  <w:style w:type="paragraph" w:styleId="CommentSubject">
    <w:name w:val="annotation subject"/>
    <w:basedOn w:val="CommentText"/>
    <w:next w:val="CommentText"/>
    <w:link w:val="CommentSubjectChar"/>
    <w:rsid w:val="00FA7453"/>
    <w:rPr>
      <w:b/>
      <w:bCs/>
    </w:rPr>
  </w:style>
  <w:style w:type="character" w:customStyle="1" w:styleId="CommentSubjectChar">
    <w:name w:val="Comment Subject Char"/>
    <w:basedOn w:val="CommentTextChar"/>
    <w:link w:val="CommentSubject"/>
    <w:rsid w:val="00FA74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2045</Words>
  <Characters>11879</Characters>
  <Application>Microsoft Office Word</Application>
  <DocSecurity>0</DocSecurity>
  <Lines>458</Lines>
  <Paragraphs>144</Paragraphs>
  <ScaleCrop>false</ScaleCrop>
  <HeadingPairs>
    <vt:vector size="2" baseType="variant">
      <vt:variant>
        <vt:lpstr>Title</vt:lpstr>
      </vt:variant>
      <vt:variant>
        <vt:i4>1</vt:i4>
      </vt:variant>
    </vt:vector>
  </HeadingPairs>
  <TitlesOfParts>
    <vt:vector size="1" baseType="lpstr">
      <vt:lpstr>AM_Ple_NonLegReport</vt:lpstr>
    </vt:vector>
  </TitlesOfParts>
  <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AM_Ple_NonLegReport</dc:title>
  <dc:creator>e-Parliament@europarl.europa.eu</dc:creator>
  <cp:lastModifiedBy>LE CHEVALLIER Pierre</cp:lastModifiedBy>
  <cp:revision>2</cp:revision>
  <cp:lastPrinted>2026-04-22T17:39:00Z</cp:lastPrinted>
  <dcterms:created xsi:type="dcterms:W3CDTF">2026-04-27T07:32:00Z</dcterms:created>
  <dcterms:modified xsi:type="dcterms:W3CDTF">2026-04-27T07:32:00Z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1342225</vt:lpwstr>
  </property>
  <property fmtid="{D5CDD505-2E9C-101B-9397-08002B2CF9AE}" pid="4" name="&lt;Model&gt;">
    <vt:lpwstr>AM_Ple_NonLegReport</vt:lpwstr>
  </property>
  <property fmtid="{D5CDD505-2E9C-101B-9397-08002B2CF9AE}" pid="5" name="&lt;Type&gt;">
    <vt:lpwstr>AM</vt:lpwstr>
  </property>
  <property fmtid="{D5CDD505-2E9C-101B-9397-08002B2CF9AE}" pid="6" name="Bookout">
    <vt:lpwstr>OK - 2026/04/27 09:30</vt:lpwstr>
  </property>
  <property fmtid="{D5CDD505-2E9C-101B-9397-08002B2CF9AE}" pid="7" name="dmxml.render.id">
    <vt:lpwstr>459267</vt:lpwstr>
  </property>
  <property fmtid="{D5CDD505-2E9C-101B-9397-08002B2CF9AE}" pid="8" name="dmxml.render.traceId">
    <vt:lpwstr>69e8e9021f7542c89ca2e5b051c30353</vt:lpwstr>
  </property>
  <property fmtid="{D5CDD505-2E9C-101B-9397-08002B2CF9AE}" pid="9" name="FooterPath">
    <vt:lpwstr>AM\1342225FR.docx</vt:lpwstr>
  </property>
  <property fmtid="{D5CDD505-2E9C-101B-9397-08002B2CF9AE}" pid="10" name="LastEdited with">
    <vt:lpwstr>10.3.0 Build [20260401]</vt:lpwstr>
  </property>
  <property fmtid="{D5CDD505-2E9C-101B-9397-08002B2CF9AE}" pid="11" name="OriLang">
    <vt:lpwstr>EN</vt:lpwstr>
  </property>
  <property fmtid="{D5CDD505-2E9C-101B-9397-08002B2CF9AE}" pid="12" name="PE Number">
    <vt:lpwstr>783.022</vt:lpwstr>
  </property>
  <property fmtid="{D5CDD505-2E9C-101B-9397-08002B2CF9AE}" pid="13" name="RegistreCheck">
    <vt:lpwstr>OK</vt:lpwstr>
  </property>
  <property fmtid="{D5CDD505-2E9C-101B-9397-08002B2CF9AE}" pid="14" name="SDLStudio">
    <vt:lpwstr/>
  </property>
  <property fmtid="{D5CDD505-2E9C-101B-9397-08002B2CF9AE}" pid="15" name="UID">
    <vt:lpwstr>eu.europa.europarl-DIN1-2026-0000109521_01.00-en-01.00_text-xml</vt:lpwstr>
  </property>
</Properties>
</file>