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0763E" w14:textId="77777777" w:rsidR="00AB098C" w:rsidRPr="004C5526" w:rsidRDefault="004C5526">
      <w:pPr>
        <w:pStyle w:val="AmDateTab"/>
      </w:pPr>
      <w:r w:rsidRPr="004C5526">
        <w:rPr>
          <w:rStyle w:val="HideTWBExt"/>
          <w:color w:val="auto"/>
        </w:rPr>
        <w:t>&lt;RepeatBlock-Amend&gt;&lt;Amend&gt;&lt;Date&gt;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50</w:t>
      </w:r>
      <w:r w:rsidRPr="004C5526">
        <w:rPr>
          <w:rStyle w:val="HideTWBExt"/>
          <w:color w:val="auto"/>
        </w:rPr>
        <w:t>&lt;/NumAm&gt;</w:t>
      </w:r>
    </w:p>
    <w:p w14:paraId="6F54DC25"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50</w:t>
      </w:r>
      <w:r w:rsidRPr="004C5526">
        <w:rPr>
          <w:rStyle w:val="HideTWBExt"/>
          <w:b w:val="0"/>
          <w:color w:val="auto"/>
        </w:rPr>
        <w:t>&lt;/NumAm&gt;</w:t>
      </w:r>
    </w:p>
    <w:p w14:paraId="258E7D6A"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666E1CA7"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294E2802" w14:textId="77777777" w:rsidR="00AB098C" w:rsidRPr="004C5526" w:rsidRDefault="004C5526">
      <w:pPr>
        <w:pStyle w:val="NormalBold"/>
      </w:pPr>
      <w:r w:rsidRPr="004C5526">
        <w:rPr>
          <w:rStyle w:val="HideTWBExt"/>
          <w:b w:val="0"/>
          <w:color w:val="auto"/>
        </w:rPr>
        <w:t>&lt;/By&gt;&lt;/RepeatBlock-By&gt;</w:t>
      </w:r>
    </w:p>
    <w:p w14:paraId="36619970"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594826D1"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4006048E" w14:textId="30E45309"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41E99341"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38C2EC05"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28E559A1" w14:textId="6A10691D" w:rsidR="00AB098C" w:rsidRPr="004C5526" w:rsidRDefault="004C5526">
      <w:pPr>
        <w:pStyle w:val="NormalBold"/>
      </w:pPr>
      <w:r w:rsidRPr="004C5526">
        <w:rPr>
          <w:rStyle w:val="HideTWBExt"/>
          <w:b w:val="0"/>
          <w:color w:val="auto"/>
        </w:rPr>
        <w:t>&lt;Article&gt;</w:t>
      </w:r>
      <w:r w:rsidRPr="004C5526">
        <w:t xml:space="preserve">Visto 23 bis (nuovo) </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470DC1FC" w14:textId="77777777">
        <w:trPr>
          <w:trHeight w:hRule="exact" w:val="240"/>
          <w:jc w:val="center"/>
        </w:trPr>
        <w:tc>
          <w:tcPr>
            <w:tcW w:w="9752" w:type="dxa"/>
            <w:gridSpan w:val="2"/>
            <w:tcBorders>
              <w:top w:val="nil"/>
              <w:left w:val="nil"/>
              <w:bottom w:val="nil"/>
              <w:right w:val="nil"/>
            </w:tcBorders>
          </w:tcPr>
          <w:p w14:paraId="01AC38DA" w14:textId="77777777" w:rsidR="00AB098C" w:rsidRPr="004C5526" w:rsidRDefault="00AB098C"/>
        </w:tc>
      </w:tr>
      <w:tr w:rsidR="004C5526" w:rsidRPr="004C5526" w14:paraId="0561F3F4" w14:textId="77777777">
        <w:trPr>
          <w:trHeight w:val="240"/>
          <w:jc w:val="center"/>
        </w:trPr>
        <w:tc>
          <w:tcPr>
            <w:tcW w:w="4876" w:type="dxa"/>
            <w:tcBorders>
              <w:top w:val="nil"/>
              <w:left w:val="nil"/>
              <w:bottom w:val="nil"/>
              <w:right w:val="nil"/>
            </w:tcBorders>
          </w:tcPr>
          <w:p w14:paraId="75D7C2A1"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71528269" w14:textId="77777777" w:rsidR="00AB098C" w:rsidRPr="004C5526" w:rsidRDefault="004C5526">
            <w:pPr>
              <w:pStyle w:val="AmColumnHeading"/>
            </w:pPr>
            <w:r w:rsidRPr="004C5526">
              <w:t>Emendamento</w:t>
            </w:r>
          </w:p>
        </w:tc>
      </w:tr>
      <w:tr w:rsidR="004C5526" w:rsidRPr="004C5526" w14:paraId="35A3F6BE" w14:textId="77777777">
        <w:trPr>
          <w:jc w:val="center"/>
        </w:trPr>
        <w:tc>
          <w:tcPr>
            <w:tcW w:w="4876" w:type="dxa"/>
            <w:tcBorders>
              <w:top w:val="nil"/>
              <w:left w:val="nil"/>
              <w:bottom w:val="nil"/>
              <w:right w:val="nil"/>
            </w:tcBorders>
          </w:tcPr>
          <w:p w14:paraId="19D88A38" w14:textId="77777777" w:rsidR="00AB098C" w:rsidRPr="004C5526" w:rsidRDefault="00AB098C">
            <w:pPr>
              <w:pStyle w:val="Normal6a"/>
            </w:pPr>
          </w:p>
        </w:tc>
        <w:tc>
          <w:tcPr>
            <w:tcW w:w="4876" w:type="dxa"/>
            <w:tcBorders>
              <w:top w:val="nil"/>
              <w:left w:val="nil"/>
              <w:bottom w:val="nil"/>
              <w:right w:val="nil"/>
            </w:tcBorders>
          </w:tcPr>
          <w:p w14:paraId="0374F855" w14:textId="457B656D" w:rsidR="00AB098C" w:rsidRPr="004C5526" w:rsidRDefault="004C5526">
            <w:pPr>
              <w:pStyle w:val="Normal6a"/>
              <w:pBdr>
                <w:bottom w:val="single" w:sz="12" w:space="1" w:color="auto"/>
              </w:pBdr>
              <w:rPr>
                <w:b/>
                <w:i/>
              </w:rPr>
            </w:pPr>
            <w:r w:rsidRPr="004C5526">
              <w:rPr>
                <w:b/>
                <w:i/>
              </w:rPr>
              <w:t>–</w:t>
            </w:r>
            <w:r w:rsidRPr="004C5526">
              <w:tab/>
            </w:r>
            <w:r w:rsidRPr="004C5526">
              <w:rPr>
                <w:b/>
                <w:i/>
              </w:rPr>
              <w:t>viste le sentenze della Corte di giustizia dell'UE del 16 febbraio 2022 nelle cause C-156/21 Ungheria/Parlamento e Consiglio e C-157/21 Polonia/Parlamento e Consiglio</w:t>
            </w:r>
            <w:r w:rsidRPr="004C5526">
              <w:rPr>
                <w:b/>
                <w:i/>
                <w:vertAlign w:val="superscript"/>
              </w:rPr>
              <w:t>1 bis</w:t>
            </w:r>
            <w:r w:rsidRPr="004C5526">
              <w:rPr>
                <w:b/>
                <w:i/>
              </w:rPr>
              <w:t>, che confermano la legittimità del regolamento sulla condizionalità,</w:t>
            </w:r>
          </w:p>
          <w:p w14:paraId="233B5120" w14:textId="7895A482" w:rsidR="0022097A" w:rsidRPr="004C5526" w:rsidRDefault="004C5526">
            <w:pPr>
              <w:pStyle w:val="Normal6a"/>
            </w:pPr>
            <w:r w:rsidRPr="004C5526">
              <w:rPr>
                <w:b/>
                <w:i/>
                <w:vertAlign w:val="superscript"/>
              </w:rPr>
              <w:t>1 bis</w:t>
            </w:r>
            <w:r w:rsidRPr="004C5526">
              <w:rPr>
                <w:b/>
                <w:i/>
              </w:rPr>
              <w:t xml:space="preserve"> ECLI:EU:C:2022:97 &amp; ECLI:EU:C:2022:98.</w:t>
            </w:r>
          </w:p>
        </w:tc>
      </w:tr>
    </w:tbl>
    <w:p w14:paraId="6E3DA0C0"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4D4CDBC3" w14:textId="77777777" w:rsidR="00AB098C" w:rsidRPr="004C5526" w:rsidRDefault="004C5526">
      <w:pPr>
        <w:sectPr w:rsidR="00AB098C" w:rsidRPr="004C5526">
          <w:headerReference w:type="even" r:id="rId6"/>
          <w:headerReference w:type="default" r:id="rId7"/>
          <w:footerReference w:type="even" r:id="rId8"/>
          <w:footerReference w:type="default" r:id="rId9"/>
          <w:headerReference w:type="first" r:id="rId10"/>
          <w:footerReference w:type="first" r:id="rId11"/>
          <w:pgSz w:w="11909" w:h="16834"/>
          <w:pgMar w:top="1134" w:right="1417" w:bottom="1417" w:left="1417" w:header="1134" w:footer="567" w:gutter="0"/>
          <w:cols w:space="720"/>
        </w:sectPr>
      </w:pPr>
      <w:r w:rsidRPr="004C5526">
        <w:rPr>
          <w:rStyle w:val="HideTWBExt"/>
          <w:color w:val="auto"/>
        </w:rPr>
        <w:t>&lt;/Amend&gt;</w:t>
      </w:r>
    </w:p>
    <w:p w14:paraId="1897A4FA" w14:textId="77777777" w:rsidR="00AB098C" w:rsidRPr="004C5526" w:rsidRDefault="004C5526">
      <w:pPr>
        <w:pStyle w:val="AmDateTab"/>
      </w:pPr>
      <w:r w:rsidRPr="004C5526">
        <w:rPr>
          <w:rStyle w:val="HideTWBExt"/>
          <w:color w:val="auto"/>
        </w:rPr>
        <w:lastRenderedPageBreak/>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51</w:t>
      </w:r>
      <w:r w:rsidRPr="004C5526">
        <w:rPr>
          <w:rStyle w:val="HideTWBExt"/>
          <w:color w:val="auto"/>
        </w:rPr>
        <w:t>&lt;/NumAm&gt;</w:t>
      </w:r>
    </w:p>
    <w:p w14:paraId="0CA0DC32"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51</w:t>
      </w:r>
      <w:r w:rsidRPr="004C5526">
        <w:rPr>
          <w:rStyle w:val="HideTWBExt"/>
          <w:b w:val="0"/>
          <w:color w:val="auto"/>
        </w:rPr>
        <w:t>&lt;/NumAm&gt;</w:t>
      </w:r>
    </w:p>
    <w:p w14:paraId="122C27AF"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42FB1CEC"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369153FD" w14:textId="77777777" w:rsidR="00AB098C" w:rsidRPr="004C5526" w:rsidRDefault="004C5526">
      <w:pPr>
        <w:pStyle w:val="NormalBold"/>
      </w:pPr>
      <w:r w:rsidRPr="004C5526">
        <w:rPr>
          <w:rStyle w:val="HideTWBExt"/>
          <w:b w:val="0"/>
          <w:color w:val="auto"/>
        </w:rPr>
        <w:t>&lt;/By&gt;&lt;/RepeatBlock-By&gt;</w:t>
      </w:r>
    </w:p>
    <w:p w14:paraId="004FEAFA"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14F63909"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44F6DB4C" w14:textId="69E7F1E8"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4D47D053"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570FEAC6"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18AE99FB" w14:textId="77777777" w:rsidR="00AB098C" w:rsidRPr="004C5526" w:rsidRDefault="004C5526">
      <w:pPr>
        <w:pStyle w:val="NormalBold"/>
      </w:pPr>
      <w:r w:rsidRPr="004C5526">
        <w:rPr>
          <w:rStyle w:val="HideTWBExt"/>
          <w:b w:val="0"/>
          <w:color w:val="auto"/>
        </w:rPr>
        <w:t>&lt;Article&gt;</w:t>
      </w:r>
      <w:r w:rsidRPr="004C5526">
        <w:t xml:space="preserve">Visto 25 ter (nuovo) </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62EB1AFB" w14:textId="77777777">
        <w:trPr>
          <w:trHeight w:hRule="exact" w:val="240"/>
          <w:jc w:val="center"/>
        </w:trPr>
        <w:tc>
          <w:tcPr>
            <w:tcW w:w="9752" w:type="dxa"/>
            <w:gridSpan w:val="2"/>
            <w:tcBorders>
              <w:top w:val="nil"/>
              <w:left w:val="nil"/>
              <w:bottom w:val="nil"/>
              <w:right w:val="nil"/>
            </w:tcBorders>
          </w:tcPr>
          <w:p w14:paraId="7D55E2CF" w14:textId="77777777" w:rsidR="00AB098C" w:rsidRPr="004C5526" w:rsidRDefault="00AB098C"/>
        </w:tc>
      </w:tr>
      <w:tr w:rsidR="004C5526" w:rsidRPr="004C5526" w14:paraId="689BD4CC" w14:textId="77777777">
        <w:trPr>
          <w:trHeight w:val="240"/>
          <w:jc w:val="center"/>
        </w:trPr>
        <w:tc>
          <w:tcPr>
            <w:tcW w:w="4876" w:type="dxa"/>
            <w:tcBorders>
              <w:top w:val="nil"/>
              <w:left w:val="nil"/>
              <w:bottom w:val="nil"/>
              <w:right w:val="nil"/>
            </w:tcBorders>
          </w:tcPr>
          <w:p w14:paraId="7076EBB8"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1D3DD833" w14:textId="77777777" w:rsidR="00AB098C" w:rsidRPr="004C5526" w:rsidRDefault="004C5526">
            <w:pPr>
              <w:pStyle w:val="AmColumnHeading"/>
            </w:pPr>
            <w:r w:rsidRPr="004C5526">
              <w:t>Emendamento</w:t>
            </w:r>
          </w:p>
        </w:tc>
      </w:tr>
      <w:tr w:rsidR="004C5526" w:rsidRPr="004C5526" w14:paraId="6BA02098" w14:textId="77777777">
        <w:trPr>
          <w:jc w:val="center"/>
        </w:trPr>
        <w:tc>
          <w:tcPr>
            <w:tcW w:w="4876" w:type="dxa"/>
            <w:tcBorders>
              <w:top w:val="nil"/>
              <w:left w:val="nil"/>
              <w:bottom w:val="nil"/>
              <w:right w:val="nil"/>
            </w:tcBorders>
          </w:tcPr>
          <w:p w14:paraId="3D3F7FC2" w14:textId="77777777" w:rsidR="00AB098C" w:rsidRPr="004C5526" w:rsidRDefault="00AB098C">
            <w:pPr>
              <w:pStyle w:val="Normal6a"/>
            </w:pPr>
          </w:p>
        </w:tc>
        <w:tc>
          <w:tcPr>
            <w:tcW w:w="4876" w:type="dxa"/>
            <w:tcBorders>
              <w:top w:val="nil"/>
              <w:left w:val="nil"/>
              <w:bottom w:val="nil"/>
              <w:right w:val="nil"/>
            </w:tcBorders>
          </w:tcPr>
          <w:p w14:paraId="481513A9" w14:textId="5E786CD9" w:rsidR="00AB098C" w:rsidRPr="004C5526" w:rsidRDefault="004C5526">
            <w:pPr>
              <w:pStyle w:val="Normal6a"/>
            </w:pPr>
            <w:r w:rsidRPr="004C5526">
              <w:rPr>
                <w:b/>
                <w:i/>
              </w:rPr>
              <w:t>–</w:t>
            </w:r>
            <w:r w:rsidRPr="004C5526">
              <w:tab/>
            </w:r>
            <w:r w:rsidRPr="004C5526">
              <w:rPr>
                <w:b/>
                <w:i/>
              </w:rPr>
              <w:t>vista l'indagine in corso avviata dall'EPPO nel luglio 2025 sul presunto uso improprio di fondi dell'Unione da parte dell'ex gruppo Identità e Democrazia del Parlamento europeo,</w:t>
            </w:r>
          </w:p>
        </w:tc>
      </w:tr>
    </w:tbl>
    <w:p w14:paraId="790F5E20"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5D9AFC04"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1DC3122D"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52</w:t>
      </w:r>
      <w:r w:rsidRPr="004C5526">
        <w:rPr>
          <w:rStyle w:val="HideTWBExt"/>
          <w:color w:val="auto"/>
        </w:rPr>
        <w:t>&lt;/NumAm&gt;</w:t>
      </w:r>
    </w:p>
    <w:p w14:paraId="5F9D1154"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52</w:t>
      </w:r>
      <w:r w:rsidRPr="004C5526">
        <w:rPr>
          <w:rStyle w:val="HideTWBExt"/>
          <w:b w:val="0"/>
          <w:color w:val="auto"/>
        </w:rPr>
        <w:t>&lt;/NumAm&gt;</w:t>
      </w:r>
    </w:p>
    <w:p w14:paraId="27AE9A36"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705EC329"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7E71E8E9" w14:textId="77777777" w:rsidR="00AB098C" w:rsidRPr="004C5526" w:rsidRDefault="004C5526">
      <w:pPr>
        <w:pStyle w:val="NormalBold"/>
      </w:pPr>
      <w:r w:rsidRPr="004C5526">
        <w:rPr>
          <w:rStyle w:val="HideTWBExt"/>
          <w:b w:val="0"/>
          <w:color w:val="auto"/>
        </w:rPr>
        <w:t>&lt;/By&gt;&lt;/RepeatBlock-By&gt;</w:t>
      </w:r>
    </w:p>
    <w:p w14:paraId="73013DEF"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11B1ED71"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71EEC604" w14:textId="4192E226"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702F699B"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65F35DB6"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445EF971" w14:textId="77777777" w:rsidR="00AB098C" w:rsidRPr="004C5526" w:rsidRDefault="004C5526">
      <w:pPr>
        <w:pStyle w:val="NormalBold"/>
      </w:pPr>
      <w:r w:rsidRPr="004C5526">
        <w:rPr>
          <w:rStyle w:val="HideTWBExt"/>
          <w:b w:val="0"/>
          <w:color w:val="auto"/>
        </w:rPr>
        <w:t>&lt;Article&gt;</w:t>
      </w:r>
      <w:r w:rsidRPr="004C5526">
        <w:t>Paragrafo 2 bis (nuovo)</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72A4562E" w14:textId="77777777">
        <w:trPr>
          <w:trHeight w:hRule="exact" w:val="240"/>
          <w:jc w:val="center"/>
        </w:trPr>
        <w:tc>
          <w:tcPr>
            <w:tcW w:w="9752" w:type="dxa"/>
            <w:gridSpan w:val="2"/>
            <w:tcBorders>
              <w:top w:val="nil"/>
              <w:left w:val="nil"/>
              <w:bottom w:val="nil"/>
              <w:right w:val="nil"/>
            </w:tcBorders>
          </w:tcPr>
          <w:p w14:paraId="0A94343A" w14:textId="77777777" w:rsidR="00AB098C" w:rsidRPr="004C5526" w:rsidRDefault="00AB098C"/>
        </w:tc>
      </w:tr>
      <w:tr w:rsidR="004C5526" w:rsidRPr="004C5526" w14:paraId="1FB50B3E" w14:textId="77777777">
        <w:trPr>
          <w:trHeight w:val="240"/>
          <w:jc w:val="center"/>
        </w:trPr>
        <w:tc>
          <w:tcPr>
            <w:tcW w:w="4876" w:type="dxa"/>
            <w:tcBorders>
              <w:top w:val="nil"/>
              <w:left w:val="nil"/>
              <w:bottom w:val="nil"/>
              <w:right w:val="nil"/>
            </w:tcBorders>
          </w:tcPr>
          <w:p w14:paraId="258B1CFF"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64E426E5" w14:textId="77777777" w:rsidR="00AB098C" w:rsidRPr="004C5526" w:rsidRDefault="004C5526">
            <w:pPr>
              <w:pStyle w:val="AmColumnHeading"/>
            </w:pPr>
            <w:r w:rsidRPr="004C5526">
              <w:t>Emendamento</w:t>
            </w:r>
          </w:p>
        </w:tc>
      </w:tr>
      <w:tr w:rsidR="004C5526" w:rsidRPr="004C5526" w14:paraId="1A4C7A08" w14:textId="77777777">
        <w:trPr>
          <w:jc w:val="center"/>
        </w:trPr>
        <w:tc>
          <w:tcPr>
            <w:tcW w:w="4876" w:type="dxa"/>
            <w:tcBorders>
              <w:top w:val="nil"/>
              <w:left w:val="nil"/>
              <w:bottom w:val="nil"/>
              <w:right w:val="nil"/>
            </w:tcBorders>
          </w:tcPr>
          <w:p w14:paraId="7F7CFA26" w14:textId="77777777" w:rsidR="00AB098C" w:rsidRPr="004C5526" w:rsidRDefault="00AB098C">
            <w:pPr>
              <w:pStyle w:val="Normal6a"/>
            </w:pPr>
          </w:p>
        </w:tc>
        <w:tc>
          <w:tcPr>
            <w:tcW w:w="4876" w:type="dxa"/>
            <w:tcBorders>
              <w:top w:val="nil"/>
              <w:left w:val="nil"/>
              <w:bottom w:val="nil"/>
              <w:right w:val="nil"/>
            </w:tcBorders>
          </w:tcPr>
          <w:p w14:paraId="78957F95" w14:textId="3A1F513C" w:rsidR="00AB098C" w:rsidRPr="004C5526" w:rsidRDefault="004C5526">
            <w:pPr>
              <w:pStyle w:val="Normal6a"/>
            </w:pPr>
            <w:r w:rsidRPr="004C5526">
              <w:rPr>
                <w:b/>
                <w:i/>
              </w:rPr>
              <w:t>2 bis.</w:t>
            </w:r>
            <w:r w:rsidRPr="004C5526">
              <w:tab/>
            </w:r>
            <w:r w:rsidRPr="004C5526">
              <w:rPr>
                <w:b/>
                <w:i/>
              </w:rPr>
              <w:t>deplora che non tutti gli Stati membri partecipino all'EPPO, il che crea lacune in materia di applicazione della legge che indeboliscono la capacità dell'UE di tutelare in modo uniforme i propri interessi finanziari; osserva che nel 2024 l'EPPO ha emesso un numero significativo di ordini europei di indagine e richieste di assistenza giudiziaria reciproca che hanno coinvolto Stati membri non partecipanti, creando ulteriori oneri procedurali e rischiando la perdita di prove; ribadisce l'invito a tutti i resta</w:t>
            </w:r>
            <w:r w:rsidRPr="004C5526">
              <w:rPr>
                <w:b/>
                <w:i/>
              </w:rPr>
              <w:t>nti Stati membri non partecipanti ad aderire all'EPPO senza ulteriori indugi;</w:t>
            </w:r>
          </w:p>
        </w:tc>
      </w:tr>
    </w:tbl>
    <w:p w14:paraId="02F244F9"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234CC38C"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52F6A974"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53</w:t>
      </w:r>
      <w:r w:rsidRPr="004C5526">
        <w:rPr>
          <w:rStyle w:val="HideTWBExt"/>
          <w:color w:val="auto"/>
        </w:rPr>
        <w:t>&lt;/NumAm&gt;</w:t>
      </w:r>
    </w:p>
    <w:p w14:paraId="5BCF9E95"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53</w:t>
      </w:r>
      <w:r w:rsidRPr="004C5526">
        <w:rPr>
          <w:rStyle w:val="HideTWBExt"/>
          <w:b w:val="0"/>
          <w:color w:val="auto"/>
        </w:rPr>
        <w:t>&lt;/NumAm&gt;</w:t>
      </w:r>
    </w:p>
    <w:p w14:paraId="470392FE"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6F2B0472"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60567203" w14:textId="77777777" w:rsidR="00AB098C" w:rsidRPr="004C5526" w:rsidRDefault="004C5526">
      <w:pPr>
        <w:pStyle w:val="NormalBold"/>
      </w:pPr>
      <w:r w:rsidRPr="004C5526">
        <w:rPr>
          <w:rStyle w:val="HideTWBExt"/>
          <w:b w:val="0"/>
          <w:color w:val="auto"/>
        </w:rPr>
        <w:t>&lt;/By&gt;&lt;/RepeatBlock-By&gt;</w:t>
      </w:r>
    </w:p>
    <w:p w14:paraId="6F60CCCE"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6F9DF45E"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19B4ABF8" w14:textId="5CA79DD2"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4335F946"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08A8C468"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4D837251" w14:textId="77777777" w:rsidR="00AB098C" w:rsidRPr="004C5526" w:rsidRDefault="004C5526">
      <w:pPr>
        <w:pStyle w:val="NormalBold"/>
      </w:pPr>
      <w:r w:rsidRPr="004C5526">
        <w:rPr>
          <w:rStyle w:val="HideTWBExt"/>
          <w:b w:val="0"/>
          <w:color w:val="auto"/>
        </w:rPr>
        <w:t>&lt;Article&gt;</w:t>
      </w:r>
      <w:r w:rsidRPr="004C5526">
        <w:t>Paragrafo 3</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1FA13BA9" w14:textId="77777777">
        <w:trPr>
          <w:trHeight w:hRule="exact" w:val="240"/>
          <w:jc w:val="center"/>
        </w:trPr>
        <w:tc>
          <w:tcPr>
            <w:tcW w:w="9752" w:type="dxa"/>
            <w:gridSpan w:val="2"/>
            <w:tcBorders>
              <w:top w:val="nil"/>
              <w:left w:val="nil"/>
              <w:bottom w:val="nil"/>
              <w:right w:val="nil"/>
            </w:tcBorders>
          </w:tcPr>
          <w:p w14:paraId="46C57188" w14:textId="77777777" w:rsidR="00AB098C" w:rsidRPr="004C5526" w:rsidRDefault="00AB098C"/>
        </w:tc>
      </w:tr>
      <w:tr w:rsidR="004C5526" w:rsidRPr="004C5526" w14:paraId="4A9D3AC4" w14:textId="77777777">
        <w:trPr>
          <w:trHeight w:val="240"/>
          <w:jc w:val="center"/>
        </w:trPr>
        <w:tc>
          <w:tcPr>
            <w:tcW w:w="4876" w:type="dxa"/>
            <w:tcBorders>
              <w:top w:val="nil"/>
              <w:left w:val="nil"/>
              <w:bottom w:val="nil"/>
              <w:right w:val="nil"/>
            </w:tcBorders>
          </w:tcPr>
          <w:p w14:paraId="077A804A"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01984BB6" w14:textId="77777777" w:rsidR="00AB098C" w:rsidRPr="004C5526" w:rsidRDefault="004C5526">
            <w:pPr>
              <w:pStyle w:val="AmColumnHeading"/>
            </w:pPr>
            <w:r w:rsidRPr="004C5526">
              <w:t>Emendamento</w:t>
            </w:r>
          </w:p>
        </w:tc>
      </w:tr>
      <w:tr w:rsidR="004C5526" w:rsidRPr="004C5526" w14:paraId="461AF8AA" w14:textId="77777777">
        <w:trPr>
          <w:jc w:val="center"/>
        </w:trPr>
        <w:tc>
          <w:tcPr>
            <w:tcW w:w="4876" w:type="dxa"/>
            <w:tcBorders>
              <w:top w:val="nil"/>
              <w:left w:val="nil"/>
              <w:bottom w:val="nil"/>
              <w:right w:val="nil"/>
            </w:tcBorders>
          </w:tcPr>
          <w:p w14:paraId="0CE44D25" w14:textId="339AE777" w:rsidR="00AB098C" w:rsidRPr="004C5526" w:rsidRDefault="004C5526">
            <w:pPr>
              <w:pStyle w:val="Normal6a"/>
            </w:pPr>
            <w:r w:rsidRPr="004C5526">
              <w:t>3.</w:t>
            </w:r>
            <w:r w:rsidRPr="004C5526">
              <w:tab/>
            </w:r>
            <w:r w:rsidRPr="004C5526">
              <w:t xml:space="preserve">sottolinea che lo Stato di diritto è una pietra angolare dell'UE ed è essenziale per tutelare gli interessi finanziari dell'UE in tutti gli Stati membri; pone l'accento sul fatto che il meccanismo di condizionalità dello Stato di diritto deve essere applicato qualora le violazioni incidano </w:t>
            </w:r>
            <w:r w:rsidRPr="004C5526">
              <w:rPr>
                <w:b/>
                <w:bCs/>
                <w:i/>
                <w:iCs/>
              </w:rPr>
              <w:t>direttamente</w:t>
            </w:r>
            <w:r w:rsidRPr="004C5526">
              <w:t xml:space="preserve"> </w:t>
            </w:r>
            <w:r w:rsidRPr="004C5526">
              <w:rPr>
                <w:b/>
                <w:bCs/>
                <w:i/>
                <w:iCs/>
              </w:rPr>
              <w:t>sul</w:t>
            </w:r>
            <w:r w:rsidRPr="004C5526">
              <w:t xml:space="preserve"> bilancio dell'UE; sottolinea che le decisioni volte a tutelare gli interessi finanziari dell'UE devono basarsi su conclusioni tecniche e giuridiche; invita la Commissione a garantire un uso coerente e pro</w:t>
            </w:r>
            <w:r w:rsidRPr="004C5526">
              <w:t>porzionato del meccanismo, rispettando nel contempo la responsabilità primaria degli Stati membri di difendere i principi dello Stato di diritto e assicurando la coerenza tra gli strumenti dell'UE;</w:t>
            </w:r>
          </w:p>
        </w:tc>
        <w:tc>
          <w:tcPr>
            <w:tcW w:w="4876" w:type="dxa"/>
            <w:tcBorders>
              <w:top w:val="nil"/>
              <w:left w:val="nil"/>
              <w:bottom w:val="nil"/>
              <w:right w:val="nil"/>
            </w:tcBorders>
          </w:tcPr>
          <w:p w14:paraId="2D703E83" w14:textId="077BD94F" w:rsidR="00AB098C" w:rsidRPr="004C5526" w:rsidRDefault="004C5526">
            <w:pPr>
              <w:pStyle w:val="Normal6a"/>
            </w:pPr>
            <w:r w:rsidRPr="004C5526">
              <w:t>3.</w:t>
            </w:r>
            <w:r w:rsidRPr="004C5526">
              <w:tab/>
              <w:t xml:space="preserve">sottolinea che lo Stato di diritto è una pietra angolare dell'UE ed è essenziale per tutelare gli interessi finanziari dell'UE in tutti gli Stati membri; pone l'accento sul fatto che il meccanismo di condizionalità dello Stato di diritto deve essere applicato qualora le violazioni </w:t>
            </w:r>
            <w:r w:rsidRPr="004C5526">
              <w:rPr>
                <w:b/>
                <w:bCs/>
                <w:i/>
                <w:iCs/>
              </w:rPr>
              <w:t xml:space="preserve">dell'indipendenza della magistratura, della capacità di azione penale, della responsabilità o della trasparenza </w:t>
            </w:r>
            <w:r w:rsidRPr="004C5526">
              <w:t xml:space="preserve">incidano </w:t>
            </w:r>
            <w:r w:rsidRPr="004C5526">
              <w:rPr>
                <w:b/>
                <w:bCs/>
                <w:i/>
                <w:iCs/>
              </w:rPr>
              <w:t xml:space="preserve">o rischino di incidere sulla sana gestione finanziaria del </w:t>
            </w:r>
            <w:r w:rsidRPr="004C5526">
              <w:t>bilancio dell'UE</w:t>
            </w:r>
            <w:r w:rsidRPr="004C5526">
              <w:rPr>
                <w:b/>
                <w:bCs/>
                <w:i/>
                <w:iCs/>
              </w:rPr>
              <w:t xml:space="preserve">, in linea con la giurisprudenza </w:t>
            </w:r>
            <w:r w:rsidRPr="004C5526">
              <w:rPr>
                <w:b/>
                <w:bCs/>
                <w:i/>
                <w:iCs/>
              </w:rPr>
              <w:t>consolidata della Corte di giustizia</w:t>
            </w:r>
            <w:r w:rsidRPr="004C5526">
              <w:t>; sottolinea che le decisioni volte a tutelare gli interessi finanziari dell'UE devono basarsi su conclusioni tecniche e giuridiche; invita la Commissione a garantire un uso coerente e proporzionato del meccanismo, rispettando nel contempo la responsabilità primaria degli Stati membri di difendere i principi dello Stato di diritto e assicurando la coerenza tra gli strumenti dell'UE;</w:t>
            </w:r>
          </w:p>
        </w:tc>
      </w:tr>
    </w:tbl>
    <w:p w14:paraId="13C259C4"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21FA7D09"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219B8B07"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54</w:t>
      </w:r>
      <w:r w:rsidRPr="004C5526">
        <w:rPr>
          <w:rStyle w:val="HideTWBExt"/>
          <w:color w:val="auto"/>
        </w:rPr>
        <w:t>&lt;/NumAm&gt;</w:t>
      </w:r>
    </w:p>
    <w:p w14:paraId="67314D54"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54</w:t>
      </w:r>
      <w:r w:rsidRPr="004C5526">
        <w:rPr>
          <w:rStyle w:val="HideTWBExt"/>
          <w:b w:val="0"/>
          <w:color w:val="auto"/>
        </w:rPr>
        <w:t>&lt;/NumAm&gt;</w:t>
      </w:r>
    </w:p>
    <w:p w14:paraId="69707BC9"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1B49B9EB"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766E356C" w14:textId="77777777" w:rsidR="00AB098C" w:rsidRPr="004C5526" w:rsidRDefault="004C5526">
      <w:pPr>
        <w:pStyle w:val="NormalBold"/>
      </w:pPr>
      <w:r w:rsidRPr="004C5526">
        <w:rPr>
          <w:rStyle w:val="HideTWBExt"/>
          <w:b w:val="0"/>
          <w:color w:val="auto"/>
        </w:rPr>
        <w:t>&lt;/By&gt;&lt;/RepeatBlock-By&gt;</w:t>
      </w:r>
    </w:p>
    <w:p w14:paraId="7D047441"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2EECE3EA"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50F05D0D" w14:textId="50C0726E"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302E9BC8"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071B1C41"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36179FDD" w14:textId="77777777" w:rsidR="00AB098C" w:rsidRPr="004C5526" w:rsidRDefault="004C5526">
      <w:pPr>
        <w:pStyle w:val="NormalBold"/>
      </w:pPr>
      <w:r w:rsidRPr="004C5526">
        <w:rPr>
          <w:rStyle w:val="HideTWBExt"/>
          <w:b w:val="0"/>
          <w:color w:val="auto"/>
        </w:rPr>
        <w:t>&lt;Article&gt;</w:t>
      </w:r>
      <w:r w:rsidRPr="004C5526">
        <w:t>Paragrafo 3 bis (nuovo)</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54AF2CE3" w14:textId="77777777">
        <w:trPr>
          <w:trHeight w:hRule="exact" w:val="240"/>
          <w:jc w:val="center"/>
        </w:trPr>
        <w:tc>
          <w:tcPr>
            <w:tcW w:w="9752" w:type="dxa"/>
            <w:gridSpan w:val="2"/>
            <w:tcBorders>
              <w:top w:val="nil"/>
              <w:left w:val="nil"/>
              <w:bottom w:val="nil"/>
              <w:right w:val="nil"/>
            </w:tcBorders>
          </w:tcPr>
          <w:p w14:paraId="435CA83E" w14:textId="77777777" w:rsidR="00AB098C" w:rsidRPr="004C5526" w:rsidRDefault="00AB098C"/>
        </w:tc>
      </w:tr>
      <w:tr w:rsidR="004C5526" w:rsidRPr="004C5526" w14:paraId="5BFEF2D6" w14:textId="77777777">
        <w:trPr>
          <w:trHeight w:val="240"/>
          <w:jc w:val="center"/>
        </w:trPr>
        <w:tc>
          <w:tcPr>
            <w:tcW w:w="4876" w:type="dxa"/>
            <w:tcBorders>
              <w:top w:val="nil"/>
              <w:left w:val="nil"/>
              <w:bottom w:val="nil"/>
              <w:right w:val="nil"/>
            </w:tcBorders>
          </w:tcPr>
          <w:p w14:paraId="5F59DC8D"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156EF022" w14:textId="77777777" w:rsidR="00AB098C" w:rsidRPr="004C5526" w:rsidRDefault="004C5526">
            <w:pPr>
              <w:pStyle w:val="AmColumnHeading"/>
            </w:pPr>
            <w:r w:rsidRPr="004C5526">
              <w:t>Emendamento</w:t>
            </w:r>
          </w:p>
        </w:tc>
      </w:tr>
      <w:tr w:rsidR="004C5526" w:rsidRPr="004C5526" w14:paraId="4ADC2E69" w14:textId="77777777">
        <w:trPr>
          <w:jc w:val="center"/>
        </w:trPr>
        <w:tc>
          <w:tcPr>
            <w:tcW w:w="4876" w:type="dxa"/>
            <w:tcBorders>
              <w:top w:val="nil"/>
              <w:left w:val="nil"/>
              <w:bottom w:val="nil"/>
              <w:right w:val="nil"/>
            </w:tcBorders>
          </w:tcPr>
          <w:p w14:paraId="5EB6D534" w14:textId="77777777" w:rsidR="00AB098C" w:rsidRPr="004C5526" w:rsidRDefault="00AB098C">
            <w:pPr>
              <w:pStyle w:val="Normal6a"/>
            </w:pPr>
          </w:p>
        </w:tc>
        <w:tc>
          <w:tcPr>
            <w:tcW w:w="4876" w:type="dxa"/>
            <w:tcBorders>
              <w:top w:val="nil"/>
              <w:left w:val="nil"/>
              <w:bottom w:val="nil"/>
              <w:right w:val="nil"/>
            </w:tcBorders>
          </w:tcPr>
          <w:p w14:paraId="271E2773" w14:textId="583C3293" w:rsidR="00AB098C" w:rsidRPr="004C5526" w:rsidRDefault="004C5526">
            <w:pPr>
              <w:pStyle w:val="Normal6a"/>
            </w:pPr>
            <w:r w:rsidRPr="004C5526">
              <w:rPr>
                <w:b/>
                <w:i/>
              </w:rPr>
              <w:t>3 bis.</w:t>
            </w:r>
            <w:r w:rsidRPr="004C5526">
              <w:tab/>
            </w:r>
            <w:r w:rsidRPr="004C5526">
              <w:rPr>
                <w:b/>
                <w:i/>
              </w:rPr>
              <w:t>prende atto con grave preoccupazione del continuo deterioramento dello Stato di diritto in alcuni Stati membri, in particolare in Ungheria, dove sono stati ripetutamente individuati rischi sistemici per gli interessi finanziari dell'Unione, anche da parte della Corte dei conti europea, dell'OLAF e dell'EPPO; ricorda che nel dicembre 2022 il Consiglio ha sospeso 6,3 miliardi di EUR di fondi di coesione a favore dell'Ungheria a norma del regolamento sulla condizionalità e che importi sostanziali rimangono con</w:t>
            </w:r>
            <w:r w:rsidRPr="004C5526">
              <w:rPr>
                <w:b/>
                <w:i/>
              </w:rPr>
              <w:t>gelati a causa di preoccupazioni irrisolte in materia di appalti pubblici e quadri anticorruzione; sottolinea che tali risultati non sono di natura politica, ma si basano su prove oggettive, documentate e ripetutamente verificate; ribadisce che la condizionalità dello Stato di diritto non è uno strumento politico, bensì una salvaguardia per il bilancio dell'Unione, da applicare in modo coerente ogniqualvolta si concretizzino rischi;</w:t>
            </w:r>
          </w:p>
        </w:tc>
      </w:tr>
    </w:tbl>
    <w:p w14:paraId="7BED3E7E"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57836B7F"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67BFCD90"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55</w:t>
      </w:r>
      <w:r w:rsidRPr="004C5526">
        <w:rPr>
          <w:rStyle w:val="HideTWBExt"/>
          <w:color w:val="auto"/>
        </w:rPr>
        <w:t>&lt;/NumAm&gt;</w:t>
      </w:r>
    </w:p>
    <w:p w14:paraId="443DF2C4"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55</w:t>
      </w:r>
      <w:r w:rsidRPr="004C5526">
        <w:rPr>
          <w:rStyle w:val="HideTWBExt"/>
          <w:b w:val="0"/>
          <w:color w:val="auto"/>
        </w:rPr>
        <w:t>&lt;/NumAm&gt;</w:t>
      </w:r>
    </w:p>
    <w:p w14:paraId="179720CC"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1BD1F28D"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6052C6CA" w14:textId="77777777" w:rsidR="00AB098C" w:rsidRPr="004C5526" w:rsidRDefault="004C5526">
      <w:pPr>
        <w:pStyle w:val="NormalBold"/>
      </w:pPr>
      <w:r w:rsidRPr="004C5526">
        <w:rPr>
          <w:rStyle w:val="HideTWBExt"/>
          <w:b w:val="0"/>
          <w:color w:val="auto"/>
        </w:rPr>
        <w:t>&lt;/By&gt;&lt;/RepeatBlock-By&gt;</w:t>
      </w:r>
    </w:p>
    <w:p w14:paraId="62A11CBB"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59D81A9B"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5281A2FF" w14:textId="2D351118"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5256DFAF"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69D02E9D"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72992868" w14:textId="77777777" w:rsidR="00AB098C" w:rsidRPr="004C5526" w:rsidRDefault="004C5526">
      <w:pPr>
        <w:pStyle w:val="NormalBold"/>
      </w:pPr>
      <w:r w:rsidRPr="004C5526">
        <w:rPr>
          <w:rStyle w:val="HideTWBExt"/>
          <w:b w:val="0"/>
          <w:color w:val="auto"/>
        </w:rPr>
        <w:t>&lt;Article&gt;</w:t>
      </w:r>
      <w:r w:rsidRPr="004C5526">
        <w:t>Paragrafo 25 bis (nuovo)</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1367AD2B" w14:textId="77777777">
        <w:trPr>
          <w:trHeight w:hRule="exact" w:val="240"/>
          <w:jc w:val="center"/>
        </w:trPr>
        <w:tc>
          <w:tcPr>
            <w:tcW w:w="9752" w:type="dxa"/>
            <w:gridSpan w:val="2"/>
            <w:tcBorders>
              <w:top w:val="nil"/>
              <w:left w:val="nil"/>
              <w:bottom w:val="nil"/>
              <w:right w:val="nil"/>
            </w:tcBorders>
          </w:tcPr>
          <w:p w14:paraId="78B002C8" w14:textId="77777777" w:rsidR="00AB098C" w:rsidRPr="004C5526" w:rsidRDefault="00AB098C"/>
        </w:tc>
      </w:tr>
      <w:tr w:rsidR="004C5526" w:rsidRPr="004C5526" w14:paraId="69E23460" w14:textId="77777777">
        <w:trPr>
          <w:trHeight w:val="240"/>
          <w:jc w:val="center"/>
        </w:trPr>
        <w:tc>
          <w:tcPr>
            <w:tcW w:w="4876" w:type="dxa"/>
            <w:tcBorders>
              <w:top w:val="nil"/>
              <w:left w:val="nil"/>
              <w:bottom w:val="nil"/>
              <w:right w:val="nil"/>
            </w:tcBorders>
          </w:tcPr>
          <w:p w14:paraId="0B6AFD80"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228BD7CA" w14:textId="77777777" w:rsidR="00AB098C" w:rsidRPr="004C5526" w:rsidRDefault="004C5526">
            <w:pPr>
              <w:pStyle w:val="AmColumnHeading"/>
            </w:pPr>
            <w:r w:rsidRPr="004C5526">
              <w:t>Emendamento</w:t>
            </w:r>
          </w:p>
        </w:tc>
      </w:tr>
      <w:tr w:rsidR="004C5526" w:rsidRPr="004C5526" w14:paraId="4CCF76E6" w14:textId="77777777">
        <w:trPr>
          <w:jc w:val="center"/>
        </w:trPr>
        <w:tc>
          <w:tcPr>
            <w:tcW w:w="4876" w:type="dxa"/>
            <w:tcBorders>
              <w:top w:val="nil"/>
              <w:left w:val="nil"/>
              <w:bottom w:val="nil"/>
              <w:right w:val="nil"/>
            </w:tcBorders>
          </w:tcPr>
          <w:p w14:paraId="26003878" w14:textId="77777777" w:rsidR="00AB098C" w:rsidRPr="004C5526" w:rsidRDefault="00AB098C">
            <w:pPr>
              <w:pStyle w:val="Normal6a"/>
            </w:pPr>
          </w:p>
        </w:tc>
        <w:tc>
          <w:tcPr>
            <w:tcW w:w="4876" w:type="dxa"/>
            <w:tcBorders>
              <w:top w:val="nil"/>
              <w:left w:val="nil"/>
              <w:bottom w:val="nil"/>
              <w:right w:val="nil"/>
            </w:tcBorders>
          </w:tcPr>
          <w:p w14:paraId="71831527" w14:textId="0CB06975" w:rsidR="00AB098C" w:rsidRPr="004C5526" w:rsidRDefault="004C5526">
            <w:pPr>
              <w:pStyle w:val="Normal6a"/>
            </w:pPr>
            <w:r w:rsidRPr="004C5526">
              <w:rPr>
                <w:b/>
                <w:i/>
              </w:rPr>
              <w:t>25 bis.</w:t>
            </w:r>
            <w:r w:rsidRPr="004C5526">
              <w:tab/>
            </w:r>
            <w:r w:rsidRPr="004C5526">
              <w:rPr>
                <w:b/>
                <w:i/>
              </w:rPr>
              <w:t>riconosce il ruolo essenziale svolto dalle organizzazioni della società civile, dalle organizzazioni non governative e dai sindacati nel monitorare l'utilizzo dei fondi dell'Unione, segnalare i sospetti di frode, sostenere gli informatori e fornire un controllo indipendente che integri il lavoro degli organismi antifrode dell'UE; respinge qualsiasi tentativo di strumentalizzare le preoccupazioni in merito all'uso dei fondi dell'Unione da parte di organizzazioni non governative per giustificare restrizioni g</w:t>
            </w:r>
            <w:r w:rsidRPr="004C5526">
              <w:rPr>
                <w:b/>
                <w:i/>
              </w:rPr>
              <w:t>eneralizzate nei confronti della società civile; ricorda che le restrizioni sproporzionate imposte alle organizzazioni della società civile sono esse stesse un segnale d'allarme per il deterioramento dello Stato di diritto;</w:t>
            </w:r>
          </w:p>
        </w:tc>
      </w:tr>
    </w:tbl>
    <w:p w14:paraId="4E11279A"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w:t>
      </w:r>
      <w:r w:rsidRPr="004C5526">
        <w:rPr>
          <w:rStyle w:val="HideTWBExt"/>
          <w:color w:val="auto"/>
        </w:rPr>
        <w:t>Original&gt;</w:t>
      </w:r>
    </w:p>
    <w:p w14:paraId="032914D1"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5A104F8B"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56</w:t>
      </w:r>
      <w:r w:rsidRPr="004C5526">
        <w:rPr>
          <w:rStyle w:val="HideTWBExt"/>
          <w:color w:val="auto"/>
        </w:rPr>
        <w:t>&lt;/NumAm&gt;</w:t>
      </w:r>
    </w:p>
    <w:p w14:paraId="3EC87B7D"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56</w:t>
      </w:r>
      <w:r w:rsidRPr="004C5526">
        <w:rPr>
          <w:rStyle w:val="HideTWBExt"/>
          <w:b w:val="0"/>
          <w:color w:val="auto"/>
        </w:rPr>
        <w:t>&lt;/NumAm&gt;</w:t>
      </w:r>
    </w:p>
    <w:p w14:paraId="2C363BC9"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37A04B89"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1B7EA57B" w14:textId="77777777" w:rsidR="00AB098C" w:rsidRPr="004C5526" w:rsidRDefault="004C5526">
      <w:pPr>
        <w:pStyle w:val="NormalBold"/>
      </w:pPr>
      <w:r w:rsidRPr="004C5526">
        <w:rPr>
          <w:rStyle w:val="HideTWBExt"/>
          <w:b w:val="0"/>
          <w:color w:val="auto"/>
        </w:rPr>
        <w:t>&lt;/By&gt;&lt;/RepeatBlock-By&gt;</w:t>
      </w:r>
    </w:p>
    <w:p w14:paraId="649F29F0"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4918B640"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54149BD3" w14:textId="37F21427"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35AAE10B"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77883258"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3F004185" w14:textId="77777777" w:rsidR="00AB098C" w:rsidRPr="004C5526" w:rsidRDefault="004C5526">
      <w:pPr>
        <w:pStyle w:val="NormalBold"/>
      </w:pPr>
      <w:r w:rsidRPr="004C5526">
        <w:rPr>
          <w:rStyle w:val="HideTWBExt"/>
          <w:b w:val="0"/>
          <w:color w:val="auto"/>
        </w:rPr>
        <w:t>&lt;Article&gt;</w:t>
      </w:r>
      <w:r w:rsidRPr="004C5526">
        <w:t>Paragrafo 43 bis (nuovo)</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7A097F21" w14:textId="77777777">
        <w:trPr>
          <w:trHeight w:hRule="exact" w:val="240"/>
          <w:jc w:val="center"/>
        </w:trPr>
        <w:tc>
          <w:tcPr>
            <w:tcW w:w="9752" w:type="dxa"/>
            <w:gridSpan w:val="2"/>
            <w:tcBorders>
              <w:top w:val="nil"/>
              <w:left w:val="nil"/>
              <w:bottom w:val="nil"/>
              <w:right w:val="nil"/>
            </w:tcBorders>
          </w:tcPr>
          <w:p w14:paraId="07DE665C" w14:textId="77777777" w:rsidR="00AB098C" w:rsidRPr="004C5526" w:rsidRDefault="00AB098C"/>
        </w:tc>
      </w:tr>
      <w:tr w:rsidR="004C5526" w:rsidRPr="004C5526" w14:paraId="6AA85220" w14:textId="77777777">
        <w:trPr>
          <w:trHeight w:val="240"/>
          <w:jc w:val="center"/>
        </w:trPr>
        <w:tc>
          <w:tcPr>
            <w:tcW w:w="4876" w:type="dxa"/>
            <w:tcBorders>
              <w:top w:val="nil"/>
              <w:left w:val="nil"/>
              <w:bottom w:val="nil"/>
              <w:right w:val="nil"/>
            </w:tcBorders>
          </w:tcPr>
          <w:p w14:paraId="595F1F88"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314978B4" w14:textId="77777777" w:rsidR="00AB098C" w:rsidRPr="004C5526" w:rsidRDefault="004C5526">
            <w:pPr>
              <w:pStyle w:val="AmColumnHeading"/>
            </w:pPr>
            <w:r w:rsidRPr="004C5526">
              <w:t>Emendamento</w:t>
            </w:r>
          </w:p>
        </w:tc>
      </w:tr>
      <w:tr w:rsidR="004C5526" w:rsidRPr="004C5526" w14:paraId="540177D3" w14:textId="77777777">
        <w:trPr>
          <w:jc w:val="center"/>
        </w:trPr>
        <w:tc>
          <w:tcPr>
            <w:tcW w:w="4876" w:type="dxa"/>
            <w:tcBorders>
              <w:top w:val="nil"/>
              <w:left w:val="nil"/>
              <w:bottom w:val="nil"/>
              <w:right w:val="nil"/>
            </w:tcBorders>
          </w:tcPr>
          <w:p w14:paraId="5663936E" w14:textId="77777777" w:rsidR="00AB098C" w:rsidRPr="004C5526" w:rsidRDefault="00AB098C">
            <w:pPr>
              <w:pStyle w:val="Normal6a"/>
            </w:pPr>
          </w:p>
        </w:tc>
        <w:tc>
          <w:tcPr>
            <w:tcW w:w="4876" w:type="dxa"/>
            <w:tcBorders>
              <w:top w:val="nil"/>
              <w:left w:val="nil"/>
              <w:bottom w:val="nil"/>
              <w:right w:val="nil"/>
            </w:tcBorders>
          </w:tcPr>
          <w:p w14:paraId="451BBBD3" w14:textId="37E9973A" w:rsidR="00AB098C" w:rsidRPr="004C5526" w:rsidRDefault="004C5526">
            <w:pPr>
              <w:pStyle w:val="Normal6a"/>
            </w:pPr>
            <w:r w:rsidRPr="004C5526">
              <w:rPr>
                <w:b/>
                <w:i/>
              </w:rPr>
              <w:t>43 bis.</w:t>
            </w:r>
            <w:r w:rsidRPr="004C5526">
              <w:tab/>
            </w:r>
            <w:r w:rsidRPr="004C5526">
              <w:rPr>
                <w:b/>
                <w:i/>
              </w:rPr>
              <w:t>sottolinea che le campagne di disinformazione basate sull'IA, che prendono di mira le istituzioni dell'UE, compresi i contenuti coordinati concepiti per minare la fiducia negli organi anti-frode, nel bilancio dell'Unione e nello Stato di diritto, rappresentano un rischio diretto per gli interessi finanziari dell'Unione in quanto erodono il sostegno pubblico ai meccanismi di protezione e forniscono copertura a pratiche fraudolente; invita la Commissione, in cooperazione con l'OLAF, l'EPPO ed Europol, a svilu</w:t>
            </w:r>
            <w:r w:rsidRPr="004C5526">
              <w:rPr>
                <w:b/>
                <w:i/>
              </w:rPr>
              <w:t>ppare la capacità a livello dell'UE di individuare, documentare e contrastare le campagne di disinformazione basate sull'IA che prendono di mira la governance finanziaria dell'Unione;</w:t>
            </w:r>
          </w:p>
        </w:tc>
      </w:tr>
    </w:tbl>
    <w:p w14:paraId="575EC240"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694F00F7"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16E4FD44"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57</w:t>
      </w:r>
      <w:r w:rsidRPr="004C5526">
        <w:rPr>
          <w:rStyle w:val="HideTWBExt"/>
          <w:color w:val="auto"/>
        </w:rPr>
        <w:t>&lt;/NumAm&gt;</w:t>
      </w:r>
    </w:p>
    <w:p w14:paraId="69D4E501"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57</w:t>
      </w:r>
      <w:r w:rsidRPr="004C5526">
        <w:rPr>
          <w:rStyle w:val="HideTWBExt"/>
          <w:b w:val="0"/>
          <w:color w:val="auto"/>
        </w:rPr>
        <w:t>&lt;/NumAm&gt;</w:t>
      </w:r>
    </w:p>
    <w:p w14:paraId="27624642"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002E253A"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0556CDFB" w14:textId="77777777" w:rsidR="00AB098C" w:rsidRPr="004C5526" w:rsidRDefault="004C5526">
      <w:pPr>
        <w:pStyle w:val="NormalBold"/>
      </w:pPr>
      <w:r w:rsidRPr="004C5526">
        <w:rPr>
          <w:rStyle w:val="HideTWBExt"/>
          <w:b w:val="0"/>
          <w:color w:val="auto"/>
        </w:rPr>
        <w:t>&lt;/By&gt;&lt;/RepeatBlock-By&gt;</w:t>
      </w:r>
    </w:p>
    <w:p w14:paraId="6E28DA98"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3056DB36"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0F248029" w14:textId="2567AF97"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06555AB2"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1385222D"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757CE512" w14:textId="77777777" w:rsidR="00AB098C" w:rsidRPr="004C5526" w:rsidRDefault="004C5526">
      <w:pPr>
        <w:pStyle w:val="NormalBold"/>
      </w:pPr>
      <w:r w:rsidRPr="004C5526">
        <w:rPr>
          <w:rStyle w:val="HideTWBExt"/>
          <w:b w:val="0"/>
          <w:color w:val="auto"/>
        </w:rPr>
        <w:t>&lt;Article&gt;</w:t>
      </w:r>
      <w:r w:rsidRPr="004C5526">
        <w:t>Paragrafo 53</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1369C1C6" w14:textId="77777777">
        <w:trPr>
          <w:trHeight w:hRule="exact" w:val="240"/>
          <w:jc w:val="center"/>
        </w:trPr>
        <w:tc>
          <w:tcPr>
            <w:tcW w:w="9752" w:type="dxa"/>
            <w:gridSpan w:val="2"/>
            <w:tcBorders>
              <w:top w:val="nil"/>
              <w:left w:val="nil"/>
              <w:bottom w:val="nil"/>
              <w:right w:val="nil"/>
            </w:tcBorders>
          </w:tcPr>
          <w:p w14:paraId="536CE3BE" w14:textId="77777777" w:rsidR="00AB098C" w:rsidRPr="004C5526" w:rsidRDefault="00AB098C"/>
        </w:tc>
      </w:tr>
      <w:tr w:rsidR="004C5526" w:rsidRPr="004C5526" w14:paraId="35E7FF05" w14:textId="77777777">
        <w:trPr>
          <w:trHeight w:val="240"/>
          <w:jc w:val="center"/>
        </w:trPr>
        <w:tc>
          <w:tcPr>
            <w:tcW w:w="4876" w:type="dxa"/>
            <w:tcBorders>
              <w:top w:val="nil"/>
              <w:left w:val="nil"/>
              <w:bottom w:val="nil"/>
              <w:right w:val="nil"/>
            </w:tcBorders>
          </w:tcPr>
          <w:p w14:paraId="5B3B82EC"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151A8834" w14:textId="77777777" w:rsidR="00AB098C" w:rsidRPr="004C5526" w:rsidRDefault="004C5526">
            <w:pPr>
              <w:pStyle w:val="AmColumnHeading"/>
            </w:pPr>
            <w:r w:rsidRPr="004C5526">
              <w:t>Emendamento</w:t>
            </w:r>
          </w:p>
        </w:tc>
      </w:tr>
      <w:tr w:rsidR="004C5526" w:rsidRPr="004C5526" w14:paraId="143B3E26" w14:textId="77777777">
        <w:trPr>
          <w:jc w:val="center"/>
        </w:trPr>
        <w:tc>
          <w:tcPr>
            <w:tcW w:w="4876" w:type="dxa"/>
            <w:tcBorders>
              <w:top w:val="nil"/>
              <w:left w:val="nil"/>
              <w:bottom w:val="nil"/>
              <w:right w:val="nil"/>
            </w:tcBorders>
          </w:tcPr>
          <w:p w14:paraId="202F2B46" w14:textId="77777777" w:rsidR="00AB098C" w:rsidRPr="004C5526" w:rsidRDefault="004C5526">
            <w:pPr>
              <w:pStyle w:val="Normal6a"/>
            </w:pPr>
            <w:r w:rsidRPr="004C5526">
              <w:t>53.</w:t>
            </w:r>
            <w:r w:rsidRPr="004C5526">
              <w:tab/>
            </w:r>
            <w:r w:rsidRPr="004C5526">
              <w:t xml:space="preserve">ricorda che il meccanismo di condizionalità di bilancio istituito dal regolamento sulla condizionalità è uno strumento giuridicamente regolamentato atto a prevenire i rischi per il bilancio dell'UE; </w:t>
            </w:r>
            <w:r w:rsidRPr="004C5526">
              <w:rPr>
                <w:b/>
                <w:bCs/>
                <w:i/>
                <w:iCs/>
              </w:rPr>
              <w:t>osserva che la sua applicazione può tuttavia essere giustificata solo in presenza di un nesso diretto, reale e dimostrato tra le carenze riscontrate e il pregiudizio arrecato</w:t>
            </w:r>
            <w:r w:rsidRPr="004C5526">
              <w:t xml:space="preserve"> </w:t>
            </w:r>
            <w:r w:rsidRPr="004C5526">
              <w:rPr>
                <w:b/>
                <w:bCs/>
                <w:i/>
                <w:iCs/>
              </w:rPr>
              <w:t>agli</w:t>
            </w:r>
            <w:r w:rsidRPr="004C5526">
              <w:t xml:space="preserve"> interessi finanziari dell'UE;</w:t>
            </w:r>
            <w:r w:rsidRPr="004C5526">
              <w:rPr>
                <w:b/>
                <w:i/>
              </w:rPr>
              <w:t xml:space="preserve"> </w:t>
            </w:r>
            <w:r w:rsidRPr="004C5526">
              <w:rPr>
                <w:b/>
                <w:bCs/>
                <w:i/>
                <w:iCs/>
              </w:rPr>
              <w:t>esprime preoccupazione per il fatto che qualsiasi estensione del suo ambito di applicazione al di là di</w:t>
            </w:r>
            <w:r w:rsidRPr="004C5526">
              <w:rPr>
                <w:b/>
                <w:bCs/>
                <w:i/>
                <w:iCs/>
              </w:rPr>
              <w:t xml:space="preserve"> tale obiettivo di bilancio sarebbe contraria allo spirito dei trattati e al principio di proporzionalità;</w:t>
            </w:r>
            <w:r w:rsidRPr="004C5526">
              <w:t xml:space="preserve"> ricorda che la legittimità di tale meccanismo si basa su un'applicazione </w:t>
            </w:r>
            <w:r w:rsidRPr="004C5526">
              <w:rPr>
                <w:b/>
                <w:bCs/>
                <w:i/>
                <w:iCs/>
              </w:rPr>
              <w:t>rigorosamente</w:t>
            </w:r>
            <w:r w:rsidRPr="004C5526">
              <w:t xml:space="preserve"> obiettiva, priva di </w:t>
            </w:r>
            <w:r w:rsidRPr="004C5526">
              <w:rPr>
                <w:b/>
                <w:bCs/>
                <w:i/>
                <w:iCs/>
              </w:rPr>
              <w:t>qualsiasi considerazione di natura politica e rispettosa della parità di trattamento tra gli Stati membri</w:t>
            </w:r>
            <w:r w:rsidRPr="004C5526">
              <w:t>;</w:t>
            </w:r>
            <w:r w:rsidRPr="004C5526">
              <w:rPr>
                <w:b/>
                <w:i/>
              </w:rPr>
              <w:t xml:space="preserve"> </w:t>
            </w:r>
            <w:r w:rsidRPr="004C5526">
              <w:rPr>
                <w:b/>
                <w:bCs/>
                <w:i/>
                <w:iCs/>
              </w:rPr>
              <w:t>osserva che la sua attuazione ha sollevato sfide pratiche e operative, come sottolineato dalla Corte dei conti europea nella sua relazione speciale n. 03/2024 sullo Stato di diritto nell'UE</w:t>
            </w:r>
            <w:r w:rsidRPr="004C5526">
              <w:t xml:space="preserve">; </w:t>
            </w:r>
            <w:r w:rsidRPr="004C5526">
              <w:t xml:space="preserve">invita la Commissione ad applicare il </w:t>
            </w:r>
            <w:r w:rsidRPr="004C5526">
              <w:rPr>
                <w:b/>
                <w:bCs/>
                <w:i/>
                <w:iCs/>
              </w:rPr>
              <w:t>meccanismo in maniera coerente e trasparente sulla base di prove oggettive</w:t>
            </w:r>
            <w:r w:rsidRPr="004C5526">
              <w:t>;</w:t>
            </w:r>
          </w:p>
        </w:tc>
        <w:tc>
          <w:tcPr>
            <w:tcW w:w="4876" w:type="dxa"/>
            <w:tcBorders>
              <w:top w:val="nil"/>
              <w:left w:val="nil"/>
              <w:bottom w:val="nil"/>
              <w:right w:val="nil"/>
            </w:tcBorders>
          </w:tcPr>
          <w:p w14:paraId="4C9BE8B5" w14:textId="33A03B6B" w:rsidR="00AB098C" w:rsidRPr="004C5526" w:rsidRDefault="004C5526">
            <w:pPr>
              <w:pStyle w:val="Normal6a"/>
            </w:pPr>
            <w:r w:rsidRPr="004C5526">
              <w:t>53.</w:t>
            </w:r>
            <w:r w:rsidRPr="004C5526">
              <w:tab/>
              <w:t xml:space="preserve">ricorda che il meccanismo di condizionalità di bilancio istituito dal regolamento sulla condizionalità è uno strumento giuridicamente regolamentato atto a prevenire i rischi per il bilancio dell'UE; </w:t>
            </w:r>
            <w:r w:rsidRPr="004C5526">
              <w:rPr>
                <w:b/>
                <w:bCs/>
                <w:i/>
                <w:iCs/>
              </w:rPr>
              <w:t>ricorda che il regolamento sulla condizionalità è una salvaguardia di bilancio concepita per proteggere il bilancio dell'Unione qualora le violazioni dei principi dello Stato di diritto compromettano o rischino seriamente di compromettere la sana gestione finanziaria o</w:t>
            </w:r>
            <w:r w:rsidRPr="004C5526">
              <w:t xml:space="preserve"> </w:t>
            </w:r>
            <w:r w:rsidRPr="004C5526">
              <w:rPr>
                <w:b/>
                <w:bCs/>
                <w:i/>
                <w:iCs/>
              </w:rPr>
              <w:t>gli</w:t>
            </w:r>
            <w:r w:rsidRPr="004C5526">
              <w:t xml:space="preserve"> interessi finanziari dell'UE;</w:t>
            </w:r>
            <w:r w:rsidRPr="004C5526">
              <w:rPr>
                <w:b/>
                <w:i/>
              </w:rPr>
              <w:t xml:space="preserve"> </w:t>
            </w:r>
            <w:r w:rsidRPr="004C5526">
              <w:rPr>
                <w:b/>
                <w:bCs/>
                <w:i/>
                <w:iCs/>
              </w:rPr>
              <w:t xml:space="preserve">ricorda </w:t>
            </w:r>
            <w:r w:rsidRPr="004C5526">
              <w:rPr>
                <w:b/>
                <w:bCs/>
                <w:i/>
                <w:iCs/>
              </w:rPr>
              <w:t>che la Corte di giustizia nelle cause C-156/21 e C-157/21 ha confermato la legittimità del regolamento sulla condizionalità e l'ampio ambito di applicazione di quest'ultimo nel proteggere il bilancio dell'Unione da violazioni dello Stato di diritto</w:t>
            </w:r>
            <w:r w:rsidRPr="004C5526">
              <w:t xml:space="preserve">; ricorda che la legittimità di tale meccanismo si basa su un'applicazione obiettiva, priva di </w:t>
            </w:r>
            <w:r w:rsidRPr="004C5526">
              <w:rPr>
                <w:b/>
                <w:bCs/>
                <w:i/>
                <w:iCs/>
              </w:rPr>
              <w:t>doppi standard</w:t>
            </w:r>
            <w:r w:rsidRPr="004C5526">
              <w:t>;</w:t>
            </w:r>
            <w:r w:rsidRPr="004C5526">
              <w:rPr>
                <w:b/>
                <w:i/>
              </w:rPr>
              <w:t xml:space="preserve"> </w:t>
            </w:r>
            <w:r w:rsidRPr="004C5526">
              <w:rPr>
                <w:b/>
                <w:bCs/>
                <w:i/>
                <w:iCs/>
              </w:rPr>
              <w:t>sottolinea che le carenze sistemiche nell'indipendenza della magistratura, nei quadri anticorruzione e nella capacità di azione penale possono costituire</w:t>
            </w:r>
            <w:r w:rsidRPr="004C5526">
              <w:rPr>
                <w:b/>
                <w:bCs/>
                <w:i/>
                <w:iCs/>
              </w:rPr>
              <w:t xml:space="preserve"> un tale rischio anche prima che sia quantificata una perdita finanziaria diretta e specifica</w:t>
            </w:r>
            <w:r w:rsidRPr="004C5526">
              <w:t xml:space="preserve">; invita la Commissione ad applicare </w:t>
            </w:r>
            <w:r w:rsidRPr="004C5526">
              <w:rPr>
                <w:b/>
                <w:bCs/>
                <w:i/>
                <w:iCs/>
              </w:rPr>
              <w:t>il regolamento sulla condizionalità in modo tempestivo e coerente ogniqualvolta siano soddisfatti tali criteri e a riferire annualmente al Parlamento in merito alla sua valutazione dei rischi legati allo Stato di diritto per il bilancio dell'Unione in ciascuno Stato membro</w:t>
            </w:r>
            <w:r w:rsidRPr="004C5526">
              <w:t>;</w:t>
            </w:r>
          </w:p>
        </w:tc>
      </w:tr>
    </w:tbl>
    <w:p w14:paraId="3FCBFBD7"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0F893E40"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1F25DA3E"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58</w:t>
      </w:r>
      <w:r w:rsidRPr="004C5526">
        <w:rPr>
          <w:rStyle w:val="HideTWBExt"/>
          <w:color w:val="auto"/>
        </w:rPr>
        <w:t>&lt;/NumAm&gt;</w:t>
      </w:r>
    </w:p>
    <w:p w14:paraId="0A3250D2"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58</w:t>
      </w:r>
      <w:r w:rsidRPr="004C5526">
        <w:rPr>
          <w:rStyle w:val="HideTWBExt"/>
          <w:b w:val="0"/>
          <w:color w:val="auto"/>
        </w:rPr>
        <w:t>&lt;/NumAm&gt;</w:t>
      </w:r>
    </w:p>
    <w:p w14:paraId="47534907"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612568FC"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73396469" w14:textId="77777777" w:rsidR="00AB098C" w:rsidRPr="004C5526" w:rsidRDefault="004C5526">
      <w:pPr>
        <w:pStyle w:val="NormalBold"/>
      </w:pPr>
      <w:r w:rsidRPr="004C5526">
        <w:rPr>
          <w:rStyle w:val="HideTWBExt"/>
          <w:b w:val="0"/>
          <w:color w:val="auto"/>
        </w:rPr>
        <w:t>&lt;/By&gt;&lt;/RepeatBlock-By&gt;</w:t>
      </w:r>
    </w:p>
    <w:p w14:paraId="7BCDFA51"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2808DE1A"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773D5BD7" w14:textId="17532782"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07F9437D"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009ED9F9"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691CC47A" w14:textId="77777777" w:rsidR="00AB098C" w:rsidRPr="004C5526" w:rsidRDefault="004C5526">
      <w:pPr>
        <w:pStyle w:val="NormalBold"/>
      </w:pPr>
      <w:r w:rsidRPr="004C5526">
        <w:rPr>
          <w:rStyle w:val="HideTWBExt"/>
          <w:b w:val="0"/>
          <w:color w:val="auto"/>
        </w:rPr>
        <w:t>&lt;Article&gt;</w:t>
      </w:r>
      <w:r w:rsidRPr="004C5526">
        <w:t>Paragrafo 54</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15DD72D8" w14:textId="77777777">
        <w:trPr>
          <w:trHeight w:hRule="exact" w:val="240"/>
          <w:jc w:val="center"/>
        </w:trPr>
        <w:tc>
          <w:tcPr>
            <w:tcW w:w="9752" w:type="dxa"/>
            <w:gridSpan w:val="2"/>
            <w:tcBorders>
              <w:top w:val="nil"/>
              <w:left w:val="nil"/>
              <w:bottom w:val="nil"/>
              <w:right w:val="nil"/>
            </w:tcBorders>
          </w:tcPr>
          <w:p w14:paraId="0FAA5DCE" w14:textId="77777777" w:rsidR="00AB098C" w:rsidRPr="004C5526" w:rsidRDefault="00AB098C"/>
        </w:tc>
      </w:tr>
      <w:tr w:rsidR="004C5526" w:rsidRPr="004C5526" w14:paraId="4160E3E8" w14:textId="77777777">
        <w:trPr>
          <w:trHeight w:val="240"/>
          <w:jc w:val="center"/>
        </w:trPr>
        <w:tc>
          <w:tcPr>
            <w:tcW w:w="4876" w:type="dxa"/>
            <w:tcBorders>
              <w:top w:val="nil"/>
              <w:left w:val="nil"/>
              <w:bottom w:val="nil"/>
              <w:right w:val="nil"/>
            </w:tcBorders>
          </w:tcPr>
          <w:p w14:paraId="6B8B7520"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6019305A" w14:textId="77777777" w:rsidR="00AB098C" w:rsidRPr="004C5526" w:rsidRDefault="004C5526">
            <w:pPr>
              <w:pStyle w:val="AmColumnHeading"/>
            </w:pPr>
            <w:r w:rsidRPr="004C5526">
              <w:t>Emendamento</w:t>
            </w:r>
          </w:p>
        </w:tc>
      </w:tr>
      <w:tr w:rsidR="004C5526" w:rsidRPr="004C5526" w14:paraId="53F1F3C2" w14:textId="77777777">
        <w:trPr>
          <w:jc w:val="center"/>
        </w:trPr>
        <w:tc>
          <w:tcPr>
            <w:tcW w:w="4876" w:type="dxa"/>
            <w:tcBorders>
              <w:top w:val="nil"/>
              <w:left w:val="nil"/>
              <w:bottom w:val="nil"/>
              <w:right w:val="nil"/>
            </w:tcBorders>
          </w:tcPr>
          <w:p w14:paraId="3D1414BF" w14:textId="05D52C3B" w:rsidR="00AB098C" w:rsidRPr="004C5526" w:rsidRDefault="004C5526">
            <w:pPr>
              <w:pStyle w:val="Normal6a"/>
            </w:pPr>
            <w:r w:rsidRPr="004C5526">
              <w:t>54.</w:t>
            </w:r>
            <w:r w:rsidRPr="004C5526">
              <w:tab/>
            </w:r>
            <w:r w:rsidRPr="004C5526">
              <w:rPr>
                <w:b/>
                <w:bCs/>
                <w:i/>
                <w:iCs/>
              </w:rPr>
              <w:t>sostiene che l'integrità e la reputazione delle istituzioni, degli organi e degli organismi dell'UE sono elementi fondamentali per la fiducia dei cittadini;</w:t>
            </w:r>
            <w:r w:rsidRPr="004C5526">
              <w:rPr>
                <w:b/>
                <w:i/>
              </w:rPr>
              <w:t xml:space="preserve"> </w:t>
            </w:r>
            <w:r w:rsidRPr="004C5526">
              <w:rPr>
                <w:b/>
                <w:bCs/>
                <w:i/>
                <w:iCs/>
              </w:rPr>
              <w:t>ritiene che la responsabilità nell'uso delle risorse di bilancio dell'UE sia essenziale per la legittimità democratica e che i requisiti relativi alla trasparenza e alla tutela</w:t>
            </w:r>
            <w:r w:rsidRPr="004C5526">
              <w:t xml:space="preserve"> </w:t>
            </w:r>
            <w:r w:rsidRPr="004C5526">
              <w:rPr>
                <w:b/>
                <w:bCs/>
                <w:i/>
                <w:iCs/>
              </w:rPr>
              <w:t>degli</w:t>
            </w:r>
            <w:r w:rsidRPr="004C5526">
              <w:t xml:space="preserve"> interessi finanziari dell'UE </w:t>
            </w:r>
            <w:r w:rsidRPr="004C5526">
              <w:rPr>
                <w:b/>
                <w:bCs/>
                <w:i/>
                <w:iCs/>
              </w:rPr>
              <w:t xml:space="preserve">debbano applicarsi </w:t>
            </w:r>
            <w:r w:rsidRPr="004C5526">
              <w:t xml:space="preserve">allo stesso modo a tutti i beneficiari </w:t>
            </w:r>
            <w:r w:rsidRPr="004C5526">
              <w:rPr>
                <w:b/>
                <w:bCs/>
                <w:i/>
                <w:iCs/>
              </w:rPr>
              <w:t xml:space="preserve">e senza eccezioni all'interno di ciascuna istituzione dell'UE, compreso il </w:t>
            </w:r>
            <w:r w:rsidRPr="004C5526">
              <w:t>Parlamento</w:t>
            </w:r>
            <w:r w:rsidRPr="004C5526">
              <w:rPr>
                <w:b/>
                <w:bCs/>
                <w:i/>
                <w:iCs/>
              </w:rPr>
              <w:t>, al fine di garantire una sana gestione finanziaria e controlli efficaci dei fondi pubblici</w:t>
            </w:r>
            <w:r w:rsidRPr="004C5526">
              <w:t>;</w:t>
            </w:r>
          </w:p>
        </w:tc>
        <w:tc>
          <w:tcPr>
            <w:tcW w:w="4876" w:type="dxa"/>
            <w:tcBorders>
              <w:top w:val="nil"/>
              <w:left w:val="nil"/>
              <w:bottom w:val="nil"/>
              <w:right w:val="nil"/>
            </w:tcBorders>
          </w:tcPr>
          <w:p w14:paraId="466CB895" w14:textId="76591249" w:rsidR="00AB098C" w:rsidRPr="004C5526" w:rsidRDefault="004C5526">
            <w:pPr>
              <w:pStyle w:val="Normal6a"/>
            </w:pPr>
            <w:r w:rsidRPr="004C5526">
              <w:t>54.</w:t>
            </w:r>
            <w:r w:rsidRPr="004C5526">
              <w:tab/>
            </w:r>
            <w:r w:rsidRPr="004C5526">
              <w:rPr>
                <w:b/>
                <w:bCs/>
                <w:i/>
                <w:iCs/>
              </w:rPr>
              <w:t>ricorda che il dovere di tutelare</w:t>
            </w:r>
            <w:r w:rsidRPr="004C5526">
              <w:t xml:space="preserve"> gli interessi finanziari dell'UE </w:t>
            </w:r>
            <w:r w:rsidRPr="004C5526">
              <w:rPr>
                <w:b/>
                <w:bCs/>
                <w:i/>
                <w:iCs/>
              </w:rPr>
              <w:t>si applica</w:t>
            </w:r>
            <w:r w:rsidRPr="004C5526">
              <w:t xml:space="preserve"> allo stesso modo a tutti i beneficiari </w:t>
            </w:r>
            <w:r w:rsidRPr="004C5526">
              <w:rPr>
                <w:b/>
                <w:bCs/>
                <w:i/>
                <w:iCs/>
              </w:rPr>
              <w:t>dei fondi dell'Unione, compresi i gruppi politici che operano all'interno del</w:t>
            </w:r>
            <w:r w:rsidRPr="004C5526">
              <w:t xml:space="preserve"> Parlamento </w:t>
            </w:r>
            <w:r w:rsidRPr="004C5526">
              <w:rPr>
                <w:b/>
                <w:bCs/>
                <w:i/>
                <w:iCs/>
              </w:rPr>
              <w:t>europeo</w:t>
            </w:r>
            <w:r w:rsidRPr="004C5526">
              <w:t>;</w:t>
            </w:r>
            <w:r w:rsidRPr="004C5526">
              <w:rPr>
                <w:b/>
                <w:i/>
              </w:rPr>
              <w:t xml:space="preserve"> </w:t>
            </w:r>
            <w:r w:rsidRPr="004C5526">
              <w:rPr>
                <w:b/>
                <w:bCs/>
                <w:i/>
                <w:iCs/>
              </w:rPr>
              <w:t>osserva che le indagini e le azioni di recupero riguardanti il presunto uso improprio dei fondi dell'Unione da parte dell'ex gruppo Identità e Democrazia evidenziano l'importanza di solidi controlli interni, di efficaci verifiche ex post e di meccanismi di recupero rapidi all'interno dell'ammini</w:t>
            </w:r>
            <w:r w:rsidRPr="004C5526">
              <w:rPr>
                <w:b/>
                <w:bCs/>
                <w:i/>
                <w:iCs/>
              </w:rPr>
              <w:t>strazione del Parlamento</w:t>
            </w:r>
            <w:r w:rsidRPr="004C5526">
              <w:t xml:space="preserve">; </w:t>
            </w:r>
            <w:r w:rsidRPr="004C5526">
              <w:rPr>
                <w:b/>
                <w:i/>
              </w:rPr>
              <w:t>invita l'amministrazione del Parlamento a completare senza indugio tutte le procedure di recupero pendenti e a trasmettere eventuali prove di spese irregolari all'OLAF e all'EPPO; sottolinea che la credibilità dell'architettura antifrode dell'UE dipende dalla sua applicazione coerente a tutti i beneficiari, compresi quelli all'interno del Parlamento stesso;</w:t>
            </w:r>
          </w:p>
        </w:tc>
      </w:tr>
    </w:tbl>
    <w:p w14:paraId="04214C32"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0C74D12A" w14:textId="77777777" w:rsidR="00AB098C" w:rsidRPr="004C5526" w:rsidRDefault="004C5526">
      <w:pPr>
        <w:sectPr w:rsidR="00AB098C" w:rsidRPr="004C5526">
          <w:pgSz w:w="11909" w:h="16834"/>
          <w:pgMar w:top="1134" w:right="1417" w:bottom="1417" w:left="1417" w:header="1134" w:footer="567" w:gutter="0"/>
          <w:cols w:space="720"/>
        </w:sectPr>
      </w:pPr>
      <w:r w:rsidRPr="004C5526">
        <w:rPr>
          <w:rStyle w:val="HideTWBExt"/>
          <w:color w:val="auto"/>
        </w:rPr>
        <w:t>&lt;/Amend&gt;</w:t>
      </w:r>
    </w:p>
    <w:p w14:paraId="7888F82B" w14:textId="77777777" w:rsidR="00AB098C" w:rsidRPr="004C5526" w:rsidRDefault="004C5526">
      <w:pPr>
        <w:pStyle w:val="AmDateTab"/>
      </w:pPr>
      <w:r w:rsidRPr="004C5526">
        <w:rPr>
          <w:rStyle w:val="HideTWBExt"/>
          <w:color w:val="auto"/>
        </w:rPr>
        <w:t>&lt;Amend&gt;&lt;Date&gt;</w:t>
      </w:r>
      <w:r w:rsidRPr="004C5526">
        <w:rPr>
          <w:rStyle w:val="HideTWBInt"/>
          <w:color w:val="auto"/>
        </w:rPr>
        <w:t>{22/04/2026}</w:t>
      </w:r>
      <w:r w:rsidRPr="004C5526">
        <w:t>22.4.2026</w:t>
      </w:r>
      <w:r w:rsidRPr="004C5526">
        <w:rPr>
          <w:rStyle w:val="HideTWBExt"/>
          <w:color w:val="auto"/>
        </w:rPr>
        <w:t>&lt;/Date&gt;</w:t>
      </w:r>
      <w:r w:rsidRPr="004C5526">
        <w:tab/>
      </w:r>
      <w:r w:rsidRPr="004C5526">
        <w:rPr>
          <w:rStyle w:val="HideTWBExt"/>
          <w:color w:val="auto"/>
        </w:rPr>
        <w:t>&lt;ANo&gt;</w:t>
      </w:r>
      <w:r w:rsidRPr="004C5526">
        <w:t>A10-0080</w:t>
      </w:r>
      <w:r w:rsidRPr="004C5526">
        <w:rPr>
          <w:rStyle w:val="HideTWBExt"/>
          <w:color w:val="auto"/>
        </w:rPr>
        <w:t>&lt;/ANo&gt;</w:t>
      </w:r>
      <w:r w:rsidRPr="004C5526">
        <w:t>/</w:t>
      </w:r>
      <w:r w:rsidRPr="004C5526">
        <w:rPr>
          <w:rStyle w:val="HideTWBExt"/>
          <w:color w:val="auto"/>
        </w:rPr>
        <w:t>&lt;NumAm&gt;</w:t>
      </w:r>
      <w:r w:rsidRPr="004C5526">
        <w:t>59</w:t>
      </w:r>
      <w:r w:rsidRPr="004C5526">
        <w:rPr>
          <w:rStyle w:val="HideTWBExt"/>
          <w:color w:val="auto"/>
        </w:rPr>
        <w:t>&lt;/NumAm&gt;</w:t>
      </w:r>
    </w:p>
    <w:p w14:paraId="39A58780" w14:textId="77777777" w:rsidR="00AB098C" w:rsidRPr="004C5526" w:rsidRDefault="004C5526">
      <w:pPr>
        <w:pStyle w:val="AmNumberTabs"/>
      </w:pPr>
      <w:r w:rsidRPr="004C5526">
        <w:t>Emendamento</w:t>
      </w:r>
      <w:r w:rsidRPr="004C5526">
        <w:tab/>
      </w:r>
      <w:r w:rsidRPr="004C5526">
        <w:tab/>
      </w:r>
      <w:r w:rsidRPr="004C5526">
        <w:rPr>
          <w:rStyle w:val="HideTWBExt"/>
          <w:b w:val="0"/>
          <w:color w:val="auto"/>
        </w:rPr>
        <w:t>&lt;NumAm&gt;</w:t>
      </w:r>
      <w:r w:rsidRPr="004C5526">
        <w:t>59</w:t>
      </w:r>
      <w:r w:rsidRPr="004C5526">
        <w:rPr>
          <w:rStyle w:val="HideTWBExt"/>
          <w:b w:val="0"/>
          <w:color w:val="auto"/>
        </w:rPr>
        <w:t>&lt;/NumAm&gt;</w:t>
      </w:r>
    </w:p>
    <w:p w14:paraId="1E4C1956" w14:textId="77777777" w:rsidR="00AB098C" w:rsidRPr="004C5526" w:rsidRDefault="004C5526">
      <w:pPr>
        <w:pStyle w:val="NormalBold"/>
      </w:pPr>
      <w:r w:rsidRPr="004C5526">
        <w:rPr>
          <w:rStyle w:val="HideTWBExt"/>
          <w:b w:val="0"/>
          <w:color w:val="auto"/>
        </w:rPr>
        <w:t>&lt;RepeatBlock-By&gt;&lt;By&gt;&lt;Members&gt;</w:t>
      </w:r>
      <w:r w:rsidRPr="004C5526">
        <w:t>Daniel Freund</w:t>
      </w:r>
      <w:r w:rsidRPr="004C5526">
        <w:rPr>
          <w:rStyle w:val="HideTWBExt"/>
          <w:b w:val="0"/>
          <w:color w:val="auto"/>
        </w:rPr>
        <w:t>&lt;/Members&gt;</w:t>
      </w:r>
    </w:p>
    <w:p w14:paraId="6874B7EE" w14:textId="77777777" w:rsidR="00AB098C" w:rsidRPr="004C5526" w:rsidRDefault="004C5526">
      <w:r w:rsidRPr="004C5526">
        <w:rPr>
          <w:rStyle w:val="HideTWBExt"/>
          <w:color w:val="auto"/>
        </w:rPr>
        <w:t>&lt;AuNomDe&gt;</w:t>
      </w:r>
      <w:r w:rsidRPr="004C5526">
        <w:rPr>
          <w:rStyle w:val="HideTWBInt"/>
          <w:color w:val="auto"/>
        </w:rPr>
        <w:t>{Verts/ALE}</w:t>
      </w:r>
      <w:r w:rsidRPr="004C5526">
        <w:t xml:space="preserve">a nome del gruppo </w:t>
      </w:r>
      <w:proofErr w:type="spellStart"/>
      <w:r w:rsidRPr="004C5526">
        <w:t>Verts</w:t>
      </w:r>
      <w:proofErr w:type="spellEnd"/>
      <w:r w:rsidRPr="004C5526">
        <w:t>/ALE</w:t>
      </w:r>
      <w:r w:rsidRPr="004C5526">
        <w:rPr>
          <w:rStyle w:val="HideTWBExt"/>
          <w:color w:val="auto"/>
        </w:rPr>
        <w:t>&lt;/AuNomDe&gt;</w:t>
      </w:r>
    </w:p>
    <w:p w14:paraId="60C10E6F" w14:textId="77777777" w:rsidR="00AB098C" w:rsidRPr="004C5526" w:rsidRDefault="004C5526">
      <w:pPr>
        <w:pStyle w:val="NormalBold"/>
      </w:pPr>
      <w:r w:rsidRPr="004C5526">
        <w:rPr>
          <w:rStyle w:val="HideTWBExt"/>
          <w:b w:val="0"/>
          <w:color w:val="auto"/>
        </w:rPr>
        <w:t>&lt;/By&gt;&lt;/RepeatBlock-By&gt;</w:t>
      </w:r>
    </w:p>
    <w:p w14:paraId="6953A485" w14:textId="77777777" w:rsidR="00AB098C" w:rsidRPr="004C5526" w:rsidRDefault="004C5526">
      <w:pPr>
        <w:pStyle w:val="AmDocTypeTab"/>
      </w:pPr>
      <w:r w:rsidRPr="004C5526">
        <w:rPr>
          <w:rStyle w:val="HideTWBExt"/>
          <w:b w:val="0"/>
          <w:color w:val="auto"/>
        </w:rPr>
        <w:t>&lt;TitreType&gt;</w:t>
      </w:r>
      <w:r w:rsidRPr="004C5526">
        <w:t>Relazione</w:t>
      </w:r>
      <w:r w:rsidRPr="004C5526">
        <w:rPr>
          <w:rStyle w:val="HideTWBExt"/>
          <w:b w:val="0"/>
          <w:color w:val="auto"/>
        </w:rPr>
        <w:t>&lt;/TitreType&gt;</w:t>
      </w:r>
      <w:r w:rsidRPr="004C5526">
        <w:tab/>
        <w:t>A10-0080/2026</w:t>
      </w:r>
    </w:p>
    <w:p w14:paraId="48DB673F" w14:textId="77777777" w:rsidR="00AB098C" w:rsidRPr="004C5526" w:rsidRDefault="004C5526">
      <w:pPr>
        <w:pStyle w:val="NormalBold"/>
      </w:pPr>
      <w:r w:rsidRPr="004C5526">
        <w:rPr>
          <w:rStyle w:val="HideTWBExt"/>
          <w:b w:val="0"/>
          <w:color w:val="auto"/>
        </w:rPr>
        <w:t>&lt;Rapporteur&gt;</w:t>
      </w:r>
      <w:r w:rsidRPr="004C5526">
        <w:t>Julien Sanchez</w:t>
      </w:r>
      <w:r w:rsidRPr="004C5526">
        <w:rPr>
          <w:rStyle w:val="HideTWBExt"/>
          <w:b w:val="0"/>
          <w:color w:val="auto"/>
        </w:rPr>
        <w:t>&lt;/Rapporteur&gt;</w:t>
      </w:r>
    </w:p>
    <w:p w14:paraId="2414A911" w14:textId="193E84CA" w:rsidR="00AB098C" w:rsidRPr="004C5526" w:rsidRDefault="004C5526">
      <w:r w:rsidRPr="004C5526">
        <w:rPr>
          <w:rStyle w:val="HideTWBExt"/>
          <w:color w:val="auto"/>
        </w:rPr>
        <w:t>&lt;Titre&gt;</w:t>
      </w:r>
      <w:r w:rsidRPr="004C5526">
        <w:t>Tutela degli interessi finanziari dell'Unione europea: lotta contro la frode – Relazione annuale 2024</w:t>
      </w:r>
      <w:r w:rsidRPr="004C5526">
        <w:rPr>
          <w:rStyle w:val="HideTWBExt"/>
          <w:color w:val="auto"/>
        </w:rPr>
        <w:t>&lt;/Titre&gt;</w:t>
      </w:r>
    </w:p>
    <w:p w14:paraId="47A6A819" w14:textId="77777777" w:rsidR="00AB098C" w:rsidRPr="004C5526" w:rsidRDefault="004C5526">
      <w:pPr>
        <w:pStyle w:val="Normal12a"/>
      </w:pPr>
      <w:r w:rsidRPr="004C5526">
        <w:rPr>
          <w:rStyle w:val="HideTWBExt"/>
          <w:color w:val="auto"/>
        </w:rPr>
        <w:t>&lt;DocRef&gt;</w:t>
      </w:r>
      <w:r w:rsidRPr="004C5526">
        <w:t>(2025/2238(INI))</w:t>
      </w:r>
      <w:r w:rsidRPr="004C5526">
        <w:rPr>
          <w:rStyle w:val="HideTWBExt"/>
          <w:color w:val="auto"/>
        </w:rPr>
        <w:t>&lt;/DocRef&gt;</w:t>
      </w:r>
    </w:p>
    <w:p w14:paraId="5F8BA664" w14:textId="77777777" w:rsidR="00AB098C" w:rsidRPr="004C5526" w:rsidRDefault="004C5526">
      <w:pPr>
        <w:pStyle w:val="NormalBold"/>
      </w:pPr>
      <w:r w:rsidRPr="004C5526">
        <w:rPr>
          <w:rStyle w:val="HideTWBExt"/>
          <w:b w:val="0"/>
          <w:color w:val="auto"/>
        </w:rPr>
        <w:t>&lt;DocAmend&gt;</w:t>
      </w:r>
      <w:r w:rsidRPr="004C5526">
        <w:t>Proposta di risoluzione</w:t>
      </w:r>
      <w:r w:rsidRPr="004C5526">
        <w:rPr>
          <w:rStyle w:val="HideTWBExt"/>
          <w:b w:val="0"/>
          <w:color w:val="auto"/>
        </w:rPr>
        <w:t>&lt;/DocAmend&gt;</w:t>
      </w:r>
    </w:p>
    <w:p w14:paraId="0B7B25F8" w14:textId="77777777" w:rsidR="00AB098C" w:rsidRPr="004C5526" w:rsidRDefault="004C5526">
      <w:pPr>
        <w:pStyle w:val="NormalBold"/>
      </w:pPr>
      <w:r w:rsidRPr="004C5526">
        <w:rPr>
          <w:rStyle w:val="HideTWBExt"/>
          <w:b w:val="0"/>
          <w:color w:val="auto"/>
        </w:rPr>
        <w:t>&lt;Article&gt;</w:t>
      </w:r>
      <w:r w:rsidRPr="004C5526">
        <w:t>Paragrafo 54 bis (nuovo)</w:t>
      </w:r>
      <w:r w:rsidRPr="004C5526">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5526" w:rsidRPr="004C5526" w14:paraId="6CE69F02" w14:textId="77777777">
        <w:trPr>
          <w:trHeight w:hRule="exact" w:val="240"/>
          <w:jc w:val="center"/>
        </w:trPr>
        <w:tc>
          <w:tcPr>
            <w:tcW w:w="9752" w:type="dxa"/>
            <w:gridSpan w:val="2"/>
            <w:tcBorders>
              <w:top w:val="nil"/>
              <w:left w:val="nil"/>
              <w:bottom w:val="nil"/>
              <w:right w:val="nil"/>
            </w:tcBorders>
          </w:tcPr>
          <w:p w14:paraId="0E6C5431" w14:textId="77777777" w:rsidR="00AB098C" w:rsidRPr="004C5526" w:rsidRDefault="00AB098C"/>
        </w:tc>
      </w:tr>
      <w:tr w:rsidR="004C5526" w:rsidRPr="004C5526" w14:paraId="36BC4A92" w14:textId="77777777">
        <w:trPr>
          <w:trHeight w:val="240"/>
          <w:jc w:val="center"/>
        </w:trPr>
        <w:tc>
          <w:tcPr>
            <w:tcW w:w="4876" w:type="dxa"/>
            <w:tcBorders>
              <w:top w:val="nil"/>
              <w:left w:val="nil"/>
              <w:bottom w:val="nil"/>
              <w:right w:val="nil"/>
            </w:tcBorders>
          </w:tcPr>
          <w:p w14:paraId="666F0D4E" w14:textId="77777777" w:rsidR="00AB098C" w:rsidRPr="004C5526" w:rsidRDefault="004C5526">
            <w:pPr>
              <w:pStyle w:val="AmColumnHeading"/>
            </w:pPr>
            <w:r w:rsidRPr="004C5526">
              <w:t>Proposta di risoluzione</w:t>
            </w:r>
          </w:p>
        </w:tc>
        <w:tc>
          <w:tcPr>
            <w:tcW w:w="4876" w:type="dxa"/>
            <w:tcBorders>
              <w:top w:val="nil"/>
              <w:left w:val="nil"/>
              <w:bottom w:val="nil"/>
              <w:right w:val="nil"/>
            </w:tcBorders>
          </w:tcPr>
          <w:p w14:paraId="4D5E53A9" w14:textId="77777777" w:rsidR="00AB098C" w:rsidRPr="004C5526" w:rsidRDefault="004C5526">
            <w:pPr>
              <w:pStyle w:val="AmColumnHeading"/>
            </w:pPr>
            <w:r w:rsidRPr="004C5526">
              <w:t>Emendamento</w:t>
            </w:r>
          </w:p>
        </w:tc>
      </w:tr>
      <w:tr w:rsidR="004C5526" w:rsidRPr="004C5526" w14:paraId="1DA9569E" w14:textId="77777777">
        <w:trPr>
          <w:jc w:val="center"/>
        </w:trPr>
        <w:tc>
          <w:tcPr>
            <w:tcW w:w="4876" w:type="dxa"/>
            <w:tcBorders>
              <w:top w:val="nil"/>
              <w:left w:val="nil"/>
              <w:bottom w:val="nil"/>
              <w:right w:val="nil"/>
            </w:tcBorders>
          </w:tcPr>
          <w:p w14:paraId="70858426" w14:textId="77777777" w:rsidR="00AB098C" w:rsidRPr="004C5526" w:rsidRDefault="00AB098C">
            <w:pPr>
              <w:pStyle w:val="Normal6a"/>
            </w:pPr>
          </w:p>
        </w:tc>
        <w:tc>
          <w:tcPr>
            <w:tcW w:w="4876" w:type="dxa"/>
            <w:tcBorders>
              <w:top w:val="nil"/>
              <w:left w:val="nil"/>
              <w:bottom w:val="nil"/>
              <w:right w:val="nil"/>
            </w:tcBorders>
          </w:tcPr>
          <w:p w14:paraId="4D2BA016" w14:textId="31C58401" w:rsidR="00AB098C" w:rsidRPr="004C5526" w:rsidRDefault="004C5526">
            <w:pPr>
              <w:pStyle w:val="Normal6a"/>
            </w:pPr>
            <w:r w:rsidRPr="004C5526">
              <w:rPr>
                <w:b/>
                <w:i/>
              </w:rPr>
              <w:t>54 bis.</w:t>
            </w:r>
            <w:r w:rsidRPr="004C5526">
              <w:tab/>
            </w:r>
            <w:r w:rsidRPr="004C5526">
              <w:rPr>
                <w:b/>
                <w:i/>
              </w:rPr>
              <w:t>osserva che l'amministrazione del Parlamento ha riscontrato che almeno 4 333 635,78 EUR degli stanziamenti della voce di bilancio 400 sono stati spesi indebitamente dall'ex gruppo Identità e Democrazia nel corso della legislatura 2019-2024 e che nel luglio 2025 l'EPPO ha avviato un'indagine sul presunto uso improprio dei fondi dell'Unione da parte del gruppo; sottolinea che la credibilità dell'architettura antifrode dell'Unione richiede che le norme in materia di trasparenza, responsabilità e recupero siano</w:t>
            </w:r>
            <w:r w:rsidRPr="004C5526">
              <w:rPr>
                <w:b/>
                <w:i/>
              </w:rPr>
              <w:t xml:space="preserve"> applicate in modo coerente a tutti i beneficiari senza eccezioni; invita l'amministrazione del Parlamento, parallelamente all'indagine penale dell'EPPO, ad adottare misure amministrative provvisorie a tutela degli interessi finanziari dell'Unione; ritiene che lo scioglimento del gruppo Identità e Democrazia nel 2024 e i conseguenti procedimenti finanziari abbiano dimostrato che il quadro attuale è inadeguato a garantire l'individuazione, la segnalazione e il recupero tempestivi; invita l'Ufficio di preside</w:t>
            </w:r>
            <w:r w:rsidRPr="004C5526">
              <w:rPr>
                <w:b/>
                <w:i/>
              </w:rPr>
              <w:t>nza del Parlamento a rivedere e rafforzare con urgenza il quadro di controllo finanziario interno applicabile ai gruppi politici del Parlamento europeo;</w:t>
            </w:r>
          </w:p>
        </w:tc>
      </w:tr>
    </w:tbl>
    <w:p w14:paraId="046CB116" w14:textId="77777777" w:rsidR="00AB098C" w:rsidRPr="004C5526" w:rsidRDefault="004C5526">
      <w:pPr>
        <w:pStyle w:val="AmOrLang"/>
      </w:pPr>
      <w:r w:rsidRPr="004C5526">
        <w:t xml:space="preserve">Or. </w:t>
      </w:r>
      <w:r w:rsidRPr="004C5526">
        <w:rPr>
          <w:rStyle w:val="HideTWBExt"/>
          <w:color w:val="auto"/>
        </w:rPr>
        <w:t>&lt;Original&gt;</w:t>
      </w:r>
      <w:r w:rsidRPr="004C5526">
        <w:rPr>
          <w:rStyle w:val="HideTWBInt"/>
          <w:color w:val="auto"/>
        </w:rPr>
        <w:t>{EN}</w:t>
      </w:r>
      <w:r w:rsidRPr="004C5526">
        <w:t>en</w:t>
      </w:r>
      <w:r w:rsidRPr="004C5526">
        <w:rPr>
          <w:rStyle w:val="HideTWBExt"/>
          <w:color w:val="auto"/>
        </w:rPr>
        <w:t>&lt;/Original&gt;</w:t>
      </w:r>
    </w:p>
    <w:p w14:paraId="58D2499F" w14:textId="77777777" w:rsidR="00AB098C" w:rsidRPr="004C5526" w:rsidRDefault="004C5526">
      <w:r w:rsidRPr="004C5526">
        <w:rPr>
          <w:rStyle w:val="HideTWBExt"/>
          <w:color w:val="auto"/>
        </w:rPr>
        <w:t>&lt;/Amend&gt;</w:t>
      </w:r>
    </w:p>
    <w:p w14:paraId="165F2E2F" w14:textId="77777777" w:rsidR="00AB098C" w:rsidRPr="004C5526" w:rsidRDefault="004C5526">
      <w:r w:rsidRPr="004C5526">
        <w:rPr>
          <w:rStyle w:val="HideTWBExt"/>
          <w:color w:val="auto"/>
        </w:rPr>
        <w:t>&lt;/RepeatBlock-Amend&gt;</w:t>
      </w:r>
    </w:p>
    <w:sectPr w:rsidR="00AB098C" w:rsidRPr="004C5526">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BA38" w14:textId="77777777" w:rsidR="004C5526" w:rsidRDefault="004C5526">
      <w:r>
        <w:separator/>
      </w:r>
    </w:p>
  </w:endnote>
  <w:endnote w:type="continuationSeparator" w:id="0">
    <w:p w14:paraId="29C618D1" w14:textId="77777777" w:rsidR="004C5526" w:rsidRDefault="004C5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77FD1" w14:textId="77777777" w:rsidR="00987585" w:rsidRDefault="00987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7E220" w14:textId="77777777" w:rsidR="00A45EBE" w:rsidRPr="008B7481" w:rsidRDefault="004C5526" w:rsidP="00A45EBE">
    <w:pPr>
      <w:pStyle w:val="EPFooter"/>
    </w:pPr>
    <w:r w:rsidRPr="00987585">
      <w:rPr>
        <w:rStyle w:val="HideTWBExt"/>
      </w:rPr>
      <w:t>&lt;PathFdR&gt;</w:t>
    </w:r>
    <w:r w:rsidRPr="008B7481">
      <w:t>AM\1342225IT.docx</w:t>
    </w:r>
    <w:r w:rsidRPr="00987585">
      <w:rPr>
        <w:rStyle w:val="HideTWBExt"/>
      </w:rPr>
      <w:t>&lt;/PathFdR&gt;</w:t>
    </w:r>
    <w:r w:rsidRPr="008B7481">
      <w:tab/>
    </w:r>
    <w:r w:rsidRPr="008B7481">
      <w:tab/>
      <w:t>PE</w:t>
    </w:r>
    <w:r w:rsidRPr="00987585">
      <w:rPr>
        <w:rStyle w:val="HideTWBExt"/>
      </w:rPr>
      <w:t>&lt;NoPE&gt;</w:t>
    </w:r>
    <w:r w:rsidRPr="008B7481">
      <w:t>783.022</w:t>
    </w:r>
    <w:r w:rsidRPr="00987585">
      <w:rPr>
        <w:rStyle w:val="HideTWBExt"/>
      </w:rPr>
      <w:t>&lt;/NoPE&gt;&lt;Version&gt;</w:t>
    </w:r>
    <w:r w:rsidRPr="008B7481">
      <w:t>v01-00</w:t>
    </w:r>
    <w:r w:rsidRPr="00987585">
      <w:rPr>
        <w:rStyle w:val="HideTWBExt"/>
      </w:rPr>
      <w:t>&lt;/Version&gt;</w:t>
    </w:r>
  </w:p>
  <w:p w14:paraId="7CDB53C2" w14:textId="28170E0D" w:rsidR="00AB098C" w:rsidRPr="008B7481" w:rsidRDefault="004C5526" w:rsidP="00A45EBE">
    <w:pPr>
      <w:pStyle w:val="EPFooter2"/>
    </w:pPr>
    <w:r w:rsidRPr="008B7481">
      <w:t>IT</w:t>
    </w:r>
    <w:r w:rsidRPr="008B7481">
      <w:tab/>
    </w:r>
    <w:r w:rsidRPr="008B7481">
      <w:rPr>
        <w:b w:val="0"/>
        <w:i/>
        <w:color w:val="C0C0C0"/>
        <w:sz w:val="22"/>
      </w:rPr>
      <w:t>Unita nella diversità</w:t>
    </w:r>
    <w:r w:rsidRPr="008B7481">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C767" w14:textId="77777777" w:rsidR="00987585" w:rsidRDefault="00987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7A7A3" w14:textId="77777777" w:rsidR="004C5526" w:rsidRDefault="004C5526">
      <w:r>
        <w:separator/>
      </w:r>
    </w:p>
  </w:footnote>
  <w:footnote w:type="continuationSeparator" w:id="0">
    <w:p w14:paraId="0980052F" w14:textId="77777777" w:rsidR="004C5526" w:rsidRDefault="004C5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7BD36" w14:textId="77777777" w:rsidR="00987585" w:rsidRDefault="00987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536A8" w14:textId="77777777" w:rsidR="00987585" w:rsidRDefault="00987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1043B" w14:textId="77777777" w:rsidR="00987585" w:rsidRDefault="009875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2"/>
    <w:docVar w:name="TXTLANGUE" w:val="IT"/>
    <w:docVar w:name="TXTLANGUEMIN" w:val="it"/>
    <w:docVar w:name="TXTNRPE" w:val="783.022"/>
    <w:docVar w:name="TXTPEorAP" w:val="PE"/>
    <w:docVar w:name="TXTROUTE" w:val="AM\1342225IT.docx"/>
    <w:docVar w:name="TXTVERSION" w:val="01-00"/>
  </w:docVars>
  <w:rsids>
    <w:rsidRoot w:val="00A77B3E"/>
    <w:rsid w:val="00064755"/>
    <w:rsid w:val="001E6DCE"/>
    <w:rsid w:val="0022097A"/>
    <w:rsid w:val="002C4F66"/>
    <w:rsid w:val="0034105C"/>
    <w:rsid w:val="00380094"/>
    <w:rsid w:val="0044003A"/>
    <w:rsid w:val="00447A0E"/>
    <w:rsid w:val="004A2B70"/>
    <w:rsid w:val="004C5526"/>
    <w:rsid w:val="00566641"/>
    <w:rsid w:val="005744EE"/>
    <w:rsid w:val="00581711"/>
    <w:rsid w:val="005D1D4D"/>
    <w:rsid w:val="006447B6"/>
    <w:rsid w:val="006A13A9"/>
    <w:rsid w:val="006F1F54"/>
    <w:rsid w:val="00705A00"/>
    <w:rsid w:val="0074111D"/>
    <w:rsid w:val="007B6BE6"/>
    <w:rsid w:val="008B7481"/>
    <w:rsid w:val="00987585"/>
    <w:rsid w:val="009C0B53"/>
    <w:rsid w:val="009F6C83"/>
    <w:rsid w:val="00A45EBE"/>
    <w:rsid w:val="00A77B3E"/>
    <w:rsid w:val="00AB098C"/>
    <w:rsid w:val="00C62949"/>
    <w:rsid w:val="00CA2A55"/>
    <w:rsid w:val="00F628DF"/>
    <w:rsid w:val="00FA7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135163"/>
  <w15:docId w15:val="{C4F0EAC1-4B7D-4BB5-A8AE-971B0280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80094"/>
    <w:pPr>
      <w:tabs>
        <w:tab w:val="center" w:pos="4513"/>
        <w:tab w:val="right" w:pos="9026"/>
      </w:tabs>
    </w:pPr>
  </w:style>
  <w:style w:type="character" w:customStyle="1" w:styleId="HeaderChar">
    <w:name w:val="Header Char"/>
    <w:basedOn w:val="DefaultParagraphFont"/>
    <w:link w:val="Header"/>
    <w:rsid w:val="00380094"/>
    <w:rPr>
      <w:sz w:val="24"/>
      <w:szCs w:val="24"/>
    </w:rPr>
  </w:style>
  <w:style w:type="paragraph" w:styleId="Footer">
    <w:name w:val="footer"/>
    <w:basedOn w:val="Normal"/>
    <w:link w:val="FooterChar1"/>
    <w:rsid w:val="00380094"/>
    <w:pPr>
      <w:tabs>
        <w:tab w:val="center" w:pos="4513"/>
        <w:tab w:val="right" w:pos="9026"/>
      </w:tabs>
    </w:pPr>
  </w:style>
  <w:style w:type="character" w:customStyle="1" w:styleId="FooterChar1">
    <w:name w:val="Footer Char1"/>
    <w:basedOn w:val="DefaultParagraphFont"/>
    <w:link w:val="Footer"/>
    <w:rsid w:val="00380094"/>
    <w:rPr>
      <w:sz w:val="24"/>
      <w:szCs w:val="24"/>
    </w:rPr>
  </w:style>
  <w:style w:type="paragraph" w:styleId="Revision">
    <w:name w:val="Revision"/>
    <w:hidden/>
    <w:uiPriority w:val="99"/>
    <w:semiHidden/>
    <w:rsid w:val="0022097A"/>
    <w:rPr>
      <w:sz w:val="24"/>
      <w:szCs w:val="24"/>
    </w:rPr>
  </w:style>
  <w:style w:type="character" w:styleId="CommentReference">
    <w:name w:val="annotation reference"/>
    <w:basedOn w:val="DefaultParagraphFont"/>
    <w:rsid w:val="00FA7453"/>
    <w:rPr>
      <w:sz w:val="16"/>
      <w:szCs w:val="16"/>
    </w:rPr>
  </w:style>
  <w:style w:type="paragraph" w:styleId="CommentText">
    <w:name w:val="annotation text"/>
    <w:basedOn w:val="Normal"/>
    <w:link w:val="CommentTextChar"/>
    <w:rsid w:val="00FA7453"/>
    <w:rPr>
      <w:sz w:val="20"/>
      <w:szCs w:val="20"/>
    </w:rPr>
  </w:style>
  <w:style w:type="character" w:customStyle="1" w:styleId="CommentTextChar">
    <w:name w:val="Comment Text Char"/>
    <w:basedOn w:val="DefaultParagraphFont"/>
    <w:link w:val="CommentText"/>
    <w:rsid w:val="00FA7453"/>
  </w:style>
  <w:style w:type="paragraph" w:styleId="CommentSubject">
    <w:name w:val="annotation subject"/>
    <w:basedOn w:val="CommentText"/>
    <w:next w:val="CommentText"/>
    <w:link w:val="CommentSubjectChar"/>
    <w:rsid w:val="00FA7453"/>
    <w:rPr>
      <w:b/>
      <w:bCs/>
    </w:rPr>
  </w:style>
  <w:style w:type="character" w:customStyle="1" w:styleId="CommentSubjectChar">
    <w:name w:val="Comment Subject Char"/>
    <w:basedOn w:val="CommentTextChar"/>
    <w:link w:val="CommentSubject"/>
    <w:rsid w:val="00FA74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1881</Words>
  <Characters>11738</Characters>
  <Application>Microsoft Office Word</Application>
  <DocSecurity>0</DocSecurity>
  <Lines>445</Lines>
  <Paragraphs>144</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MONTELEONE Cinzia</cp:lastModifiedBy>
  <cp:revision>2</cp:revision>
  <cp:lastPrinted>2026-04-22T17:39:00Z</cp:lastPrinted>
  <dcterms:created xsi:type="dcterms:W3CDTF">2026-04-25T21:42:00Z</dcterms:created>
  <dcterms:modified xsi:type="dcterms:W3CDTF">2026-04-25T21:42:00Z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1342225</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- 2026/04/25 23:42</vt:lpwstr>
  </property>
  <property fmtid="{D5CDD505-2E9C-101B-9397-08002B2CF9AE}" pid="7" name="dmxml.render.id">
    <vt:lpwstr>459267</vt:lpwstr>
  </property>
  <property fmtid="{D5CDD505-2E9C-101B-9397-08002B2CF9AE}" pid="8" name="dmxml.render.traceId">
    <vt:lpwstr>69e8e9021f7542c89ca2e5b051c30353</vt:lpwstr>
  </property>
  <property fmtid="{D5CDD505-2E9C-101B-9397-08002B2CF9AE}" pid="9" name="FooterPath">
    <vt:lpwstr>AM\1342225IT.docx</vt:lpwstr>
  </property>
  <property fmtid="{D5CDD505-2E9C-101B-9397-08002B2CF9AE}" pid="10" name="LastEdited with">
    <vt:lpwstr>10.3.0 Build [20260401]</vt:lpwstr>
  </property>
  <property fmtid="{D5CDD505-2E9C-101B-9397-08002B2CF9AE}" pid="11" name="OriLang">
    <vt:lpwstr>EN</vt:lpwstr>
  </property>
  <property fmtid="{D5CDD505-2E9C-101B-9397-08002B2CF9AE}" pid="12" name="PE Number">
    <vt:lpwstr>783.022</vt:lpwstr>
  </property>
  <property fmtid="{D5CDD505-2E9C-101B-9397-08002B2CF9AE}" pid="13" name="RegistreCheck">
    <vt:lpwstr>OK</vt:lpwstr>
  </property>
  <property fmtid="{D5CDD505-2E9C-101B-9397-08002B2CF9AE}" pid="14" name="UID">
    <vt:lpwstr>eu.europa.europarl-DIN1-2026-0000109521_01.00-en-01.00_text-xml</vt:lpwstr>
  </property>
  <property fmtid="{D5CDD505-2E9C-101B-9397-08002B2CF9AE}" pid="15" name="SDLStudio">
    <vt:lpwstr/>
  </property>
</Properties>
</file>