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A92CDB" w:rsidRDefault="007323F0">
      <w:pPr>
        <w:pStyle w:val="AmDateTab"/>
      </w:pPr>
      <w:r w:rsidRPr="00A92CDB">
        <w:rPr>
          <w:rStyle w:val="HideTWBExt"/>
        </w:rPr>
        <w:t>&lt;RepeatBlock-Amend&gt;&lt;Amend&gt;&lt;Date&gt;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50</w:t>
      </w:r>
      <w:r w:rsidRPr="00A92CDB">
        <w:rPr>
          <w:rStyle w:val="HideTWBExt"/>
        </w:rPr>
        <w:t>&lt;/NumAm&gt;</w:t>
      </w:r>
    </w:p>
    <w:p w14:paraId="6F54DC25"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50</w:t>
      </w:r>
      <w:r w:rsidRPr="00A92CDB">
        <w:rPr>
          <w:rStyle w:val="HideTWBExt"/>
        </w:rPr>
        <w:t>&lt;/NumAm&gt;</w:t>
      </w:r>
    </w:p>
    <w:p w14:paraId="258E7D6A"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666E1CA7"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294E2802" w14:textId="77777777" w:rsidR="00AB098C" w:rsidRPr="00A92CDB" w:rsidRDefault="007323F0">
      <w:pPr>
        <w:pStyle w:val="NormalBold"/>
      </w:pPr>
      <w:r w:rsidRPr="00A92CDB">
        <w:rPr>
          <w:rStyle w:val="HideTWBExt"/>
          <w:b w:val="0"/>
        </w:rPr>
        <w:t>&lt;/By&gt;&lt;/RepeatBlock-By&gt;</w:t>
      </w:r>
    </w:p>
    <w:p w14:paraId="36619970"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594826D1"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4006048E" w14:textId="30E45309" w:rsidR="00AB098C" w:rsidRPr="00A92CDB" w:rsidRDefault="007323F0">
      <w:r w:rsidRPr="00A92CDB">
        <w:rPr>
          <w:rStyle w:val="HideTWBExt"/>
        </w:rPr>
        <w:t>&lt;Titre&gt;</w:t>
      </w:r>
      <w:r w:rsidRPr="00A92CDB">
        <w:t>Europos Sąjungos finansinių interesų apsauga. Kova su sukčiavimu. 2024 m. metinis pranešimas</w:t>
      </w:r>
      <w:r w:rsidRPr="00A92CDB">
        <w:rPr>
          <w:rStyle w:val="HideTWBExt"/>
        </w:rPr>
        <w:t>&lt;/Titre&gt;</w:t>
      </w:r>
    </w:p>
    <w:p w14:paraId="41E99341"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38C2EC05"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28E559A1" w14:textId="6926299D" w:rsidR="00AB098C" w:rsidRPr="00A92CDB" w:rsidRDefault="007323F0">
      <w:pPr>
        <w:pStyle w:val="NormalBold"/>
      </w:pPr>
      <w:r w:rsidRPr="00A92CDB">
        <w:rPr>
          <w:rStyle w:val="HideTWBExt"/>
        </w:rPr>
        <w:t>&lt;Article&gt;</w:t>
      </w:r>
      <w:r w:rsidRPr="00A92CDB">
        <w:t>23 a nurodomoji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A92CDB" w:rsidRDefault="00AB098C"/>
        </w:tc>
      </w:tr>
      <w:tr w:rsidR="006A31A6" w:rsidRPr="00A92CDB" w14:paraId="0561F3F4" w14:textId="77777777">
        <w:trPr>
          <w:trHeight w:val="240"/>
          <w:jc w:val="center"/>
        </w:trPr>
        <w:tc>
          <w:tcPr>
            <w:tcW w:w="4876" w:type="dxa"/>
            <w:tcBorders>
              <w:top w:val="nil"/>
              <w:left w:val="nil"/>
              <w:bottom w:val="nil"/>
              <w:right w:val="nil"/>
            </w:tcBorders>
          </w:tcPr>
          <w:p w14:paraId="75D7C2A1"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71528269" w14:textId="77777777" w:rsidR="00AB098C" w:rsidRPr="00A92CDB" w:rsidRDefault="007323F0">
            <w:pPr>
              <w:pStyle w:val="AmColumnHeading"/>
            </w:pPr>
            <w:r w:rsidRPr="00A92CDB">
              <w:t>Pakeitimas</w:t>
            </w:r>
          </w:p>
        </w:tc>
      </w:tr>
      <w:tr w:rsidR="006A31A6" w:rsidRPr="00A92CDB" w14:paraId="35A3F6BE" w14:textId="77777777">
        <w:trPr>
          <w:jc w:val="center"/>
        </w:trPr>
        <w:tc>
          <w:tcPr>
            <w:tcW w:w="4876" w:type="dxa"/>
            <w:tcBorders>
              <w:top w:val="nil"/>
              <w:left w:val="nil"/>
              <w:bottom w:val="nil"/>
              <w:right w:val="nil"/>
            </w:tcBorders>
          </w:tcPr>
          <w:p w14:paraId="19D88A38" w14:textId="77777777" w:rsidR="00AB098C" w:rsidRPr="00A92CDB" w:rsidRDefault="00AB098C">
            <w:pPr>
              <w:pStyle w:val="Normal6a"/>
            </w:pPr>
          </w:p>
        </w:tc>
        <w:tc>
          <w:tcPr>
            <w:tcW w:w="4876" w:type="dxa"/>
            <w:tcBorders>
              <w:top w:val="nil"/>
              <w:left w:val="nil"/>
              <w:bottom w:val="nil"/>
              <w:right w:val="nil"/>
            </w:tcBorders>
          </w:tcPr>
          <w:p w14:paraId="0374F855" w14:textId="457B656D" w:rsidR="00AB098C" w:rsidRPr="00A92CDB" w:rsidRDefault="007323F0">
            <w:pPr>
              <w:pStyle w:val="Normal6a"/>
              <w:pBdr>
                <w:bottom w:val="single" w:sz="12" w:space="1" w:color="auto"/>
              </w:pBdr>
              <w:rPr>
                <w:b/>
                <w:i/>
              </w:rPr>
            </w:pPr>
            <w:r w:rsidRPr="00A92CDB">
              <w:rPr>
                <w:b/>
                <w:i/>
              </w:rPr>
              <w:t>–</w:t>
            </w:r>
            <w:r w:rsidRPr="00A92CDB">
              <w:tab/>
            </w:r>
            <w:r w:rsidRPr="00A92CDB">
              <w:rPr>
                <w:b/>
                <w:i/>
              </w:rPr>
              <w:t xml:space="preserve">atsižvelgdamas į 2022 m. vasario 16 d. ES Teisingumo Teismo sprendimus bylose C-156/21 Vengrija / </w:t>
            </w:r>
            <w:r w:rsidRPr="00A92CDB">
              <w:rPr>
                <w:b/>
                <w:i/>
              </w:rPr>
              <w:t>Parlamentas ir Taryba ir C-157/21 Lenkija / Parlamentas ir Taryba</w:t>
            </w:r>
            <w:r w:rsidRPr="00A92CDB">
              <w:rPr>
                <w:b/>
                <w:i/>
                <w:vertAlign w:val="superscript"/>
              </w:rPr>
              <w:t>1a</w:t>
            </w:r>
            <w:r w:rsidRPr="00A92CDB">
              <w:rPr>
                <w:b/>
                <w:i/>
              </w:rPr>
              <w:t>, kuriais patvirtinamas Sąlygų reglamento teisėtumas,</w:t>
            </w:r>
          </w:p>
          <w:p w14:paraId="233B5120" w14:textId="7895A482" w:rsidR="0022097A" w:rsidRPr="00A92CDB" w:rsidRDefault="007323F0">
            <w:pPr>
              <w:pStyle w:val="Normal6a"/>
            </w:pPr>
            <w:r w:rsidRPr="00A92CDB">
              <w:rPr>
                <w:b/>
                <w:i/>
                <w:vertAlign w:val="superscript"/>
              </w:rPr>
              <w:t>1a</w:t>
            </w:r>
            <w:r w:rsidRPr="00A92CDB">
              <w:rPr>
                <w:b/>
                <w:i/>
              </w:rPr>
              <w:t xml:space="preserve"> ECLI:EU:C:2022:97 &amp; ECLI:EU:C:2022:98.</w:t>
            </w:r>
          </w:p>
        </w:tc>
      </w:tr>
    </w:tbl>
    <w:p w14:paraId="6E3DA0C0"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4D4CDBC3" w14:textId="77777777" w:rsidR="00AB098C" w:rsidRPr="00A92CDB" w:rsidRDefault="007323F0">
      <w:pPr>
        <w:sectPr w:rsidR="00AB098C" w:rsidRPr="00A92CDB">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A92CDB">
        <w:rPr>
          <w:rStyle w:val="HideTWBExt"/>
        </w:rPr>
        <w:t>&lt;/Amend&gt;</w:t>
      </w:r>
    </w:p>
    <w:p w14:paraId="1897A4FA"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51</w:t>
      </w:r>
      <w:r w:rsidRPr="00A92CDB">
        <w:rPr>
          <w:rStyle w:val="HideTWBExt"/>
        </w:rPr>
        <w:t>&lt;/NumAm&gt;</w:t>
      </w:r>
    </w:p>
    <w:p w14:paraId="0CA0DC32"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51</w:t>
      </w:r>
      <w:r w:rsidRPr="00A92CDB">
        <w:rPr>
          <w:rStyle w:val="HideTWBExt"/>
        </w:rPr>
        <w:t>&lt;/NumAm&gt;</w:t>
      </w:r>
    </w:p>
    <w:p w14:paraId="122C27AF"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42FB1CEC"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369153FD" w14:textId="77777777" w:rsidR="00AB098C" w:rsidRPr="00A92CDB" w:rsidRDefault="007323F0">
      <w:pPr>
        <w:pStyle w:val="NormalBold"/>
      </w:pPr>
      <w:r w:rsidRPr="00A92CDB">
        <w:rPr>
          <w:rStyle w:val="HideTWBExt"/>
          <w:b w:val="0"/>
        </w:rPr>
        <w:t>&lt;/By&gt;&lt;/RepeatBlock-By&gt;</w:t>
      </w:r>
    </w:p>
    <w:p w14:paraId="004FEAFA"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14F63909"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44F6DB4C" w14:textId="69E7F1E8" w:rsidR="00AB098C" w:rsidRPr="00A92CDB" w:rsidRDefault="007323F0">
      <w:r w:rsidRPr="00A92CDB">
        <w:rPr>
          <w:rStyle w:val="HideTWBExt"/>
        </w:rPr>
        <w:t>&lt;Titre&gt;</w:t>
      </w:r>
      <w:r w:rsidRPr="00A92CDB">
        <w:t xml:space="preserve">Europos Sąjungos </w:t>
      </w:r>
      <w:r w:rsidRPr="00A92CDB">
        <w:t>finansinių interesų apsauga. Kova su sukčiavimu. 2024 m. metinis pranešimas</w:t>
      </w:r>
      <w:r w:rsidRPr="00A92CDB">
        <w:rPr>
          <w:rStyle w:val="HideTWBExt"/>
        </w:rPr>
        <w:t>&lt;/Titre&gt;</w:t>
      </w:r>
    </w:p>
    <w:p w14:paraId="4D47D053"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570FEAC6"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18AE99FB" w14:textId="77777777" w:rsidR="00AB098C" w:rsidRPr="00A92CDB" w:rsidRDefault="007323F0">
      <w:pPr>
        <w:pStyle w:val="NormalBold"/>
      </w:pPr>
      <w:r w:rsidRPr="00A92CDB">
        <w:rPr>
          <w:rStyle w:val="HideTWBExt"/>
        </w:rPr>
        <w:t>&lt;Article&gt;</w:t>
      </w:r>
      <w:r w:rsidRPr="00A92CDB">
        <w:t xml:space="preserve">25 b nurodomoji dalis (nauja) </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A92CDB" w:rsidRDefault="00AB098C"/>
        </w:tc>
      </w:tr>
      <w:tr w:rsidR="006A31A6" w:rsidRPr="00A92CDB" w14:paraId="689BD4CC" w14:textId="77777777">
        <w:trPr>
          <w:trHeight w:val="240"/>
          <w:jc w:val="center"/>
        </w:trPr>
        <w:tc>
          <w:tcPr>
            <w:tcW w:w="4876" w:type="dxa"/>
            <w:tcBorders>
              <w:top w:val="nil"/>
              <w:left w:val="nil"/>
              <w:bottom w:val="nil"/>
              <w:right w:val="nil"/>
            </w:tcBorders>
          </w:tcPr>
          <w:p w14:paraId="7076EBB8"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1D3DD833" w14:textId="77777777" w:rsidR="00AB098C" w:rsidRPr="00A92CDB" w:rsidRDefault="007323F0">
            <w:pPr>
              <w:pStyle w:val="AmColumnHeading"/>
            </w:pPr>
            <w:r w:rsidRPr="00A92CDB">
              <w:t>Pakeitimas</w:t>
            </w:r>
          </w:p>
        </w:tc>
      </w:tr>
      <w:tr w:rsidR="006A31A6" w:rsidRPr="00A92CDB" w14:paraId="6BA02098" w14:textId="77777777">
        <w:trPr>
          <w:jc w:val="center"/>
        </w:trPr>
        <w:tc>
          <w:tcPr>
            <w:tcW w:w="4876" w:type="dxa"/>
            <w:tcBorders>
              <w:top w:val="nil"/>
              <w:left w:val="nil"/>
              <w:bottom w:val="nil"/>
              <w:right w:val="nil"/>
            </w:tcBorders>
          </w:tcPr>
          <w:p w14:paraId="3D3F7FC2" w14:textId="77777777" w:rsidR="00AB098C" w:rsidRPr="00A92CDB" w:rsidRDefault="00AB098C">
            <w:pPr>
              <w:pStyle w:val="Normal6a"/>
            </w:pPr>
          </w:p>
        </w:tc>
        <w:tc>
          <w:tcPr>
            <w:tcW w:w="4876" w:type="dxa"/>
            <w:tcBorders>
              <w:top w:val="nil"/>
              <w:left w:val="nil"/>
              <w:bottom w:val="nil"/>
              <w:right w:val="nil"/>
            </w:tcBorders>
          </w:tcPr>
          <w:p w14:paraId="481513A9" w14:textId="5E786CD9" w:rsidR="00AB098C" w:rsidRPr="00A92CDB" w:rsidRDefault="007323F0">
            <w:pPr>
              <w:pStyle w:val="Normal6a"/>
            </w:pPr>
            <w:r w:rsidRPr="00A92CDB">
              <w:rPr>
                <w:b/>
                <w:i/>
              </w:rPr>
              <w:t>–</w:t>
            </w:r>
            <w:r w:rsidRPr="00A92CDB">
              <w:tab/>
            </w:r>
            <w:r w:rsidRPr="00A92CDB">
              <w:rPr>
                <w:b/>
                <w:i/>
              </w:rPr>
              <w:t>atsižvelgdamas į Europos prokuratūros vykdomą tyrimą, kuris pradėtas 2025 m. liepos mėn., dėl galimo buvusios Europos Parlamento Identiteto ir demokratijos frakcijos netinkamo Sąjungos lėšų naudojimo,</w:t>
            </w:r>
          </w:p>
        </w:tc>
      </w:tr>
    </w:tbl>
    <w:p w14:paraId="790F5E20"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5D9AFC04"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1DC3122D"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52</w:t>
      </w:r>
      <w:r w:rsidRPr="00A92CDB">
        <w:rPr>
          <w:rStyle w:val="HideTWBExt"/>
        </w:rPr>
        <w:t>&lt;/NumAm&gt;</w:t>
      </w:r>
    </w:p>
    <w:p w14:paraId="5F9D1154"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52</w:t>
      </w:r>
      <w:r w:rsidRPr="00A92CDB">
        <w:rPr>
          <w:rStyle w:val="HideTWBExt"/>
        </w:rPr>
        <w:t>&lt;/NumAm&gt;</w:t>
      </w:r>
    </w:p>
    <w:p w14:paraId="27AE9A36"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705EC329"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7E71E8E9" w14:textId="77777777" w:rsidR="00AB098C" w:rsidRPr="00A92CDB" w:rsidRDefault="007323F0">
      <w:pPr>
        <w:pStyle w:val="NormalBold"/>
      </w:pPr>
      <w:r w:rsidRPr="00A92CDB">
        <w:rPr>
          <w:rStyle w:val="HideTWBExt"/>
          <w:b w:val="0"/>
        </w:rPr>
        <w:t>&lt;/By&gt;&lt;/RepeatBlock-By&gt;</w:t>
      </w:r>
    </w:p>
    <w:p w14:paraId="73013DEF"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11B1ED71"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71EEC604" w14:textId="4192E226" w:rsidR="00AB098C" w:rsidRPr="00A92CDB" w:rsidRDefault="007323F0">
      <w:r w:rsidRPr="00A92CDB">
        <w:rPr>
          <w:rStyle w:val="HideTWBExt"/>
        </w:rPr>
        <w:t>&lt;Titre&gt;</w:t>
      </w:r>
      <w:r w:rsidRPr="00A92CDB">
        <w:t>Europos Sąjungos finansinių interesų apsauga. Kova su sukčiavimu. 2024 m. metinis pranešimas</w:t>
      </w:r>
      <w:r w:rsidRPr="00A92CDB">
        <w:rPr>
          <w:rStyle w:val="HideTWBExt"/>
        </w:rPr>
        <w:t>&lt;/Titre&gt;</w:t>
      </w:r>
    </w:p>
    <w:p w14:paraId="702F699B"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65F35DB6"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445EF971" w14:textId="77777777" w:rsidR="00AB098C" w:rsidRPr="00A92CDB" w:rsidRDefault="007323F0">
      <w:pPr>
        <w:pStyle w:val="NormalBold"/>
      </w:pPr>
      <w:r w:rsidRPr="00A92CDB">
        <w:rPr>
          <w:rStyle w:val="HideTWBExt"/>
        </w:rPr>
        <w:t>&lt;Article&gt;</w:t>
      </w:r>
      <w:r w:rsidRPr="00A92CDB">
        <w:t>2 a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A92CDB" w:rsidRDefault="00AB098C"/>
        </w:tc>
      </w:tr>
      <w:tr w:rsidR="006A31A6" w:rsidRPr="00A92CDB" w14:paraId="1FB50B3E" w14:textId="77777777">
        <w:trPr>
          <w:trHeight w:val="240"/>
          <w:jc w:val="center"/>
        </w:trPr>
        <w:tc>
          <w:tcPr>
            <w:tcW w:w="4876" w:type="dxa"/>
            <w:tcBorders>
              <w:top w:val="nil"/>
              <w:left w:val="nil"/>
              <w:bottom w:val="nil"/>
              <w:right w:val="nil"/>
            </w:tcBorders>
          </w:tcPr>
          <w:p w14:paraId="258B1CFF"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64E426E5" w14:textId="77777777" w:rsidR="00AB098C" w:rsidRPr="00A92CDB" w:rsidRDefault="007323F0">
            <w:pPr>
              <w:pStyle w:val="AmColumnHeading"/>
            </w:pPr>
            <w:r w:rsidRPr="00A92CDB">
              <w:t>Pakeitimas</w:t>
            </w:r>
          </w:p>
        </w:tc>
      </w:tr>
      <w:tr w:rsidR="006A31A6" w:rsidRPr="00A92CDB" w14:paraId="1A4C7A08" w14:textId="77777777">
        <w:trPr>
          <w:jc w:val="center"/>
        </w:trPr>
        <w:tc>
          <w:tcPr>
            <w:tcW w:w="4876" w:type="dxa"/>
            <w:tcBorders>
              <w:top w:val="nil"/>
              <w:left w:val="nil"/>
              <w:bottom w:val="nil"/>
              <w:right w:val="nil"/>
            </w:tcBorders>
          </w:tcPr>
          <w:p w14:paraId="7F7CFA26" w14:textId="77777777" w:rsidR="00AB098C" w:rsidRPr="00A92CDB" w:rsidRDefault="00AB098C">
            <w:pPr>
              <w:pStyle w:val="Normal6a"/>
            </w:pPr>
          </w:p>
        </w:tc>
        <w:tc>
          <w:tcPr>
            <w:tcW w:w="4876" w:type="dxa"/>
            <w:tcBorders>
              <w:top w:val="nil"/>
              <w:left w:val="nil"/>
              <w:bottom w:val="nil"/>
              <w:right w:val="nil"/>
            </w:tcBorders>
          </w:tcPr>
          <w:p w14:paraId="78957F95" w14:textId="3A1F513C" w:rsidR="00AB098C" w:rsidRPr="00A92CDB" w:rsidRDefault="007323F0">
            <w:pPr>
              <w:pStyle w:val="Normal6a"/>
            </w:pPr>
            <w:r w:rsidRPr="00A92CDB">
              <w:rPr>
                <w:b/>
                <w:i/>
              </w:rPr>
              <w:t>2a.</w:t>
            </w:r>
            <w:r w:rsidRPr="00A92CDB">
              <w:tab/>
            </w:r>
            <w:r w:rsidRPr="00A92CDB">
              <w:rPr>
                <w:b/>
                <w:i/>
              </w:rPr>
              <w:t xml:space="preserve">apgailestauja, kad ne visos valstybės narės dalyvauja Europos prokuratūros veikloje, todėl atsiranda vykdymo </w:t>
            </w:r>
            <w:r w:rsidRPr="00A92CDB">
              <w:rPr>
                <w:b/>
                <w:i/>
              </w:rPr>
              <w:t>užtikrinimo spragų, kurios silpnina ES gebėjimą vienodai apsaugoti savo finansinius interesus; pažymi, kad 2024 m. Europos prokuratūra išdavė daug Europos tyrimo orderių ir savitarpio teisinės pagalbos prašymų, susijusių su Europos prokuratūros veikloje nedalyvaujančiomis valstybėmis narėmis, o dėl jų atsiranda papildoma procedūrinė našta ir kyla rizika prarasti įrodymus; pakartoja raginimą visoms likusioms Europos prokuratūros veikloje nedalyvaujančioms valstybėms narėms nedelsiant prie jos prisijungti;</w:t>
            </w:r>
          </w:p>
        </w:tc>
      </w:tr>
    </w:tbl>
    <w:p w14:paraId="02F244F9"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234CC38C"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52F6A974"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53</w:t>
      </w:r>
      <w:r w:rsidRPr="00A92CDB">
        <w:rPr>
          <w:rStyle w:val="HideTWBExt"/>
        </w:rPr>
        <w:t>&lt;/NumAm&gt;</w:t>
      </w:r>
    </w:p>
    <w:p w14:paraId="5BCF9E95"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53</w:t>
      </w:r>
      <w:r w:rsidRPr="00A92CDB">
        <w:rPr>
          <w:rStyle w:val="HideTWBExt"/>
        </w:rPr>
        <w:t>&lt;/NumAm&gt;</w:t>
      </w:r>
    </w:p>
    <w:p w14:paraId="470392FE"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6F2B0472"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60567203" w14:textId="77777777" w:rsidR="00AB098C" w:rsidRPr="00A92CDB" w:rsidRDefault="007323F0">
      <w:pPr>
        <w:pStyle w:val="NormalBold"/>
      </w:pPr>
      <w:r w:rsidRPr="00A92CDB">
        <w:rPr>
          <w:rStyle w:val="HideTWBExt"/>
          <w:b w:val="0"/>
        </w:rPr>
        <w:t>&lt;/By&gt;&lt;/RepeatBlock-By&gt;</w:t>
      </w:r>
    </w:p>
    <w:p w14:paraId="6F60CCCE"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6F9DF45E"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19B4ABF8" w14:textId="5CA79DD2" w:rsidR="00AB098C" w:rsidRPr="00A92CDB" w:rsidRDefault="007323F0">
      <w:r w:rsidRPr="00A92CDB">
        <w:rPr>
          <w:rStyle w:val="HideTWBExt"/>
        </w:rPr>
        <w:t>&lt;Titre&gt;</w:t>
      </w:r>
      <w:r w:rsidRPr="00A92CDB">
        <w:t>Europos Sąjungos finansinių interesų apsauga. Kova su sukčiavimu. 2024 m. metinis pranešimas</w:t>
      </w:r>
      <w:r w:rsidRPr="00A92CDB">
        <w:rPr>
          <w:rStyle w:val="HideTWBExt"/>
        </w:rPr>
        <w:t>&lt;/Titre&gt;</w:t>
      </w:r>
    </w:p>
    <w:p w14:paraId="4335F946"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08A8C468"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4D837251" w14:textId="77777777" w:rsidR="00AB098C" w:rsidRPr="00A92CDB" w:rsidRDefault="007323F0">
      <w:pPr>
        <w:pStyle w:val="NormalBold"/>
      </w:pPr>
      <w:r w:rsidRPr="00A92CDB">
        <w:rPr>
          <w:rStyle w:val="HideTWBExt"/>
        </w:rPr>
        <w:t>&lt;Article&gt;</w:t>
      </w:r>
      <w:r w:rsidRPr="00A92CDB">
        <w:t>3 dalis</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A92CDB" w:rsidRDefault="00AB098C"/>
        </w:tc>
      </w:tr>
      <w:tr w:rsidR="006A31A6" w:rsidRPr="00A92CDB" w14:paraId="4A9D3AC4" w14:textId="77777777">
        <w:trPr>
          <w:trHeight w:val="240"/>
          <w:jc w:val="center"/>
        </w:trPr>
        <w:tc>
          <w:tcPr>
            <w:tcW w:w="4876" w:type="dxa"/>
            <w:tcBorders>
              <w:top w:val="nil"/>
              <w:left w:val="nil"/>
              <w:bottom w:val="nil"/>
              <w:right w:val="nil"/>
            </w:tcBorders>
          </w:tcPr>
          <w:p w14:paraId="077A804A"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01984BB6" w14:textId="77777777" w:rsidR="00AB098C" w:rsidRPr="00A92CDB" w:rsidRDefault="007323F0">
            <w:pPr>
              <w:pStyle w:val="AmColumnHeading"/>
            </w:pPr>
            <w:r w:rsidRPr="00A92CDB">
              <w:t>Pakeitimas</w:t>
            </w:r>
          </w:p>
        </w:tc>
      </w:tr>
      <w:tr w:rsidR="006A31A6" w:rsidRPr="00A92CDB" w14:paraId="461AF8AA" w14:textId="77777777">
        <w:trPr>
          <w:jc w:val="center"/>
        </w:trPr>
        <w:tc>
          <w:tcPr>
            <w:tcW w:w="4876" w:type="dxa"/>
            <w:tcBorders>
              <w:top w:val="nil"/>
              <w:left w:val="nil"/>
              <w:bottom w:val="nil"/>
              <w:right w:val="nil"/>
            </w:tcBorders>
          </w:tcPr>
          <w:p w14:paraId="0CE44D25" w14:textId="339AE777" w:rsidR="00AB098C" w:rsidRPr="00A92CDB" w:rsidRDefault="007323F0">
            <w:pPr>
              <w:pStyle w:val="Normal6a"/>
            </w:pPr>
            <w:r w:rsidRPr="00A92CDB">
              <w:t>3.</w:t>
            </w:r>
            <w:r w:rsidRPr="00A92CDB">
              <w:tab/>
              <w:t xml:space="preserve">pabrėžia, kad teisinės valstybės principas yra ES kertinis akmuo ir yra labai svarbus siekiant </w:t>
            </w:r>
            <w:r w:rsidRPr="00A92CDB">
              <w:t xml:space="preserve">apsaugoti ES finansinius interesus visose valstybėse narėse; pabrėžia, kad teisinės valstybės sąlygų mechanizmas turi būti taikomas tais atvejais, kai pažeidimai daro </w:t>
            </w:r>
            <w:r w:rsidRPr="00A92CDB">
              <w:rPr>
                <w:b/>
                <w:i/>
              </w:rPr>
              <w:t>tiesioginį poveikį</w:t>
            </w:r>
            <w:r w:rsidRPr="00A92CDB">
              <w:t xml:space="preserve"> ES </w:t>
            </w:r>
            <w:r w:rsidRPr="00A92CDB">
              <w:rPr>
                <w:b/>
                <w:i/>
              </w:rPr>
              <w:t>biudžetui</w:t>
            </w:r>
            <w:r w:rsidRPr="00A92CDB">
              <w:t>; pabrėžia, kad sprendimai apsaugoti ES finansinius interesus turi būti grindžiami techninėmis ir teisinėmis išvadomis; ragina Komisiją užtikrinti nuoseklų ir proporcingą mechanizmo naudojimą, kartu gerbiant pirminę valstybių narių atsakomybę už teisinės valstybės principų laikymąsi ir užtikrinant ES priemonių su</w:t>
            </w:r>
            <w:r w:rsidRPr="00A92CDB">
              <w:t>derinamumą;</w:t>
            </w:r>
          </w:p>
        </w:tc>
        <w:tc>
          <w:tcPr>
            <w:tcW w:w="4876" w:type="dxa"/>
            <w:tcBorders>
              <w:top w:val="nil"/>
              <w:left w:val="nil"/>
              <w:bottom w:val="nil"/>
              <w:right w:val="nil"/>
            </w:tcBorders>
          </w:tcPr>
          <w:p w14:paraId="2D703E83" w14:textId="077BD94F" w:rsidR="00AB098C" w:rsidRPr="00A92CDB" w:rsidRDefault="007323F0">
            <w:pPr>
              <w:pStyle w:val="Normal6a"/>
            </w:pPr>
            <w:r w:rsidRPr="00A92CDB">
              <w:t>3.</w:t>
            </w:r>
            <w:r w:rsidRPr="00A92CDB">
              <w:tab/>
              <w:t>pabrėžia, kad teisinės valstybės principas yra ES kertinis akmuo ir yra labai svarbus siekiant apsaugoti ES finansinius interesus visose valstybėse narėse; pabrėžia, kad</w:t>
            </w:r>
            <w:r w:rsidRPr="00A92CDB">
              <w:rPr>
                <w:b/>
                <w:i/>
              </w:rPr>
              <w:t>, laikantis suformuotos Teisingumo Teismo jurisprudencijos,</w:t>
            </w:r>
            <w:r w:rsidRPr="00A92CDB">
              <w:t xml:space="preserve"> teisinės valstybės sąlygų mechanizmas turi būti taikomas tais atvejais, kai </w:t>
            </w:r>
            <w:r w:rsidRPr="00A92CDB">
              <w:rPr>
                <w:b/>
                <w:i/>
              </w:rPr>
              <w:t>teisminių institucijų nepriklausomumo, baudžiamojo persekiojimo pajėgumų, atskaitomybės ar skaidrumo</w:t>
            </w:r>
            <w:r w:rsidRPr="00A92CDB">
              <w:t xml:space="preserve"> pažeidimai daro </w:t>
            </w:r>
            <w:r w:rsidRPr="00A92CDB">
              <w:rPr>
                <w:b/>
                <w:i/>
              </w:rPr>
              <w:t>poveikį patikimam</w:t>
            </w:r>
            <w:r w:rsidRPr="00A92CDB">
              <w:t xml:space="preserve"> ES </w:t>
            </w:r>
            <w:r w:rsidRPr="00A92CDB">
              <w:rPr>
                <w:b/>
                <w:i/>
              </w:rPr>
              <w:t>biudžeto finansų valdymui arba kyla tokio poveikio rizika</w:t>
            </w:r>
            <w:r w:rsidRPr="00A92CDB">
              <w:t>; pabrėžia,</w:t>
            </w:r>
            <w:r w:rsidRPr="00A92CDB">
              <w:t xml:space="preserve"> kad sprendimai apsaugoti ES finansinius interesus turi būti grindžiami techninėmis ir teisinėmis išvadomis; ragina Komisiją užtikrinti nuoseklų ir proporcingą mechanizmo naudojimą, kartu gerbiant pirminę valstybių narių atsakomybę už teisinės valstybės principų laikymąsi ir užtikrinant ES priemonių suderinamumą;</w:t>
            </w:r>
          </w:p>
        </w:tc>
      </w:tr>
    </w:tbl>
    <w:p w14:paraId="13C259C4"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21FA7D09"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219B8B07"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54</w:t>
      </w:r>
      <w:r w:rsidRPr="00A92CDB">
        <w:rPr>
          <w:rStyle w:val="HideTWBExt"/>
        </w:rPr>
        <w:t>&lt;/NumAm&gt;</w:t>
      </w:r>
    </w:p>
    <w:p w14:paraId="67314D54"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54</w:t>
      </w:r>
      <w:r w:rsidRPr="00A92CDB">
        <w:rPr>
          <w:rStyle w:val="HideTWBExt"/>
        </w:rPr>
        <w:t>&lt;/NumAm&gt;</w:t>
      </w:r>
    </w:p>
    <w:p w14:paraId="69707BC9"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1B49B9EB"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766E356C" w14:textId="77777777" w:rsidR="00AB098C" w:rsidRPr="00A92CDB" w:rsidRDefault="007323F0">
      <w:pPr>
        <w:pStyle w:val="NormalBold"/>
      </w:pPr>
      <w:r w:rsidRPr="00A92CDB">
        <w:rPr>
          <w:rStyle w:val="HideTWBExt"/>
          <w:b w:val="0"/>
        </w:rPr>
        <w:t>&lt;/By&gt;&lt;/RepeatBlock-By&gt;</w:t>
      </w:r>
    </w:p>
    <w:p w14:paraId="7D047441"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2EECE3EA"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50F05D0D" w14:textId="50C0726E" w:rsidR="00AB098C" w:rsidRPr="00A92CDB" w:rsidRDefault="007323F0">
      <w:r w:rsidRPr="00A92CDB">
        <w:rPr>
          <w:rStyle w:val="HideTWBExt"/>
        </w:rPr>
        <w:t>&lt;Titre&gt;</w:t>
      </w:r>
      <w:r w:rsidRPr="00A92CDB">
        <w:t xml:space="preserve">Europos Sąjungos finansinių </w:t>
      </w:r>
      <w:r w:rsidRPr="00A92CDB">
        <w:t>interesų apsauga. Kova su sukčiavimu. 2024 m. metinis pranešimas</w:t>
      </w:r>
      <w:r w:rsidRPr="00A92CDB">
        <w:rPr>
          <w:rStyle w:val="HideTWBExt"/>
        </w:rPr>
        <w:t>&lt;/Titre&gt;</w:t>
      </w:r>
    </w:p>
    <w:p w14:paraId="302E9BC8"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071B1C41"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36179FDD" w14:textId="77777777" w:rsidR="00AB098C" w:rsidRPr="00A92CDB" w:rsidRDefault="007323F0">
      <w:pPr>
        <w:pStyle w:val="NormalBold"/>
      </w:pPr>
      <w:r w:rsidRPr="00A92CDB">
        <w:rPr>
          <w:rStyle w:val="HideTWBExt"/>
        </w:rPr>
        <w:t>&lt;Article&gt;</w:t>
      </w:r>
      <w:r w:rsidRPr="00A92CDB">
        <w:t>3 a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A92CDB" w:rsidRDefault="00AB098C"/>
        </w:tc>
      </w:tr>
      <w:tr w:rsidR="006A31A6" w:rsidRPr="00A92CDB" w14:paraId="5BFEF2D6" w14:textId="77777777">
        <w:trPr>
          <w:trHeight w:val="240"/>
          <w:jc w:val="center"/>
        </w:trPr>
        <w:tc>
          <w:tcPr>
            <w:tcW w:w="4876" w:type="dxa"/>
            <w:tcBorders>
              <w:top w:val="nil"/>
              <w:left w:val="nil"/>
              <w:bottom w:val="nil"/>
              <w:right w:val="nil"/>
            </w:tcBorders>
          </w:tcPr>
          <w:p w14:paraId="5F59DC8D"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156EF022" w14:textId="77777777" w:rsidR="00AB098C" w:rsidRPr="00A92CDB" w:rsidRDefault="007323F0">
            <w:pPr>
              <w:pStyle w:val="AmColumnHeading"/>
            </w:pPr>
            <w:r w:rsidRPr="00A92CDB">
              <w:t>Pakeitimas</w:t>
            </w:r>
          </w:p>
        </w:tc>
      </w:tr>
      <w:tr w:rsidR="006A31A6" w:rsidRPr="00A92CDB" w14:paraId="4ADC2E69" w14:textId="77777777">
        <w:trPr>
          <w:jc w:val="center"/>
        </w:trPr>
        <w:tc>
          <w:tcPr>
            <w:tcW w:w="4876" w:type="dxa"/>
            <w:tcBorders>
              <w:top w:val="nil"/>
              <w:left w:val="nil"/>
              <w:bottom w:val="nil"/>
              <w:right w:val="nil"/>
            </w:tcBorders>
          </w:tcPr>
          <w:p w14:paraId="5EB6D534" w14:textId="77777777" w:rsidR="00AB098C" w:rsidRPr="00A92CDB" w:rsidRDefault="00AB098C">
            <w:pPr>
              <w:pStyle w:val="Normal6a"/>
            </w:pPr>
          </w:p>
        </w:tc>
        <w:tc>
          <w:tcPr>
            <w:tcW w:w="4876" w:type="dxa"/>
            <w:tcBorders>
              <w:top w:val="nil"/>
              <w:left w:val="nil"/>
              <w:bottom w:val="nil"/>
              <w:right w:val="nil"/>
            </w:tcBorders>
          </w:tcPr>
          <w:p w14:paraId="271E2773" w14:textId="583C3293" w:rsidR="00AB098C" w:rsidRPr="00A92CDB" w:rsidRDefault="007323F0">
            <w:pPr>
              <w:pStyle w:val="Normal6a"/>
            </w:pPr>
            <w:r w:rsidRPr="00A92CDB">
              <w:rPr>
                <w:b/>
                <w:i/>
              </w:rPr>
              <w:t>3a.</w:t>
            </w:r>
            <w:r w:rsidRPr="00A92CDB">
              <w:tab/>
            </w:r>
            <w:r w:rsidRPr="00A92CDB">
              <w:rPr>
                <w:b/>
                <w:i/>
              </w:rPr>
              <w:t xml:space="preserve">labai </w:t>
            </w:r>
            <w:r w:rsidRPr="00A92CDB">
              <w:rPr>
                <w:b/>
                <w:i/>
              </w:rPr>
              <w:t xml:space="preserve">susirūpinęs atkreipia dėmesį į nuolatinį teisinės valstybės padėties blogėjimą tam tikrose valstybėse narėse, visų pirma Vengrijoje, kur ne kartą, be kita ko, Europos Audito Rūmų, OLAF ir Europos prokuratūros buvo nustatyta sisteminė rizika Sąjungos finansiniams interesams; primena, kad 2022 m. gruodžio mėn. Taryba pagal Sąlygų reglamentą sustabdė 6,3 mlrd. EUR sanglaudos fondo lėšų skyrimą Vengrijai ir kad didelės sumos tebėra įšaldytos dėl neišspręstų susirūpinimą keliančių klausimų, susijusių su viešųjų </w:t>
            </w:r>
            <w:r w:rsidRPr="00A92CDB">
              <w:rPr>
                <w:b/>
                <w:i/>
              </w:rPr>
              <w:t>pirkimų ir kovos su korupcija sistemomis; pabrėžia, kad šios išvados yra ne politinės, o pagrįstos objektyviais, dokumentais pagrįstais ir pakartotinai patikrintais įrodymais; pakartoja, kad teisinės valstybės sąlygos yra ne politinė priemonė, o Sąjungos biudžeto apsaugos priemonė, kuri turi būti nuosekliai taikoma visais atvejais, kai kyla rizika;</w:t>
            </w:r>
          </w:p>
        </w:tc>
      </w:tr>
    </w:tbl>
    <w:p w14:paraId="7BED3E7E"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57836B7F"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67BFCD90"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55</w:t>
      </w:r>
      <w:r w:rsidRPr="00A92CDB">
        <w:rPr>
          <w:rStyle w:val="HideTWBExt"/>
        </w:rPr>
        <w:t>&lt;/NumAm&gt;</w:t>
      </w:r>
    </w:p>
    <w:p w14:paraId="443DF2C4"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55</w:t>
      </w:r>
      <w:r w:rsidRPr="00A92CDB">
        <w:rPr>
          <w:rStyle w:val="HideTWBExt"/>
        </w:rPr>
        <w:t>&lt;/NumAm&gt;</w:t>
      </w:r>
    </w:p>
    <w:p w14:paraId="179720CC"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1BD1F28D"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6052C6CA" w14:textId="77777777" w:rsidR="00AB098C" w:rsidRPr="00A92CDB" w:rsidRDefault="007323F0">
      <w:pPr>
        <w:pStyle w:val="NormalBold"/>
      </w:pPr>
      <w:r w:rsidRPr="00A92CDB">
        <w:rPr>
          <w:rStyle w:val="HideTWBExt"/>
          <w:b w:val="0"/>
        </w:rPr>
        <w:t>&lt;/By&gt;&lt;/RepeatBlock-By&gt;</w:t>
      </w:r>
    </w:p>
    <w:p w14:paraId="62A11CBB"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59D81A9B"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5281A2FF" w14:textId="2D351118" w:rsidR="00AB098C" w:rsidRPr="00A92CDB" w:rsidRDefault="007323F0">
      <w:r w:rsidRPr="00A92CDB">
        <w:rPr>
          <w:rStyle w:val="HideTWBExt"/>
        </w:rPr>
        <w:t>&lt;Titre&gt;</w:t>
      </w:r>
      <w:r w:rsidRPr="00A92CDB">
        <w:t xml:space="preserve">Europos </w:t>
      </w:r>
      <w:r w:rsidRPr="00A92CDB">
        <w:t>Sąjungos finansinių interesų apsauga. Kova su sukčiavimu. 2024 m. metinis pranešimas</w:t>
      </w:r>
      <w:r w:rsidRPr="00A92CDB">
        <w:rPr>
          <w:rStyle w:val="HideTWBExt"/>
        </w:rPr>
        <w:t>&lt;/Titre&gt;</w:t>
      </w:r>
    </w:p>
    <w:p w14:paraId="5256DFAF"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69D02E9D"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72992868" w14:textId="77777777" w:rsidR="00AB098C" w:rsidRPr="00A92CDB" w:rsidRDefault="007323F0">
      <w:pPr>
        <w:pStyle w:val="NormalBold"/>
      </w:pPr>
      <w:r w:rsidRPr="00A92CDB">
        <w:rPr>
          <w:rStyle w:val="HideTWBExt"/>
        </w:rPr>
        <w:t>&lt;Article&gt;</w:t>
      </w:r>
      <w:r w:rsidRPr="00A92CDB">
        <w:t>25 a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A92CDB" w:rsidRDefault="00AB098C"/>
        </w:tc>
      </w:tr>
      <w:tr w:rsidR="006A31A6" w:rsidRPr="00A92CDB" w14:paraId="69E23460" w14:textId="77777777">
        <w:trPr>
          <w:trHeight w:val="240"/>
          <w:jc w:val="center"/>
        </w:trPr>
        <w:tc>
          <w:tcPr>
            <w:tcW w:w="4876" w:type="dxa"/>
            <w:tcBorders>
              <w:top w:val="nil"/>
              <w:left w:val="nil"/>
              <w:bottom w:val="nil"/>
              <w:right w:val="nil"/>
            </w:tcBorders>
          </w:tcPr>
          <w:p w14:paraId="0B6AFD80"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228BD7CA" w14:textId="77777777" w:rsidR="00AB098C" w:rsidRPr="00A92CDB" w:rsidRDefault="007323F0">
            <w:pPr>
              <w:pStyle w:val="AmColumnHeading"/>
            </w:pPr>
            <w:r w:rsidRPr="00A92CDB">
              <w:t>Pakeitimas</w:t>
            </w:r>
          </w:p>
        </w:tc>
      </w:tr>
      <w:tr w:rsidR="006A31A6" w:rsidRPr="00A92CDB" w14:paraId="4CCF76E6" w14:textId="77777777">
        <w:trPr>
          <w:jc w:val="center"/>
        </w:trPr>
        <w:tc>
          <w:tcPr>
            <w:tcW w:w="4876" w:type="dxa"/>
            <w:tcBorders>
              <w:top w:val="nil"/>
              <w:left w:val="nil"/>
              <w:bottom w:val="nil"/>
              <w:right w:val="nil"/>
            </w:tcBorders>
          </w:tcPr>
          <w:p w14:paraId="26003878" w14:textId="77777777" w:rsidR="00AB098C" w:rsidRPr="00A92CDB" w:rsidRDefault="00AB098C">
            <w:pPr>
              <w:pStyle w:val="Normal6a"/>
            </w:pPr>
          </w:p>
        </w:tc>
        <w:tc>
          <w:tcPr>
            <w:tcW w:w="4876" w:type="dxa"/>
            <w:tcBorders>
              <w:top w:val="nil"/>
              <w:left w:val="nil"/>
              <w:bottom w:val="nil"/>
              <w:right w:val="nil"/>
            </w:tcBorders>
          </w:tcPr>
          <w:p w14:paraId="71831527" w14:textId="0CB06975" w:rsidR="00AB098C" w:rsidRPr="00A92CDB" w:rsidRDefault="007323F0">
            <w:pPr>
              <w:pStyle w:val="Normal6a"/>
            </w:pPr>
            <w:r w:rsidRPr="00A92CDB">
              <w:rPr>
                <w:b/>
                <w:i/>
              </w:rPr>
              <w:t>25a.</w:t>
            </w:r>
            <w:r w:rsidRPr="00A92CDB">
              <w:tab/>
            </w:r>
            <w:r w:rsidRPr="00A92CDB">
              <w:rPr>
                <w:b/>
                <w:i/>
              </w:rPr>
              <w:t>pripažįsta esminį pilietinės visuomenės organizacijų, nevyriausybinių organizacijų ir profesinių sąjungų vaidmenį stebint Sąjungos lėšų naudojimą, pranešant apie įtariamą sukčiavimą, remiant informatorius ir atliekant nepriklausomą tikrinimą, kurie papildo ES kovos su sukčiavimu įstaigų darbą; atmeta bet kokius bandymus instrumentalizuoti susirūpinimą keliančius klausimus, susijusius su tuo, kaip nevyriausybinės organizacijos naudoja Sąjungos lėšas, norint pateisinti bendresnius pilietinei visuomenei taiko</w:t>
            </w:r>
            <w:r w:rsidRPr="00A92CDB">
              <w:rPr>
                <w:b/>
                <w:i/>
              </w:rPr>
              <w:t>mus apribojimus; primena, kad neproporcingi apribojimai pilietinės visuomenės organizacijoms patys savaime yra įspėjamasis ženklas, kad teisinės valstybės principo padėtis blogės;</w:t>
            </w:r>
          </w:p>
        </w:tc>
      </w:tr>
    </w:tbl>
    <w:p w14:paraId="4E11279A"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032914D1"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5A104F8B"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56</w:t>
      </w:r>
      <w:r w:rsidRPr="00A92CDB">
        <w:rPr>
          <w:rStyle w:val="HideTWBExt"/>
        </w:rPr>
        <w:t>&lt;/NumAm&gt;</w:t>
      </w:r>
    </w:p>
    <w:p w14:paraId="3EC87B7D"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56</w:t>
      </w:r>
      <w:r w:rsidRPr="00A92CDB">
        <w:rPr>
          <w:rStyle w:val="HideTWBExt"/>
        </w:rPr>
        <w:t>&lt;/NumAm&gt;</w:t>
      </w:r>
    </w:p>
    <w:p w14:paraId="2C363BC9"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37A04B89"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1B7EA57B" w14:textId="77777777" w:rsidR="00AB098C" w:rsidRPr="00A92CDB" w:rsidRDefault="007323F0">
      <w:pPr>
        <w:pStyle w:val="NormalBold"/>
      </w:pPr>
      <w:r w:rsidRPr="00A92CDB">
        <w:rPr>
          <w:rStyle w:val="HideTWBExt"/>
          <w:b w:val="0"/>
        </w:rPr>
        <w:t>&lt;/By&gt;&lt;/RepeatBlock-By&gt;</w:t>
      </w:r>
    </w:p>
    <w:p w14:paraId="649F29F0"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4918B640"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54149BD3" w14:textId="37F21427" w:rsidR="00AB098C" w:rsidRPr="00A92CDB" w:rsidRDefault="007323F0">
      <w:r w:rsidRPr="00A92CDB">
        <w:rPr>
          <w:rStyle w:val="HideTWBExt"/>
        </w:rPr>
        <w:t>&lt;Titre&gt;</w:t>
      </w:r>
      <w:r w:rsidRPr="00A92CDB">
        <w:t>Europos Sąjungos finansinių interesų apsauga. Kova su sukčiavimu. 2024 m. metinis pranešimas</w:t>
      </w:r>
      <w:r w:rsidRPr="00A92CDB">
        <w:rPr>
          <w:rStyle w:val="HideTWBExt"/>
        </w:rPr>
        <w:t>&lt;/Titre&gt;</w:t>
      </w:r>
    </w:p>
    <w:p w14:paraId="35AAE10B"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77883258"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3F004185" w14:textId="77777777" w:rsidR="00AB098C" w:rsidRPr="00A92CDB" w:rsidRDefault="007323F0">
      <w:pPr>
        <w:pStyle w:val="NormalBold"/>
      </w:pPr>
      <w:r w:rsidRPr="00A92CDB">
        <w:rPr>
          <w:rStyle w:val="HideTWBExt"/>
        </w:rPr>
        <w:t>&lt;Article&gt;</w:t>
      </w:r>
      <w:r w:rsidRPr="00A92CDB">
        <w:t>43 a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A92CDB" w:rsidRDefault="00AB098C"/>
        </w:tc>
      </w:tr>
      <w:tr w:rsidR="006A31A6" w:rsidRPr="00A92CDB" w14:paraId="6AA85220" w14:textId="77777777">
        <w:trPr>
          <w:trHeight w:val="240"/>
          <w:jc w:val="center"/>
        </w:trPr>
        <w:tc>
          <w:tcPr>
            <w:tcW w:w="4876" w:type="dxa"/>
            <w:tcBorders>
              <w:top w:val="nil"/>
              <w:left w:val="nil"/>
              <w:bottom w:val="nil"/>
              <w:right w:val="nil"/>
            </w:tcBorders>
          </w:tcPr>
          <w:p w14:paraId="595F1F88"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314978B4" w14:textId="77777777" w:rsidR="00AB098C" w:rsidRPr="00A92CDB" w:rsidRDefault="007323F0">
            <w:pPr>
              <w:pStyle w:val="AmColumnHeading"/>
            </w:pPr>
            <w:r w:rsidRPr="00A92CDB">
              <w:t>Pakeitimas</w:t>
            </w:r>
          </w:p>
        </w:tc>
      </w:tr>
      <w:tr w:rsidR="006A31A6" w:rsidRPr="00A92CDB" w14:paraId="540177D3" w14:textId="77777777">
        <w:trPr>
          <w:jc w:val="center"/>
        </w:trPr>
        <w:tc>
          <w:tcPr>
            <w:tcW w:w="4876" w:type="dxa"/>
            <w:tcBorders>
              <w:top w:val="nil"/>
              <w:left w:val="nil"/>
              <w:bottom w:val="nil"/>
              <w:right w:val="nil"/>
            </w:tcBorders>
          </w:tcPr>
          <w:p w14:paraId="5663936E" w14:textId="77777777" w:rsidR="00AB098C" w:rsidRPr="00A92CDB" w:rsidRDefault="00AB098C">
            <w:pPr>
              <w:pStyle w:val="Normal6a"/>
            </w:pPr>
          </w:p>
        </w:tc>
        <w:tc>
          <w:tcPr>
            <w:tcW w:w="4876" w:type="dxa"/>
            <w:tcBorders>
              <w:top w:val="nil"/>
              <w:left w:val="nil"/>
              <w:bottom w:val="nil"/>
              <w:right w:val="nil"/>
            </w:tcBorders>
          </w:tcPr>
          <w:p w14:paraId="451BBBD3" w14:textId="37E9973A" w:rsidR="00AB098C" w:rsidRPr="00A92CDB" w:rsidRDefault="007323F0">
            <w:pPr>
              <w:pStyle w:val="Normal6a"/>
            </w:pPr>
            <w:r w:rsidRPr="00A92CDB">
              <w:rPr>
                <w:b/>
                <w:i/>
              </w:rPr>
              <w:t>43a.</w:t>
            </w:r>
            <w:r w:rsidRPr="00A92CDB">
              <w:tab/>
            </w:r>
            <w:r w:rsidRPr="00A92CDB">
              <w:rPr>
                <w:b/>
                <w:i/>
              </w:rPr>
              <w:t xml:space="preserve">pabrėžia, kad DI grindžiamos dezinformacijos kampanijos, nukreiptos prieš ES institucijas, įskaitant koordinuotą turinį, kuriuo siekiama </w:t>
            </w:r>
            <w:r w:rsidRPr="00A92CDB">
              <w:rPr>
                <w:b/>
                <w:i/>
              </w:rPr>
              <w:t>sumažinti pasitikėjimą kovos su sukčiavimu įstaigomis, Sąjungos biudžetu ir teisine valstybe, kelia tiesioginę riziką Sąjungos finansiniams interesams, nes tai mažina visuomenės paramą apsaugos mechanizmams ir padeda nuslėpti nesąžiningą praktiką; ragina Komisiją, bendradarbiaujant su OLAF, Europos prokuratūra ir Europolu, plėtoti ES masto pajėgumus nustatyti, dokumentuoti prieš Sąjungos finansų valdymą nukreiptas DI grindžiamas dezinformacijos kampanijas ir su jomis kovoti;</w:t>
            </w:r>
          </w:p>
        </w:tc>
      </w:tr>
    </w:tbl>
    <w:p w14:paraId="575EC240"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694F00F7"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16E4FD44"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57</w:t>
      </w:r>
      <w:r w:rsidRPr="00A92CDB">
        <w:rPr>
          <w:rStyle w:val="HideTWBExt"/>
        </w:rPr>
        <w:t>&lt;/NumAm&gt;</w:t>
      </w:r>
    </w:p>
    <w:p w14:paraId="69D4E501"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57</w:t>
      </w:r>
      <w:r w:rsidRPr="00A92CDB">
        <w:rPr>
          <w:rStyle w:val="HideTWBExt"/>
        </w:rPr>
        <w:t>&lt;/NumAm&gt;</w:t>
      </w:r>
    </w:p>
    <w:p w14:paraId="27624642"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002E253A"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0556CDFB" w14:textId="77777777" w:rsidR="00AB098C" w:rsidRPr="00A92CDB" w:rsidRDefault="007323F0">
      <w:pPr>
        <w:pStyle w:val="NormalBold"/>
      </w:pPr>
      <w:r w:rsidRPr="00A92CDB">
        <w:rPr>
          <w:rStyle w:val="HideTWBExt"/>
          <w:b w:val="0"/>
        </w:rPr>
        <w:t>&lt;/By&gt;&lt;/RepeatBlock-By&gt;</w:t>
      </w:r>
    </w:p>
    <w:p w14:paraId="6E28DA98"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3056DB36"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0F248029" w14:textId="2567AF97" w:rsidR="00AB098C" w:rsidRPr="00A92CDB" w:rsidRDefault="007323F0">
      <w:r w:rsidRPr="00A92CDB">
        <w:rPr>
          <w:rStyle w:val="HideTWBExt"/>
        </w:rPr>
        <w:t>&lt;Titre&gt;</w:t>
      </w:r>
      <w:r w:rsidRPr="00A92CDB">
        <w:t>Europos Sąjungos finansinių interesų apsauga. Kova su sukčiavimu. 2024 m. metinis pranešimas</w:t>
      </w:r>
      <w:r w:rsidRPr="00A92CDB">
        <w:rPr>
          <w:rStyle w:val="HideTWBExt"/>
        </w:rPr>
        <w:t>&lt;/Titre&gt;</w:t>
      </w:r>
    </w:p>
    <w:p w14:paraId="06555AB2"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1385222D"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757CE512" w14:textId="77777777" w:rsidR="00AB098C" w:rsidRPr="00A92CDB" w:rsidRDefault="007323F0">
      <w:pPr>
        <w:pStyle w:val="NormalBold"/>
      </w:pPr>
      <w:r w:rsidRPr="00A92CDB">
        <w:rPr>
          <w:rStyle w:val="HideTWBExt"/>
        </w:rPr>
        <w:t>&lt;Article&gt;</w:t>
      </w:r>
      <w:r w:rsidRPr="00A92CDB">
        <w:t>53 dalis</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A92CDB" w:rsidRDefault="00AB098C"/>
        </w:tc>
      </w:tr>
      <w:tr w:rsidR="006A31A6" w:rsidRPr="00A92CDB" w14:paraId="35E7FF05" w14:textId="77777777">
        <w:trPr>
          <w:trHeight w:val="240"/>
          <w:jc w:val="center"/>
        </w:trPr>
        <w:tc>
          <w:tcPr>
            <w:tcW w:w="4876" w:type="dxa"/>
            <w:tcBorders>
              <w:top w:val="nil"/>
              <w:left w:val="nil"/>
              <w:bottom w:val="nil"/>
              <w:right w:val="nil"/>
            </w:tcBorders>
          </w:tcPr>
          <w:p w14:paraId="5B3B82EC"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151A8834" w14:textId="77777777" w:rsidR="00AB098C" w:rsidRPr="00A92CDB" w:rsidRDefault="007323F0">
            <w:pPr>
              <w:pStyle w:val="AmColumnHeading"/>
            </w:pPr>
            <w:r w:rsidRPr="00A92CDB">
              <w:t>Pakeitimas</w:t>
            </w:r>
          </w:p>
        </w:tc>
      </w:tr>
      <w:tr w:rsidR="006A31A6" w:rsidRPr="00A92CDB" w14:paraId="143B3E26" w14:textId="77777777">
        <w:trPr>
          <w:jc w:val="center"/>
        </w:trPr>
        <w:tc>
          <w:tcPr>
            <w:tcW w:w="4876" w:type="dxa"/>
            <w:tcBorders>
              <w:top w:val="nil"/>
              <w:left w:val="nil"/>
              <w:bottom w:val="nil"/>
              <w:right w:val="nil"/>
            </w:tcBorders>
          </w:tcPr>
          <w:p w14:paraId="202F2B46" w14:textId="77777777" w:rsidR="00AB098C" w:rsidRPr="00A92CDB" w:rsidRDefault="007323F0">
            <w:pPr>
              <w:pStyle w:val="Normal6a"/>
            </w:pPr>
            <w:r w:rsidRPr="00A92CDB">
              <w:t>53.</w:t>
            </w:r>
            <w:r w:rsidRPr="00A92CDB">
              <w:tab/>
              <w:t xml:space="preserve">primena, kad Sąlygų reglamentu nustatytas biudžeto sąlygų mechanizmas yra teisiškai </w:t>
            </w:r>
            <w:r w:rsidRPr="00A92CDB">
              <w:t xml:space="preserve">reglamentuojama priemonė, kuria siekiama užkirsti kelią rizikai ES biudžetui; </w:t>
            </w:r>
            <w:r w:rsidRPr="00A92CDB">
              <w:rPr>
                <w:b/>
                <w:i/>
              </w:rPr>
              <w:t>vis dėlto pažymi, kad jos taikymas gali būti pateisinamas tik tuo atveju</w:t>
            </w:r>
            <w:r w:rsidRPr="00A92CDB">
              <w:t xml:space="preserve">, </w:t>
            </w:r>
            <w:r w:rsidRPr="00A92CDB">
              <w:rPr>
                <w:b/>
                <w:i/>
              </w:rPr>
              <w:t>jei tarp nustatytų trūkumų ir žalos ES finansiniams interesams yra tiesioginis</w:t>
            </w:r>
            <w:r w:rsidRPr="00A92CDB">
              <w:t xml:space="preserve">, </w:t>
            </w:r>
            <w:r w:rsidRPr="00A92CDB">
              <w:rPr>
                <w:b/>
                <w:i/>
              </w:rPr>
              <w:t xml:space="preserve">realus ir </w:t>
            </w:r>
            <w:r w:rsidRPr="00A92CDB">
              <w:rPr>
                <w:b/>
                <w:i/>
              </w:rPr>
              <w:t>įrodytas ryšys</w:t>
            </w:r>
            <w:r w:rsidRPr="00A92CDB">
              <w:t>;</w:t>
            </w:r>
            <w:r w:rsidRPr="00A92CDB">
              <w:rPr>
                <w:b/>
                <w:i/>
              </w:rPr>
              <w:t xml:space="preserve"> reiškia susirūpinimą dėl to, kad bet koks jo taikymo srities išplėtimas viršijant šį biudžeto tikslą prieštarautų Sutarčių dvasiai ir proporcingumo principui</w:t>
            </w:r>
            <w:r w:rsidRPr="00A92CDB">
              <w:t xml:space="preserve">; primena, kad šio mechanizmo legitimumas grindžiamas tuo, kad jis taikomas </w:t>
            </w:r>
            <w:r w:rsidRPr="00A92CDB">
              <w:rPr>
                <w:b/>
                <w:i/>
              </w:rPr>
              <w:t>griežtai</w:t>
            </w:r>
            <w:r w:rsidRPr="00A92CDB">
              <w:t xml:space="preserve"> objektyviai, be </w:t>
            </w:r>
            <w:r w:rsidRPr="00A92CDB">
              <w:rPr>
                <w:b/>
                <w:i/>
              </w:rPr>
              <w:t>jokių politinių sumetimų ir užtikrinant vienodą požiūrį į valstybes nares; pažymi, kad jį įgyvendinant kilo praktinių ir operatyvinių sunkumų, kaip pabrėžta Audito Rūmų specialiojoje ataskaitoje Nr. 03/2024 dėl teisinės valstybės principo</w:t>
            </w:r>
            <w:r w:rsidRPr="00A92CDB">
              <w:rPr>
                <w:b/>
                <w:i/>
              </w:rPr>
              <w:t xml:space="preserve"> ES</w:t>
            </w:r>
            <w:r w:rsidRPr="00A92CDB">
              <w:t xml:space="preserve">; ragina Komisiją </w:t>
            </w:r>
            <w:r w:rsidRPr="00A92CDB">
              <w:rPr>
                <w:b/>
                <w:i/>
              </w:rPr>
              <w:t>šį mechanizmą</w:t>
            </w:r>
            <w:r w:rsidRPr="00A92CDB">
              <w:t xml:space="preserve"> taikyti </w:t>
            </w:r>
            <w:r w:rsidRPr="00A92CDB">
              <w:rPr>
                <w:b/>
                <w:i/>
              </w:rPr>
              <w:t>nuosekliai</w:t>
            </w:r>
            <w:r w:rsidRPr="00A92CDB">
              <w:t xml:space="preserve"> ir </w:t>
            </w:r>
            <w:r w:rsidRPr="00A92CDB">
              <w:rPr>
                <w:b/>
                <w:i/>
              </w:rPr>
              <w:t>skaidriai, remiantis objektyviais įrodymais</w:t>
            </w:r>
            <w:r w:rsidRPr="00A92CDB">
              <w:t>;</w:t>
            </w:r>
          </w:p>
        </w:tc>
        <w:tc>
          <w:tcPr>
            <w:tcW w:w="4876" w:type="dxa"/>
            <w:tcBorders>
              <w:top w:val="nil"/>
              <w:left w:val="nil"/>
              <w:bottom w:val="nil"/>
              <w:right w:val="nil"/>
            </w:tcBorders>
          </w:tcPr>
          <w:p w14:paraId="4C9BE8B5" w14:textId="33A03B6B" w:rsidR="00AB098C" w:rsidRPr="00A92CDB" w:rsidRDefault="007323F0">
            <w:pPr>
              <w:pStyle w:val="Normal6a"/>
            </w:pPr>
            <w:r w:rsidRPr="00A92CDB">
              <w:t>53.</w:t>
            </w:r>
            <w:r w:rsidRPr="00A92CDB">
              <w:tab/>
              <w:t xml:space="preserve">primena, kad Sąlygų reglamentu nustatytas biudžeto sąlygų mechanizmas yra teisiškai reglamentuojama priemonė, kuria siekiama užkirsti kelią rizikai ES biudžetui; </w:t>
            </w:r>
            <w:r w:rsidRPr="00A92CDB">
              <w:rPr>
                <w:b/>
                <w:i/>
              </w:rPr>
              <w:t>primena, kad Sąlygų reglamentas yra biudžeto apsaugos priemonė, skirta Sąjungos biudžetui apsaugoti</w:t>
            </w:r>
            <w:r w:rsidRPr="00A92CDB">
              <w:t xml:space="preserve">, </w:t>
            </w:r>
            <w:r w:rsidRPr="00A92CDB">
              <w:rPr>
                <w:b/>
                <w:i/>
              </w:rPr>
              <w:t>kai teisinės valstybės principų pažeidimai daro poveikį patikimam Sąjungos finansinių interesų finansų valdymui arba kelia didelę riziką</w:t>
            </w:r>
            <w:r w:rsidRPr="00A92CDB">
              <w:t xml:space="preserve">, </w:t>
            </w:r>
            <w:r w:rsidRPr="00A92CDB">
              <w:rPr>
                <w:b/>
                <w:i/>
              </w:rPr>
              <w:t>kad toks poveikis bus daromas</w:t>
            </w:r>
            <w:r w:rsidRPr="00A92CDB">
              <w:t>;</w:t>
            </w:r>
            <w:r w:rsidRPr="00A92CDB">
              <w:rPr>
                <w:b/>
                <w:i/>
              </w:rPr>
              <w:t xml:space="preserve"> primena, kad Teisingumo Teismas bylose C-156/21 ir C-157/21 patvirtino Sąlygų r</w:t>
            </w:r>
            <w:r w:rsidRPr="00A92CDB">
              <w:rPr>
                <w:b/>
                <w:i/>
              </w:rPr>
              <w:t>eglamento teisėtumą ir plačią jo taikymo sritį saugant Sąjungos biudžetą nuo teisinės valstybės principo pažeidimų</w:t>
            </w:r>
            <w:r w:rsidRPr="00A92CDB">
              <w:t xml:space="preserve">; primena, kad šio mechanizmo legitimumas grindžiamas tuo, kad jis taikomas objektyviai, be </w:t>
            </w:r>
            <w:r w:rsidRPr="00A92CDB">
              <w:rPr>
                <w:b/>
                <w:i/>
              </w:rPr>
              <w:t>dvigubų standartų; pabrėžia, kad sisteminiai teisminių institucijų nepriklausomumo, kovos su korupcija sistemų ir baudžiamojo persekiojimo pajėgumų trūkumai gali kelti tokią riziką dar prieš kiekybiškai įvertinant tiesioginius ir konkrečius finansinius nuostolius</w:t>
            </w:r>
            <w:r w:rsidRPr="00A92CDB">
              <w:t xml:space="preserve">; ragina Komisiją </w:t>
            </w:r>
            <w:r w:rsidRPr="00A92CDB">
              <w:rPr>
                <w:b/>
                <w:i/>
              </w:rPr>
              <w:t>laiku ir nuosekliai</w:t>
            </w:r>
            <w:r w:rsidRPr="00A92CDB">
              <w:t xml:space="preserve"> taiky</w:t>
            </w:r>
            <w:r w:rsidRPr="00A92CDB">
              <w:t xml:space="preserve">ti </w:t>
            </w:r>
            <w:r w:rsidRPr="00A92CDB">
              <w:rPr>
                <w:b/>
                <w:i/>
              </w:rPr>
              <w:t>Sąlygų reglamentą visais atvejais, kai tenkinamas šis standartas,</w:t>
            </w:r>
            <w:r w:rsidRPr="00A92CDB">
              <w:t xml:space="preserve"> ir </w:t>
            </w:r>
            <w:r w:rsidRPr="00A92CDB">
              <w:rPr>
                <w:b/>
                <w:i/>
              </w:rPr>
              <w:t xml:space="preserve">kasmet pranešti Parlamentui apie savo atliktą su teisinės </w:t>
            </w:r>
            <w:r w:rsidRPr="00A92CDB">
              <w:rPr>
                <w:b/>
                <w:i/>
              </w:rPr>
              <w:lastRenderedPageBreak/>
              <w:t>valstybės principo taikymu susijusios rizikos Sąjungos biudžetui kiekvienoje valstybėje narėje vertinimą</w:t>
            </w:r>
            <w:r w:rsidRPr="00A92CDB">
              <w:t>;</w:t>
            </w:r>
          </w:p>
        </w:tc>
      </w:tr>
    </w:tbl>
    <w:p w14:paraId="3FCBFBD7" w14:textId="77777777" w:rsidR="00AB098C" w:rsidRPr="00A92CDB" w:rsidRDefault="007323F0">
      <w:pPr>
        <w:pStyle w:val="AmOrLang"/>
      </w:pPr>
      <w:r w:rsidRPr="00A92CDB">
        <w:lastRenderedPageBreak/>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0F893E40"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1F25DA3E"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58</w:t>
      </w:r>
      <w:r w:rsidRPr="00A92CDB">
        <w:rPr>
          <w:rStyle w:val="HideTWBExt"/>
        </w:rPr>
        <w:t>&lt;/NumAm&gt;</w:t>
      </w:r>
    </w:p>
    <w:p w14:paraId="0A3250D2"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58</w:t>
      </w:r>
      <w:r w:rsidRPr="00A92CDB">
        <w:rPr>
          <w:rStyle w:val="HideTWBExt"/>
        </w:rPr>
        <w:t>&lt;/NumAm&gt;</w:t>
      </w:r>
    </w:p>
    <w:p w14:paraId="47534907"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612568FC"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73396469" w14:textId="77777777" w:rsidR="00AB098C" w:rsidRPr="00A92CDB" w:rsidRDefault="007323F0">
      <w:pPr>
        <w:pStyle w:val="NormalBold"/>
      </w:pPr>
      <w:r w:rsidRPr="00A92CDB">
        <w:rPr>
          <w:rStyle w:val="HideTWBExt"/>
          <w:b w:val="0"/>
        </w:rPr>
        <w:t>&lt;/By&gt;&lt;/RepeatBlock-By&gt;</w:t>
      </w:r>
    </w:p>
    <w:p w14:paraId="7BCDFA51"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2808DE1A"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773D5BD7" w14:textId="17532782" w:rsidR="00AB098C" w:rsidRPr="00A92CDB" w:rsidRDefault="007323F0">
      <w:r w:rsidRPr="00A92CDB">
        <w:rPr>
          <w:rStyle w:val="HideTWBExt"/>
        </w:rPr>
        <w:t>&lt;Titre&gt;</w:t>
      </w:r>
      <w:r w:rsidRPr="00A92CDB">
        <w:t xml:space="preserve">Europos Sąjungos </w:t>
      </w:r>
      <w:r w:rsidRPr="00A92CDB">
        <w:t>finansinių interesų apsauga. Kova su sukčiavimu. 2024 m. metinis pranešimas</w:t>
      </w:r>
      <w:r w:rsidRPr="00A92CDB">
        <w:rPr>
          <w:rStyle w:val="HideTWBExt"/>
        </w:rPr>
        <w:t>&lt;/Titre&gt;</w:t>
      </w:r>
    </w:p>
    <w:p w14:paraId="07F9437D"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009ED9F9"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691CC47A" w14:textId="77777777" w:rsidR="00AB098C" w:rsidRPr="00A92CDB" w:rsidRDefault="007323F0">
      <w:pPr>
        <w:pStyle w:val="NormalBold"/>
      </w:pPr>
      <w:r w:rsidRPr="00A92CDB">
        <w:rPr>
          <w:rStyle w:val="HideTWBExt"/>
        </w:rPr>
        <w:t>&lt;Article&gt;</w:t>
      </w:r>
      <w:r w:rsidRPr="00A92CDB">
        <w:t>54 dalis</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A92CDB" w:rsidRDefault="00AB098C"/>
        </w:tc>
      </w:tr>
      <w:tr w:rsidR="006A31A6" w:rsidRPr="00A92CDB" w14:paraId="4160E3E8" w14:textId="77777777">
        <w:trPr>
          <w:trHeight w:val="240"/>
          <w:jc w:val="center"/>
        </w:trPr>
        <w:tc>
          <w:tcPr>
            <w:tcW w:w="4876" w:type="dxa"/>
            <w:tcBorders>
              <w:top w:val="nil"/>
              <w:left w:val="nil"/>
              <w:bottom w:val="nil"/>
              <w:right w:val="nil"/>
            </w:tcBorders>
          </w:tcPr>
          <w:p w14:paraId="6B8B7520"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6019305A" w14:textId="77777777" w:rsidR="00AB098C" w:rsidRPr="00A92CDB" w:rsidRDefault="007323F0">
            <w:pPr>
              <w:pStyle w:val="AmColumnHeading"/>
            </w:pPr>
            <w:r w:rsidRPr="00A92CDB">
              <w:t>Pakeitimas</w:t>
            </w:r>
          </w:p>
        </w:tc>
      </w:tr>
      <w:tr w:rsidR="006A31A6" w:rsidRPr="00A92CDB" w14:paraId="53F1F3C2" w14:textId="77777777">
        <w:trPr>
          <w:jc w:val="center"/>
        </w:trPr>
        <w:tc>
          <w:tcPr>
            <w:tcW w:w="4876" w:type="dxa"/>
            <w:tcBorders>
              <w:top w:val="nil"/>
              <w:left w:val="nil"/>
              <w:bottom w:val="nil"/>
              <w:right w:val="nil"/>
            </w:tcBorders>
          </w:tcPr>
          <w:p w14:paraId="3D1414BF" w14:textId="05D52C3B" w:rsidR="00AB098C" w:rsidRPr="00A92CDB" w:rsidRDefault="007323F0">
            <w:pPr>
              <w:pStyle w:val="Normal6a"/>
            </w:pPr>
            <w:r w:rsidRPr="00A92CDB">
              <w:t>54.</w:t>
            </w:r>
            <w:r w:rsidRPr="00A92CDB">
              <w:tab/>
            </w:r>
            <w:r w:rsidRPr="00A92CDB">
              <w:rPr>
                <w:b/>
                <w:i/>
              </w:rPr>
              <w:t>akcentuoja</w:t>
            </w:r>
            <w:r w:rsidRPr="00A92CDB">
              <w:t xml:space="preserve">, kad ES </w:t>
            </w:r>
            <w:r w:rsidRPr="00A92CDB">
              <w:rPr>
                <w:b/>
                <w:i/>
              </w:rPr>
              <w:t>institucijų, organų, įstaigų ir agentūrų sąžiningumas ir reputacija yra pagrindinis piliečių pasitikėjimo elementas</w:t>
            </w:r>
            <w:r w:rsidRPr="00A92CDB">
              <w:t>;</w:t>
            </w:r>
            <w:r w:rsidRPr="00A92CDB">
              <w:rPr>
                <w:b/>
                <w:i/>
              </w:rPr>
              <w:t xml:space="preserve"> mano</w:t>
            </w:r>
            <w:r w:rsidRPr="00A92CDB">
              <w:t xml:space="preserve">, kad </w:t>
            </w:r>
            <w:r w:rsidRPr="00A92CDB">
              <w:rPr>
                <w:b/>
                <w:i/>
              </w:rPr>
              <w:t>atskaitomybė už ES biudžeto išteklių naudojimą yra labai</w:t>
            </w:r>
            <w:r w:rsidRPr="00A92CDB">
              <w:t xml:space="preserve"> svarbi </w:t>
            </w:r>
            <w:r w:rsidRPr="00A92CDB">
              <w:rPr>
                <w:b/>
                <w:i/>
              </w:rPr>
              <w:t>demokratiniam teisėtumui</w:t>
            </w:r>
            <w:r w:rsidRPr="00A92CDB">
              <w:t xml:space="preserve"> ir </w:t>
            </w:r>
            <w:r w:rsidRPr="00A92CDB">
              <w:rPr>
                <w:b/>
                <w:i/>
              </w:rPr>
              <w:t>kad reikalavimai, susiję su skaidrumu ir ES finansinių interesų apsauga, turi būti vienodai taikomi visiems naudos gavėjams</w:t>
            </w:r>
            <w:r w:rsidRPr="00A92CDB">
              <w:t xml:space="preserve"> ir </w:t>
            </w:r>
            <w:r w:rsidRPr="00A92CDB">
              <w:rPr>
                <w:b/>
                <w:i/>
              </w:rPr>
              <w:t>be išimčių kiekvienoje</w:t>
            </w:r>
            <w:r w:rsidRPr="00A92CDB">
              <w:t xml:space="preserve"> ES </w:t>
            </w:r>
            <w:r w:rsidRPr="00A92CDB">
              <w:rPr>
                <w:b/>
                <w:i/>
              </w:rPr>
              <w:t>institucijoje, įskaitant Parlamentą, siekiant užtikrinti patikimą finansų valdymą ir veiksmingą viešųjų</w:t>
            </w:r>
            <w:r w:rsidRPr="00A92CDB">
              <w:t xml:space="preserve"> lėšų </w:t>
            </w:r>
            <w:r w:rsidRPr="00A92CDB">
              <w:rPr>
                <w:b/>
                <w:i/>
              </w:rPr>
              <w:t>kontrolę</w:t>
            </w:r>
            <w:r w:rsidRPr="00A92CDB">
              <w:t>;</w:t>
            </w:r>
          </w:p>
        </w:tc>
        <w:tc>
          <w:tcPr>
            <w:tcW w:w="4876" w:type="dxa"/>
            <w:tcBorders>
              <w:top w:val="nil"/>
              <w:left w:val="nil"/>
              <w:bottom w:val="nil"/>
              <w:right w:val="nil"/>
            </w:tcBorders>
          </w:tcPr>
          <w:p w14:paraId="466CB895" w14:textId="76591249" w:rsidR="00AB098C" w:rsidRPr="00A92CDB" w:rsidRDefault="007323F0">
            <w:pPr>
              <w:pStyle w:val="Normal6a"/>
            </w:pPr>
            <w:r w:rsidRPr="00A92CDB">
              <w:t>54.</w:t>
            </w:r>
            <w:r w:rsidRPr="00A92CDB">
              <w:tab/>
            </w:r>
            <w:r w:rsidRPr="00A92CDB">
              <w:rPr>
                <w:b/>
                <w:i/>
              </w:rPr>
              <w:t>primena</w:t>
            </w:r>
            <w:r w:rsidRPr="00A92CDB">
              <w:t xml:space="preserve">, kad </w:t>
            </w:r>
            <w:r w:rsidRPr="00A92CDB">
              <w:rPr>
                <w:b/>
                <w:i/>
              </w:rPr>
              <w:t>pareiga apsaugoti</w:t>
            </w:r>
            <w:r w:rsidRPr="00A92CDB">
              <w:t xml:space="preserve"> ES </w:t>
            </w:r>
            <w:r w:rsidRPr="00A92CDB">
              <w:rPr>
                <w:b/>
                <w:i/>
              </w:rPr>
              <w:t>finansinius interesus vienodai taikoma visiems Sąjungos lėšų gavėjams, įskaitant Europos Parlamente veikiančias frakcijas</w:t>
            </w:r>
            <w:r w:rsidRPr="00A92CDB">
              <w:t>;</w:t>
            </w:r>
            <w:r w:rsidRPr="00A92CDB">
              <w:rPr>
                <w:b/>
                <w:i/>
              </w:rPr>
              <w:t xml:space="preserve"> pažymi</w:t>
            </w:r>
            <w:r w:rsidRPr="00A92CDB">
              <w:t xml:space="preserve">, kad </w:t>
            </w:r>
            <w:r w:rsidRPr="00A92CDB">
              <w:rPr>
                <w:b/>
                <w:i/>
              </w:rPr>
              <w:t>tyrimai ir lėšų susigrąžinimo veiksmai, susiję su įtariamu buvusios Identiteto ir demokratijos frakcijos netinkamu Sąjungos lėšų naudojimu, rodo, kokia</w:t>
            </w:r>
            <w:r w:rsidRPr="00A92CDB">
              <w:t xml:space="preserve"> svarbi </w:t>
            </w:r>
            <w:r w:rsidRPr="00A92CDB">
              <w:rPr>
                <w:b/>
                <w:i/>
              </w:rPr>
              <w:t>patikima vidaus kontrolė, veiksmingas ex post tikrinimas</w:t>
            </w:r>
            <w:r w:rsidRPr="00A92CDB">
              <w:t xml:space="preserve"> ir </w:t>
            </w:r>
            <w:r w:rsidRPr="00A92CDB">
              <w:rPr>
                <w:b/>
                <w:i/>
              </w:rPr>
              <w:t>greiti lėšų susigrąžinimo mechanizmai Parlamento administracijoje;</w:t>
            </w:r>
            <w:r w:rsidRPr="00A92CDB">
              <w:t xml:space="preserve"> </w:t>
            </w:r>
            <w:r w:rsidRPr="00A92CDB">
              <w:rPr>
                <w:b/>
                <w:i/>
              </w:rPr>
              <w:t>ragina Parlamento administraciją nedelsiant užbaigti vis</w:t>
            </w:r>
            <w:r w:rsidRPr="00A92CDB">
              <w:rPr>
                <w:b/>
                <w:i/>
              </w:rPr>
              <w:t>as likusias lėšų susigrąžinimo procedūras ir perduoti OLAF ir Europos prokuratūrai visus reikalavimų neatitinkančių išlaidų įrodymus; pabrėžia, kad ES kovos su sukčiavimu struktūros patikimumas priklauso nuo nuoseklaus jos taikymo visiems lėšų gavėjams, įskaitant lėšų gavėjus pačiame Parlamente;</w:t>
            </w:r>
          </w:p>
        </w:tc>
      </w:tr>
    </w:tbl>
    <w:p w14:paraId="04214C32"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0C74D12A" w14:textId="77777777" w:rsidR="00AB098C" w:rsidRPr="00A92CDB" w:rsidRDefault="007323F0">
      <w:pPr>
        <w:sectPr w:rsidR="00AB098C" w:rsidRPr="00A92CDB">
          <w:pgSz w:w="11909" w:h="16834"/>
          <w:pgMar w:top="1134" w:right="1417" w:bottom="1417" w:left="1417" w:header="1134" w:footer="567" w:gutter="0"/>
          <w:cols w:space="720"/>
        </w:sectPr>
      </w:pPr>
      <w:r w:rsidRPr="00A92CDB">
        <w:rPr>
          <w:rStyle w:val="HideTWBExt"/>
        </w:rPr>
        <w:t>&lt;/Amend&gt;</w:t>
      </w:r>
    </w:p>
    <w:p w14:paraId="7888F82B" w14:textId="77777777" w:rsidR="00AB098C" w:rsidRPr="00A92CDB" w:rsidRDefault="007323F0">
      <w:pPr>
        <w:pStyle w:val="AmDateTab"/>
      </w:pPr>
      <w:r w:rsidRPr="00A92CDB">
        <w:rPr>
          <w:rStyle w:val="HideTWBExt"/>
        </w:rPr>
        <w:lastRenderedPageBreak/>
        <w:t>&lt;Amend&gt;&lt;Date&gt;</w:t>
      </w:r>
      <w:r w:rsidRPr="00A92CDB">
        <w:rPr>
          <w:rStyle w:val="HideTWBInt"/>
          <w:color w:val="auto"/>
        </w:rPr>
        <w:t>{22/04/2026}</w:t>
      </w:r>
      <w:r w:rsidRPr="00A92CDB">
        <w:t>22.4.2026</w:t>
      </w:r>
      <w:r w:rsidRPr="00A92CDB">
        <w:rPr>
          <w:rStyle w:val="HideTWBExt"/>
        </w:rPr>
        <w:t>&lt;/Date&gt;</w:t>
      </w:r>
      <w:r w:rsidRPr="00A92CDB">
        <w:tab/>
      </w:r>
      <w:r w:rsidRPr="00A92CDB">
        <w:rPr>
          <w:rStyle w:val="HideTWBExt"/>
        </w:rPr>
        <w:t>&lt;ANo&gt;</w:t>
      </w:r>
      <w:r w:rsidRPr="00A92CDB">
        <w:t>A10-0080</w:t>
      </w:r>
      <w:r w:rsidRPr="00A92CDB">
        <w:rPr>
          <w:rStyle w:val="HideTWBExt"/>
        </w:rPr>
        <w:t>&lt;/ANo&gt;</w:t>
      </w:r>
      <w:r w:rsidRPr="00A92CDB">
        <w:t>/</w:t>
      </w:r>
      <w:r w:rsidRPr="00A92CDB">
        <w:rPr>
          <w:rStyle w:val="HideTWBExt"/>
        </w:rPr>
        <w:t>&lt;NumAm&gt;</w:t>
      </w:r>
      <w:r w:rsidRPr="00A92CDB">
        <w:t>59</w:t>
      </w:r>
      <w:r w:rsidRPr="00A92CDB">
        <w:rPr>
          <w:rStyle w:val="HideTWBExt"/>
        </w:rPr>
        <w:t>&lt;/NumAm&gt;</w:t>
      </w:r>
    </w:p>
    <w:p w14:paraId="39A58780" w14:textId="77777777" w:rsidR="00AB098C" w:rsidRPr="00A92CDB" w:rsidRDefault="007323F0">
      <w:pPr>
        <w:pStyle w:val="AmNumberTabs"/>
      </w:pPr>
      <w:r w:rsidRPr="00A92CDB">
        <w:t>Pakeitimas</w:t>
      </w:r>
      <w:r w:rsidRPr="00A92CDB">
        <w:tab/>
      </w:r>
      <w:r w:rsidRPr="00A92CDB">
        <w:tab/>
      </w:r>
      <w:r w:rsidRPr="00A92CDB">
        <w:rPr>
          <w:rStyle w:val="HideTWBExt"/>
        </w:rPr>
        <w:t>&lt;NumAm&gt;</w:t>
      </w:r>
      <w:r w:rsidRPr="00A92CDB">
        <w:t>59</w:t>
      </w:r>
      <w:r w:rsidRPr="00A92CDB">
        <w:rPr>
          <w:rStyle w:val="HideTWBExt"/>
        </w:rPr>
        <w:t>&lt;/NumAm&gt;</w:t>
      </w:r>
    </w:p>
    <w:p w14:paraId="1E4C1956" w14:textId="77777777" w:rsidR="00AB098C" w:rsidRPr="00A92CDB" w:rsidRDefault="007323F0">
      <w:pPr>
        <w:pStyle w:val="NormalBold"/>
      </w:pPr>
      <w:r w:rsidRPr="00A92CDB">
        <w:rPr>
          <w:rStyle w:val="HideTWBExt"/>
          <w:b w:val="0"/>
        </w:rPr>
        <w:t>&lt;RepeatBlock-By&gt;&lt;By&gt;&lt;Members&gt;</w:t>
      </w:r>
      <w:r w:rsidRPr="00A92CDB">
        <w:t>Daniel Freund</w:t>
      </w:r>
      <w:r w:rsidRPr="00A92CDB">
        <w:rPr>
          <w:rStyle w:val="HideTWBExt"/>
          <w:b w:val="0"/>
        </w:rPr>
        <w:t>&lt;/Members&gt;</w:t>
      </w:r>
    </w:p>
    <w:p w14:paraId="6874B7EE" w14:textId="77777777" w:rsidR="00AB098C" w:rsidRPr="00A92CDB" w:rsidRDefault="007323F0">
      <w:r w:rsidRPr="00A92CDB">
        <w:rPr>
          <w:rStyle w:val="HideTWBExt"/>
        </w:rPr>
        <w:t>&lt;AuNomDe&gt;</w:t>
      </w:r>
      <w:r w:rsidRPr="00A92CDB">
        <w:rPr>
          <w:rStyle w:val="HideTWBInt"/>
          <w:color w:val="auto"/>
        </w:rPr>
        <w:t>{Verts/ALE}</w:t>
      </w:r>
      <w:r w:rsidRPr="00A92CDB">
        <w:t>Verts/ALE frakcijos vardu</w:t>
      </w:r>
      <w:r w:rsidRPr="00A92CDB">
        <w:rPr>
          <w:rStyle w:val="HideTWBExt"/>
        </w:rPr>
        <w:t>&lt;/AuNomDe&gt;</w:t>
      </w:r>
    </w:p>
    <w:p w14:paraId="60C10E6F" w14:textId="77777777" w:rsidR="00AB098C" w:rsidRPr="00A92CDB" w:rsidRDefault="007323F0">
      <w:pPr>
        <w:pStyle w:val="NormalBold"/>
      </w:pPr>
      <w:r w:rsidRPr="00A92CDB">
        <w:rPr>
          <w:rStyle w:val="HideTWBExt"/>
          <w:b w:val="0"/>
        </w:rPr>
        <w:t>&lt;/By&gt;&lt;/RepeatBlock-By&gt;</w:t>
      </w:r>
    </w:p>
    <w:p w14:paraId="6953A485" w14:textId="77777777" w:rsidR="00AB098C" w:rsidRPr="00A92CDB" w:rsidRDefault="007323F0">
      <w:pPr>
        <w:pStyle w:val="AmDocTypeTab"/>
      </w:pPr>
      <w:r w:rsidRPr="00A92CDB">
        <w:rPr>
          <w:rStyle w:val="HideTWBExt"/>
        </w:rPr>
        <w:t>&lt;TitreType&gt;</w:t>
      </w:r>
      <w:r w:rsidRPr="00A92CDB">
        <w:t>Pranešimas</w:t>
      </w:r>
      <w:r w:rsidRPr="00A92CDB">
        <w:rPr>
          <w:rStyle w:val="HideTWBExt"/>
        </w:rPr>
        <w:t>&lt;/TitreType&gt;</w:t>
      </w:r>
      <w:r w:rsidRPr="00A92CDB">
        <w:tab/>
        <w:t>A10-0080/2026</w:t>
      </w:r>
    </w:p>
    <w:p w14:paraId="48DB673F" w14:textId="77777777" w:rsidR="00AB098C" w:rsidRPr="00A92CDB" w:rsidRDefault="007323F0">
      <w:pPr>
        <w:pStyle w:val="NormalBold"/>
      </w:pPr>
      <w:r w:rsidRPr="00A92CDB">
        <w:rPr>
          <w:rStyle w:val="HideTWBExt"/>
        </w:rPr>
        <w:t>&lt;Rapporteur&gt;</w:t>
      </w:r>
      <w:r w:rsidRPr="00A92CDB">
        <w:t>Julien Sanchez</w:t>
      </w:r>
      <w:r w:rsidRPr="00A92CDB">
        <w:rPr>
          <w:rStyle w:val="HideTWBExt"/>
        </w:rPr>
        <w:t>&lt;/Rapporteur&gt;</w:t>
      </w:r>
    </w:p>
    <w:p w14:paraId="2414A911" w14:textId="193E84CA" w:rsidR="00AB098C" w:rsidRPr="00A92CDB" w:rsidRDefault="007323F0">
      <w:r w:rsidRPr="00A92CDB">
        <w:rPr>
          <w:rStyle w:val="HideTWBExt"/>
        </w:rPr>
        <w:t>&lt;Titre&gt;</w:t>
      </w:r>
      <w:r w:rsidRPr="00A92CDB">
        <w:t xml:space="preserve">Europos Sąjungos </w:t>
      </w:r>
      <w:r w:rsidRPr="00A92CDB">
        <w:t>finansinių interesų apsauga. Kova su sukčiavimu. 2024 m. metinis pranešimas</w:t>
      </w:r>
      <w:r w:rsidRPr="00A92CDB">
        <w:rPr>
          <w:rStyle w:val="HideTWBExt"/>
        </w:rPr>
        <w:t>&lt;/Titre&gt;</w:t>
      </w:r>
    </w:p>
    <w:p w14:paraId="47A6A819" w14:textId="77777777" w:rsidR="00AB098C" w:rsidRPr="00A92CDB" w:rsidRDefault="007323F0">
      <w:pPr>
        <w:pStyle w:val="Normal12a"/>
      </w:pPr>
      <w:r w:rsidRPr="00A92CDB">
        <w:rPr>
          <w:rStyle w:val="HideTWBExt"/>
        </w:rPr>
        <w:t>&lt;DocRef&gt;</w:t>
      </w:r>
      <w:r w:rsidRPr="00A92CDB">
        <w:t>(2025/2238(INI))</w:t>
      </w:r>
      <w:r w:rsidRPr="00A92CDB">
        <w:rPr>
          <w:rStyle w:val="HideTWBExt"/>
        </w:rPr>
        <w:t>&lt;/DocRef&gt;</w:t>
      </w:r>
    </w:p>
    <w:p w14:paraId="5F8BA664" w14:textId="77777777" w:rsidR="00AB098C" w:rsidRPr="00A92CDB" w:rsidRDefault="007323F0">
      <w:pPr>
        <w:pStyle w:val="NormalBold"/>
      </w:pPr>
      <w:r w:rsidRPr="00A92CDB">
        <w:rPr>
          <w:rStyle w:val="HideTWBExt"/>
        </w:rPr>
        <w:t>&lt;DocAmend&gt;</w:t>
      </w:r>
      <w:r w:rsidRPr="00A92CDB">
        <w:t>Pasiūlymas dėl rezoliucijos</w:t>
      </w:r>
      <w:r w:rsidRPr="00A92CDB">
        <w:rPr>
          <w:rStyle w:val="HideTWBExt"/>
        </w:rPr>
        <w:t>&lt;/DocAmend&gt;</w:t>
      </w:r>
    </w:p>
    <w:p w14:paraId="0B7B25F8" w14:textId="77777777" w:rsidR="00AB098C" w:rsidRPr="00A92CDB" w:rsidRDefault="007323F0">
      <w:pPr>
        <w:pStyle w:val="NormalBold"/>
      </w:pPr>
      <w:r w:rsidRPr="00A92CDB">
        <w:rPr>
          <w:rStyle w:val="HideTWBExt"/>
        </w:rPr>
        <w:t>&lt;Article&gt;</w:t>
      </w:r>
      <w:r w:rsidRPr="00A92CDB">
        <w:t>54 a dalis (nauja)</w:t>
      </w:r>
      <w:r w:rsidRPr="00A92C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1A6" w:rsidRPr="00A92CDB"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A92CDB" w:rsidRDefault="00AB098C"/>
        </w:tc>
      </w:tr>
      <w:tr w:rsidR="006A31A6" w:rsidRPr="00A92CDB" w14:paraId="36BC4A92" w14:textId="77777777">
        <w:trPr>
          <w:trHeight w:val="240"/>
          <w:jc w:val="center"/>
        </w:trPr>
        <w:tc>
          <w:tcPr>
            <w:tcW w:w="4876" w:type="dxa"/>
            <w:tcBorders>
              <w:top w:val="nil"/>
              <w:left w:val="nil"/>
              <w:bottom w:val="nil"/>
              <w:right w:val="nil"/>
            </w:tcBorders>
          </w:tcPr>
          <w:p w14:paraId="666F0D4E" w14:textId="77777777" w:rsidR="00AB098C" w:rsidRPr="00A92CDB" w:rsidRDefault="007323F0">
            <w:pPr>
              <w:pStyle w:val="AmColumnHeading"/>
            </w:pPr>
            <w:r w:rsidRPr="00A92CDB">
              <w:t>Pasiūlymas dėl rezoliucijos</w:t>
            </w:r>
          </w:p>
        </w:tc>
        <w:tc>
          <w:tcPr>
            <w:tcW w:w="4876" w:type="dxa"/>
            <w:tcBorders>
              <w:top w:val="nil"/>
              <w:left w:val="nil"/>
              <w:bottom w:val="nil"/>
              <w:right w:val="nil"/>
            </w:tcBorders>
          </w:tcPr>
          <w:p w14:paraId="4D5E53A9" w14:textId="77777777" w:rsidR="00AB098C" w:rsidRPr="00A92CDB" w:rsidRDefault="007323F0">
            <w:pPr>
              <w:pStyle w:val="AmColumnHeading"/>
            </w:pPr>
            <w:r w:rsidRPr="00A92CDB">
              <w:t>Pakeitimas</w:t>
            </w:r>
          </w:p>
        </w:tc>
      </w:tr>
      <w:tr w:rsidR="006A31A6" w:rsidRPr="00A92CDB" w14:paraId="1DA9569E" w14:textId="77777777">
        <w:trPr>
          <w:jc w:val="center"/>
        </w:trPr>
        <w:tc>
          <w:tcPr>
            <w:tcW w:w="4876" w:type="dxa"/>
            <w:tcBorders>
              <w:top w:val="nil"/>
              <w:left w:val="nil"/>
              <w:bottom w:val="nil"/>
              <w:right w:val="nil"/>
            </w:tcBorders>
          </w:tcPr>
          <w:p w14:paraId="70858426" w14:textId="77777777" w:rsidR="00AB098C" w:rsidRPr="00A92CDB" w:rsidRDefault="00AB098C">
            <w:pPr>
              <w:pStyle w:val="Normal6a"/>
            </w:pPr>
          </w:p>
        </w:tc>
        <w:tc>
          <w:tcPr>
            <w:tcW w:w="4876" w:type="dxa"/>
            <w:tcBorders>
              <w:top w:val="nil"/>
              <w:left w:val="nil"/>
              <w:bottom w:val="nil"/>
              <w:right w:val="nil"/>
            </w:tcBorders>
          </w:tcPr>
          <w:p w14:paraId="4D2BA016" w14:textId="31C58401" w:rsidR="00AB098C" w:rsidRPr="00A92CDB" w:rsidRDefault="007323F0">
            <w:pPr>
              <w:pStyle w:val="Normal6a"/>
            </w:pPr>
            <w:r w:rsidRPr="00A92CDB">
              <w:rPr>
                <w:b/>
                <w:i/>
              </w:rPr>
              <w:t>54a.</w:t>
            </w:r>
            <w:r w:rsidRPr="00A92CDB">
              <w:tab/>
            </w:r>
            <w:r w:rsidRPr="00A92CDB">
              <w:rPr>
                <w:b/>
                <w:i/>
              </w:rPr>
              <w:t xml:space="preserve">pažymi, kad Parlamento administracija nustatė, jog 2019–2024m. kadencijos laikotarpiu buvusi Identiteto ir demokratijos frakcija netinkamai išleido bent 4 333 635,78 EUR pagal biudžeto 400 punktą, ir kad 2025 m. liepos mėn. Europos prokuratūra pradėjo tyrimą dėl galimo frakcijos netinkamo Sąjungos lėšų panaudojimo; pabrėžia, kad, siekiant užtikrinti Sąjungos kovos su sukčiavimu struktūros patikimumą, reikia nuosekliai taikyti skaidrumo, atskaitomybės ir lėšų susigrąžinimo priemones visiems be išimties lėšų </w:t>
            </w:r>
            <w:r w:rsidRPr="00A92CDB">
              <w:rPr>
                <w:b/>
                <w:i/>
              </w:rPr>
              <w:t>gavėjams; ragina Parlamento administraciją, kol Europos prokuratūra vykdo nusikalstamų veikų tyrimą, taikyti administracines laikinąsias apsaugos priemones, kad būtų apsaugoti Sąjungos finansiniai interesai; mano, kad 2024 m. panaikinus Identiteto ir demokratijos frakciją ir dėl to pradėjus finansines procedūras paaiškėjo, kad dabartinė sistema yra netinkama siekiant užtikrinti savalaikį pažeidimų nustatymą, pranešimą apie juos ir lėšų susigrąžinimą; ragina Parlamento Biurą skubiai peržiūrėti ir sustiprinti</w:t>
            </w:r>
            <w:r w:rsidRPr="00A92CDB">
              <w:rPr>
                <w:b/>
                <w:i/>
              </w:rPr>
              <w:t xml:space="preserve"> vidaus finansų kontrolės sistemą, taikomą Europos Parlamento frakcijoms;</w:t>
            </w:r>
          </w:p>
        </w:tc>
      </w:tr>
    </w:tbl>
    <w:p w14:paraId="046CB116" w14:textId="77777777" w:rsidR="00AB098C" w:rsidRPr="00A92CDB" w:rsidRDefault="007323F0">
      <w:pPr>
        <w:pStyle w:val="AmOrLang"/>
      </w:pPr>
      <w:r w:rsidRPr="00A92CDB">
        <w:t xml:space="preserve">Or. </w:t>
      </w:r>
      <w:r w:rsidRPr="00A92CDB">
        <w:rPr>
          <w:rStyle w:val="HideTWBExt"/>
        </w:rPr>
        <w:t>&lt;Original&gt;</w:t>
      </w:r>
      <w:r w:rsidRPr="00A92CDB">
        <w:rPr>
          <w:rStyle w:val="HideTWBInt"/>
        </w:rPr>
        <w:t>{EN}</w:t>
      </w:r>
      <w:r w:rsidRPr="00A92CDB">
        <w:t>en</w:t>
      </w:r>
      <w:r w:rsidRPr="00A92CDB">
        <w:rPr>
          <w:rStyle w:val="HideTWBExt"/>
        </w:rPr>
        <w:t>&lt;/Original&gt;</w:t>
      </w:r>
    </w:p>
    <w:p w14:paraId="58D2499F" w14:textId="77777777" w:rsidR="00AB098C" w:rsidRPr="00A92CDB" w:rsidRDefault="007323F0">
      <w:r w:rsidRPr="00A92CDB">
        <w:rPr>
          <w:rStyle w:val="HideTWBExt"/>
        </w:rPr>
        <w:lastRenderedPageBreak/>
        <w:t>&lt;/Amend&gt;</w:t>
      </w:r>
    </w:p>
    <w:p w14:paraId="165F2E2F" w14:textId="77777777" w:rsidR="00AB098C" w:rsidRPr="00A92CDB" w:rsidRDefault="007323F0">
      <w:r w:rsidRPr="00A92CDB">
        <w:rPr>
          <w:rStyle w:val="HideTWBExt"/>
        </w:rPr>
        <w:t>&lt;/RepeatBlock-Amend&gt;</w:t>
      </w:r>
    </w:p>
    <w:sectPr w:rsidR="00AB098C" w:rsidRPr="00A92CD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83B09" w14:textId="77777777" w:rsidR="007323F0" w:rsidRPr="00A92CDB" w:rsidRDefault="007323F0">
      <w:r w:rsidRPr="00A92CDB">
        <w:separator/>
      </w:r>
    </w:p>
  </w:endnote>
  <w:endnote w:type="continuationSeparator" w:id="0">
    <w:p w14:paraId="5400A292" w14:textId="77777777" w:rsidR="007323F0" w:rsidRPr="00A92CDB" w:rsidRDefault="007323F0">
      <w:r w:rsidRPr="00A92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2275" w14:textId="77777777" w:rsidR="007323F0" w:rsidRDefault="00732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D362" w14:textId="77777777" w:rsidR="00A92CDB" w:rsidRPr="00A92CDB" w:rsidRDefault="00A92CDB" w:rsidP="00A92CDB">
    <w:pPr>
      <w:pStyle w:val="EPFooter"/>
    </w:pPr>
    <w:r w:rsidRPr="00A92CDB">
      <w:rPr>
        <w:rStyle w:val="HideTWBExt"/>
      </w:rPr>
      <w:t>&lt;PathFdR&gt;</w:t>
    </w:r>
    <w:r w:rsidRPr="00A92CDB">
      <w:t>AM\1342225LT.docx</w:t>
    </w:r>
    <w:r w:rsidRPr="00A92CDB">
      <w:rPr>
        <w:rStyle w:val="HideTWBExt"/>
      </w:rPr>
      <w:t>&lt;/PathFdR&gt;</w:t>
    </w:r>
    <w:r w:rsidRPr="00A92CDB">
      <w:tab/>
    </w:r>
    <w:r w:rsidRPr="00A92CDB">
      <w:tab/>
      <w:t>PE</w:t>
    </w:r>
    <w:r w:rsidRPr="00A92CDB">
      <w:rPr>
        <w:rStyle w:val="HideTWBExt"/>
      </w:rPr>
      <w:t>&lt;NoPE&gt;</w:t>
    </w:r>
    <w:r w:rsidRPr="00A92CDB">
      <w:t>783.022</w:t>
    </w:r>
    <w:r w:rsidRPr="00A92CDB">
      <w:rPr>
        <w:rStyle w:val="HideTWBExt"/>
      </w:rPr>
      <w:t>&lt;/NoPE&gt;&lt;Version&gt;</w:t>
    </w:r>
    <w:r w:rsidRPr="00A92CDB">
      <w:t>v01-00</w:t>
    </w:r>
    <w:r w:rsidRPr="00A92CDB">
      <w:rPr>
        <w:rStyle w:val="HideTWBExt"/>
      </w:rPr>
      <w:t>&lt;/Version&gt;</w:t>
    </w:r>
  </w:p>
  <w:p w14:paraId="7CDB53C2" w14:textId="66B5DE3B" w:rsidR="00AB098C" w:rsidRPr="00A92CDB" w:rsidRDefault="00A92CDB" w:rsidP="00A92CDB">
    <w:pPr>
      <w:pStyle w:val="EPFooter2"/>
    </w:pPr>
    <w:r w:rsidRPr="00A92CDB">
      <w:t>LT</w:t>
    </w:r>
    <w:r w:rsidRPr="00A92CDB">
      <w:tab/>
    </w:r>
    <w:r w:rsidRPr="00A92CDB">
      <w:rPr>
        <w:b w:val="0"/>
        <w:i/>
        <w:color w:val="C0C0C0"/>
        <w:sz w:val="22"/>
      </w:rPr>
      <w:t>Suvienijusi įvairovę</w:t>
    </w:r>
    <w:r w:rsidRPr="00A92CD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7D1F" w14:textId="77777777" w:rsidR="007323F0" w:rsidRDefault="00732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0D1D" w14:textId="77777777" w:rsidR="007323F0" w:rsidRPr="00A92CDB" w:rsidRDefault="007323F0">
      <w:r w:rsidRPr="00A92CDB">
        <w:separator/>
      </w:r>
    </w:p>
  </w:footnote>
  <w:footnote w:type="continuationSeparator" w:id="0">
    <w:p w14:paraId="29EE138E" w14:textId="77777777" w:rsidR="007323F0" w:rsidRPr="00A92CDB" w:rsidRDefault="007323F0">
      <w:r w:rsidRPr="00A92C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15E3" w14:textId="77777777" w:rsidR="007323F0" w:rsidRDefault="00732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F1DE" w14:textId="77777777" w:rsidR="007323F0" w:rsidRDefault="00732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4251" w14:textId="77777777" w:rsidR="007323F0" w:rsidRDefault="00732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2"/>
    <w:docVar w:name="TXTLANGUE" w:val="EN"/>
    <w:docVar w:name="TXTLANGUEMIN" w:val="en"/>
    <w:docVar w:name="TXTNRPE" w:val="783.022"/>
    <w:docVar w:name="TXTPEorAP" w:val="PE"/>
    <w:docVar w:name="TXTROUTE" w:val="AM\1342225EN.docx"/>
    <w:docVar w:name="TXTVERSION" w:val="01-00"/>
  </w:docVars>
  <w:rsids>
    <w:rsidRoot w:val="00A77B3E"/>
    <w:rsid w:val="001E6DCE"/>
    <w:rsid w:val="0022097A"/>
    <w:rsid w:val="002C4F66"/>
    <w:rsid w:val="0034105C"/>
    <w:rsid w:val="00380094"/>
    <w:rsid w:val="004A2B70"/>
    <w:rsid w:val="00566641"/>
    <w:rsid w:val="005744EE"/>
    <w:rsid w:val="005D1D4D"/>
    <w:rsid w:val="00620F9D"/>
    <w:rsid w:val="006447B6"/>
    <w:rsid w:val="006A13A9"/>
    <w:rsid w:val="006A31A6"/>
    <w:rsid w:val="006F1F54"/>
    <w:rsid w:val="00705A00"/>
    <w:rsid w:val="007323F0"/>
    <w:rsid w:val="007B6BE6"/>
    <w:rsid w:val="009F6C83"/>
    <w:rsid w:val="00A77B3E"/>
    <w:rsid w:val="00A92CDB"/>
    <w:rsid w:val="00AB098C"/>
    <w:rsid w:val="00C62949"/>
    <w:rsid w:val="00CA2A55"/>
    <w:rsid w:val="00F628DF"/>
    <w:rsid w:val="00FA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1541</Words>
  <Characters>11004</Characters>
  <Application>Microsoft Office Word</Application>
  <DocSecurity>0</DocSecurity>
  <Lines>430</Lines>
  <Paragraphs>144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VAITIEKUTE Simona</cp:lastModifiedBy>
  <cp:revision>2</cp:revision>
  <cp:lastPrinted>2026-04-22T17:39:00Z</cp:lastPrinted>
  <dcterms:created xsi:type="dcterms:W3CDTF">2026-04-27T11:45:00Z</dcterms:created>
  <dcterms:modified xsi:type="dcterms:W3CDTF">2026-04-27T11:45:00Z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- 2026/04/27 13:45</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AM\1342225LT.docx</vt:lpwstr>
  </property>
  <property fmtid="{D5CDD505-2E9C-101B-9397-08002B2CF9AE}" pid="10" name="LastEdited with">
    <vt:lpwstr>10.3.0 Build [20260401]</vt:lpwstr>
  </property>
  <property fmtid="{D5CDD505-2E9C-101B-9397-08002B2CF9AE}" pid="11" name="PE Number">
    <vt:lpwstr>783.022</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eu.europa.europarl-DIN1-2026-0000109521_01.00-en-01.00_text-xml</vt:lpwstr>
  </property>
</Properties>
</file>