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0763E" w14:textId="77777777" w:rsidR="00AB098C" w:rsidRPr="00893779" w:rsidRDefault="00F24CB7">
      <w:pPr>
        <w:pStyle w:val="AmDateTab"/>
      </w:pPr>
      <w:r w:rsidRPr="00893779">
        <w:rPr>
          <w:rStyle w:val="HideTWBExt"/>
        </w:rPr>
        <w:t>&lt;RepeatBlock-Amend&gt;&lt;Amend&gt;&lt;Date&gt;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50</w:t>
      </w:r>
      <w:r w:rsidRPr="00893779">
        <w:rPr>
          <w:rStyle w:val="HideTWBExt"/>
        </w:rPr>
        <w:t>&lt;/NumAm&gt;</w:t>
      </w:r>
    </w:p>
    <w:p w14:paraId="6F54DC25"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50</w:t>
      </w:r>
      <w:r w:rsidRPr="00893779">
        <w:rPr>
          <w:rStyle w:val="HideTWBExt"/>
        </w:rPr>
        <w:t>&lt;/NumAm&gt;</w:t>
      </w:r>
    </w:p>
    <w:p w14:paraId="258E7D6A"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666E1CA7"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294E2802" w14:textId="77777777" w:rsidR="00AB098C" w:rsidRPr="00893779" w:rsidRDefault="00F24CB7">
      <w:pPr>
        <w:pStyle w:val="NormalBold"/>
      </w:pPr>
      <w:r w:rsidRPr="00893779">
        <w:rPr>
          <w:rStyle w:val="HideTWBExt"/>
          <w:b w:val="0"/>
        </w:rPr>
        <w:t>&lt;/By&gt;&lt;/RepeatBlock-By&gt;</w:t>
      </w:r>
    </w:p>
    <w:p w14:paraId="36619970"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594826D1"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4006048E" w14:textId="30E45309"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41E99341"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38C2EC05"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28E559A1" w14:textId="6A10691D" w:rsidR="00AB098C" w:rsidRPr="00893779" w:rsidRDefault="00F24CB7">
      <w:pPr>
        <w:pStyle w:val="NormalBold"/>
      </w:pPr>
      <w:r w:rsidRPr="00893779">
        <w:rPr>
          <w:rStyle w:val="HideTWBExt"/>
        </w:rPr>
        <w:t>&lt;Article&gt;</w:t>
      </w:r>
      <w:r w:rsidRPr="00893779">
        <w:t xml:space="preserve">Visum 23 bis (nieuw) </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470DC1FC" w14:textId="77777777">
        <w:trPr>
          <w:trHeight w:hRule="exact" w:val="240"/>
          <w:jc w:val="center"/>
        </w:trPr>
        <w:tc>
          <w:tcPr>
            <w:tcW w:w="9752" w:type="dxa"/>
            <w:gridSpan w:val="2"/>
            <w:tcBorders>
              <w:top w:val="nil"/>
              <w:left w:val="nil"/>
              <w:bottom w:val="nil"/>
              <w:right w:val="nil"/>
            </w:tcBorders>
          </w:tcPr>
          <w:p w14:paraId="01AC38DA" w14:textId="77777777" w:rsidR="00AB098C" w:rsidRPr="00893779" w:rsidRDefault="00AB098C"/>
        </w:tc>
      </w:tr>
      <w:tr w:rsidR="00C01E18" w:rsidRPr="00893779" w14:paraId="0561F3F4" w14:textId="77777777">
        <w:trPr>
          <w:trHeight w:val="240"/>
          <w:jc w:val="center"/>
        </w:trPr>
        <w:tc>
          <w:tcPr>
            <w:tcW w:w="4876" w:type="dxa"/>
            <w:tcBorders>
              <w:top w:val="nil"/>
              <w:left w:val="nil"/>
              <w:bottom w:val="nil"/>
              <w:right w:val="nil"/>
            </w:tcBorders>
          </w:tcPr>
          <w:p w14:paraId="75D7C2A1"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71528269" w14:textId="77777777" w:rsidR="00AB098C" w:rsidRPr="00893779" w:rsidRDefault="00F24CB7">
            <w:pPr>
              <w:pStyle w:val="AmColumnHeading"/>
            </w:pPr>
            <w:r w:rsidRPr="00893779">
              <w:t>Amendement</w:t>
            </w:r>
          </w:p>
        </w:tc>
      </w:tr>
      <w:tr w:rsidR="00C01E18" w:rsidRPr="00893779" w14:paraId="35A3F6BE" w14:textId="77777777">
        <w:trPr>
          <w:jc w:val="center"/>
        </w:trPr>
        <w:tc>
          <w:tcPr>
            <w:tcW w:w="4876" w:type="dxa"/>
            <w:tcBorders>
              <w:top w:val="nil"/>
              <w:left w:val="nil"/>
              <w:bottom w:val="nil"/>
              <w:right w:val="nil"/>
            </w:tcBorders>
          </w:tcPr>
          <w:p w14:paraId="19D88A38" w14:textId="77777777" w:rsidR="00AB098C" w:rsidRPr="00893779" w:rsidRDefault="00AB098C">
            <w:pPr>
              <w:pStyle w:val="Normal6a"/>
            </w:pPr>
          </w:p>
        </w:tc>
        <w:tc>
          <w:tcPr>
            <w:tcW w:w="4876" w:type="dxa"/>
            <w:tcBorders>
              <w:top w:val="nil"/>
              <w:left w:val="nil"/>
              <w:bottom w:val="nil"/>
              <w:right w:val="nil"/>
            </w:tcBorders>
          </w:tcPr>
          <w:p w14:paraId="0374F855" w14:textId="457B656D" w:rsidR="00AB098C" w:rsidRPr="00893779" w:rsidRDefault="00F24CB7">
            <w:pPr>
              <w:pStyle w:val="Normal6a"/>
              <w:pBdr>
                <w:bottom w:val="single" w:sz="12" w:space="1" w:color="auto"/>
              </w:pBdr>
              <w:rPr>
                <w:b/>
                <w:i/>
              </w:rPr>
            </w:pPr>
            <w:r w:rsidRPr="00893779">
              <w:rPr>
                <w:b/>
                <w:i/>
              </w:rPr>
              <w:t>–</w:t>
            </w:r>
            <w:r w:rsidRPr="00893779">
              <w:tab/>
            </w:r>
            <w:r w:rsidRPr="00893779">
              <w:rPr>
                <w:b/>
                <w:i/>
              </w:rPr>
              <w:t xml:space="preserve">gezien de arresten van het Hof van Justitie van de Europese Unie van 16 februari 2022 in de zaken C-156/21 </w:t>
            </w:r>
            <w:r w:rsidRPr="00893779">
              <w:rPr>
                <w:b/>
                <w:i/>
              </w:rPr>
              <w:t>Hongarije/Parlement en Raad en C-157/21 Polen/Parlement en Raad</w:t>
            </w:r>
            <w:r w:rsidRPr="00893779">
              <w:rPr>
                <w:b/>
                <w:i/>
                <w:vertAlign w:val="superscript"/>
              </w:rPr>
              <w:t>1 bis</w:t>
            </w:r>
            <w:r w:rsidRPr="00893779">
              <w:rPr>
                <w:b/>
                <w:i/>
              </w:rPr>
              <w:t>, waarin de wettigheid van de conditionaliteitsverordening wordt bevestigd,</w:t>
            </w:r>
          </w:p>
          <w:p w14:paraId="233B5120" w14:textId="7895A482" w:rsidR="0022097A" w:rsidRPr="00893779" w:rsidRDefault="00F24CB7">
            <w:pPr>
              <w:pStyle w:val="Normal6a"/>
            </w:pPr>
            <w:r w:rsidRPr="00893779">
              <w:rPr>
                <w:b/>
                <w:i/>
                <w:vertAlign w:val="superscript"/>
              </w:rPr>
              <w:t>1bis</w:t>
            </w:r>
            <w:r w:rsidRPr="00893779">
              <w:rPr>
                <w:b/>
                <w:i/>
              </w:rPr>
              <w:t xml:space="preserve"> ECLI:EU:C:2022:97 &amp; ECLI:EU:C:2022:98.</w:t>
            </w:r>
          </w:p>
        </w:tc>
      </w:tr>
    </w:tbl>
    <w:p w14:paraId="6E3DA0C0" w14:textId="77777777" w:rsidR="00AB098C" w:rsidRPr="00893779" w:rsidRDefault="00F24CB7">
      <w:pPr>
        <w:pStyle w:val="AmOrLang"/>
      </w:pPr>
      <w:r w:rsidRPr="00893779">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4D4CDBC3" w14:textId="77777777" w:rsidR="00AB098C" w:rsidRPr="00893779" w:rsidRDefault="00F24CB7">
      <w:pPr>
        <w:sectPr w:rsidR="00AB098C" w:rsidRPr="00893779">
          <w:headerReference w:type="even" r:id="rId6"/>
          <w:headerReference w:type="default" r:id="rId7"/>
          <w:footerReference w:type="even" r:id="rId8"/>
          <w:footerReference w:type="default" r:id="rId9"/>
          <w:headerReference w:type="first" r:id="rId10"/>
          <w:footerReference w:type="first" r:id="rId11"/>
          <w:pgSz w:w="11909" w:h="16834"/>
          <w:pgMar w:top="1134" w:right="1417" w:bottom="1417" w:left="1417" w:header="1134" w:footer="567" w:gutter="0"/>
          <w:cols w:space="720"/>
        </w:sectPr>
      </w:pPr>
      <w:r w:rsidRPr="00893779">
        <w:rPr>
          <w:rStyle w:val="HideTWBExt"/>
        </w:rPr>
        <w:t>&lt;/Amend&gt;</w:t>
      </w:r>
    </w:p>
    <w:p w14:paraId="1897A4FA"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51</w:t>
      </w:r>
      <w:r w:rsidRPr="00893779">
        <w:rPr>
          <w:rStyle w:val="HideTWBExt"/>
        </w:rPr>
        <w:t>&lt;/NumAm&gt;</w:t>
      </w:r>
    </w:p>
    <w:p w14:paraId="0CA0DC32"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51</w:t>
      </w:r>
      <w:r w:rsidRPr="00893779">
        <w:rPr>
          <w:rStyle w:val="HideTWBExt"/>
        </w:rPr>
        <w:t>&lt;/NumAm&gt;</w:t>
      </w:r>
    </w:p>
    <w:p w14:paraId="122C27AF"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42FB1CEC"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369153FD" w14:textId="77777777" w:rsidR="00AB098C" w:rsidRPr="00893779" w:rsidRDefault="00F24CB7">
      <w:pPr>
        <w:pStyle w:val="NormalBold"/>
      </w:pPr>
      <w:r w:rsidRPr="00893779">
        <w:rPr>
          <w:rStyle w:val="HideTWBExt"/>
          <w:b w:val="0"/>
        </w:rPr>
        <w:t>&lt;/By&gt;&lt;/RepeatBlock-By&gt;</w:t>
      </w:r>
    </w:p>
    <w:p w14:paraId="004FEAFA"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14F63909"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44F6DB4C" w14:textId="69E7F1E8"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4D47D053"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570FEAC6"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18AE99FB" w14:textId="77777777" w:rsidR="00AB098C" w:rsidRPr="00893779" w:rsidRDefault="00F24CB7">
      <w:pPr>
        <w:pStyle w:val="NormalBold"/>
      </w:pPr>
      <w:r w:rsidRPr="00893779">
        <w:rPr>
          <w:rStyle w:val="HideTWBExt"/>
        </w:rPr>
        <w:t>&lt;Article&gt;</w:t>
      </w:r>
      <w:r w:rsidRPr="00893779">
        <w:t xml:space="preserve">Visum 25 ter (nieuw) </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62EB1AFB" w14:textId="77777777">
        <w:trPr>
          <w:trHeight w:hRule="exact" w:val="240"/>
          <w:jc w:val="center"/>
        </w:trPr>
        <w:tc>
          <w:tcPr>
            <w:tcW w:w="9752" w:type="dxa"/>
            <w:gridSpan w:val="2"/>
            <w:tcBorders>
              <w:top w:val="nil"/>
              <w:left w:val="nil"/>
              <w:bottom w:val="nil"/>
              <w:right w:val="nil"/>
            </w:tcBorders>
          </w:tcPr>
          <w:p w14:paraId="7D55E2CF" w14:textId="77777777" w:rsidR="00AB098C" w:rsidRPr="00893779" w:rsidRDefault="00AB098C"/>
        </w:tc>
      </w:tr>
      <w:tr w:rsidR="00C01E18" w:rsidRPr="00893779" w14:paraId="689BD4CC" w14:textId="77777777">
        <w:trPr>
          <w:trHeight w:val="240"/>
          <w:jc w:val="center"/>
        </w:trPr>
        <w:tc>
          <w:tcPr>
            <w:tcW w:w="4876" w:type="dxa"/>
            <w:tcBorders>
              <w:top w:val="nil"/>
              <w:left w:val="nil"/>
              <w:bottom w:val="nil"/>
              <w:right w:val="nil"/>
            </w:tcBorders>
          </w:tcPr>
          <w:p w14:paraId="7076EBB8"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1D3DD833" w14:textId="77777777" w:rsidR="00AB098C" w:rsidRPr="00893779" w:rsidRDefault="00F24CB7">
            <w:pPr>
              <w:pStyle w:val="AmColumnHeading"/>
            </w:pPr>
            <w:r w:rsidRPr="00893779">
              <w:t>Amendement</w:t>
            </w:r>
          </w:p>
        </w:tc>
      </w:tr>
      <w:tr w:rsidR="00C01E18" w:rsidRPr="00893779" w14:paraId="6BA02098" w14:textId="77777777">
        <w:trPr>
          <w:jc w:val="center"/>
        </w:trPr>
        <w:tc>
          <w:tcPr>
            <w:tcW w:w="4876" w:type="dxa"/>
            <w:tcBorders>
              <w:top w:val="nil"/>
              <w:left w:val="nil"/>
              <w:bottom w:val="nil"/>
              <w:right w:val="nil"/>
            </w:tcBorders>
          </w:tcPr>
          <w:p w14:paraId="3D3F7FC2" w14:textId="77777777" w:rsidR="00AB098C" w:rsidRPr="00893779" w:rsidRDefault="00AB098C">
            <w:pPr>
              <w:pStyle w:val="Normal6a"/>
            </w:pPr>
          </w:p>
        </w:tc>
        <w:tc>
          <w:tcPr>
            <w:tcW w:w="4876" w:type="dxa"/>
            <w:tcBorders>
              <w:top w:val="nil"/>
              <w:left w:val="nil"/>
              <w:bottom w:val="nil"/>
              <w:right w:val="nil"/>
            </w:tcBorders>
          </w:tcPr>
          <w:p w14:paraId="481513A9" w14:textId="5E786CD9" w:rsidR="00AB098C" w:rsidRPr="00893779" w:rsidRDefault="00F24CB7">
            <w:pPr>
              <w:pStyle w:val="Normal6a"/>
            </w:pPr>
            <w:r w:rsidRPr="00893779">
              <w:rPr>
                <w:b/>
                <w:i/>
              </w:rPr>
              <w:t>–</w:t>
            </w:r>
            <w:r w:rsidRPr="00893779">
              <w:tab/>
            </w:r>
            <w:r w:rsidRPr="00893779">
              <w:rPr>
                <w:b/>
                <w:i/>
              </w:rPr>
              <w:t>gezien het onderzoek naar vermeend misbruik van middelen van de Unie door de voormalige Fractie Identiteit en Democratie van het Europees Parlement, dat het EOM in juli 2025 heeft geopend en dat nog steeds loopt,</w:t>
            </w:r>
          </w:p>
        </w:tc>
      </w:tr>
    </w:tbl>
    <w:p w14:paraId="790F5E20" w14:textId="77777777" w:rsidR="00AB098C" w:rsidRPr="00893779" w:rsidRDefault="00F24CB7">
      <w:pPr>
        <w:pStyle w:val="AmOrLang"/>
      </w:pPr>
      <w:r w:rsidRPr="00893779">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5D9AFC04" w14:textId="77777777" w:rsidR="00AB098C" w:rsidRPr="00893779" w:rsidRDefault="00F24CB7">
      <w:pPr>
        <w:sectPr w:rsidR="00AB098C" w:rsidRPr="00893779">
          <w:pgSz w:w="11909" w:h="16834"/>
          <w:pgMar w:top="1134" w:right="1417" w:bottom="1417" w:left="1417" w:header="1134" w:footer="567" w:gutter="0"/>
          <w:cols w:space="720"/>
        </w:sectPr>
      </w:pPr>
      <w:r w:rsidRPr="00893779">
        <w:rPr>
          <w:rStyle w:val="HideTWBExt"/>
        </w:rPr>
        <w:t>&lt;/Amend&gt;</w:t>
      </w:r>
    </w:p>
    <w:p w14:paraId="1DC3122D"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52</w:t>
      </w:r>
      <w:r w:rsidRPr="00893779">
        <w:rPr>
          <w:rStyle w:val="HideTWBExt"/>
        </w:rPr>
        <w:t>&lt;/NumAm&gt;</w:t>
      </w:r>
    </w:p>
    <w:p w14:paraId="5F9D1154"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52</w:t>
      </w:r>
      <w:r w:rsidRPr="00893779">
        <w:rPr>
          <w:rStyle w:val="HideTWBExt"/>
        </w:rPr>
        <w:t>&lt;/NumAm&gt;</w:t>
      </w:r>
    </w:p>
    <w:p w14:paraId="27AE9A36"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705EC329"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7E71E8E9" w14:textId="77777777" w:rsidR="00AB098C" w:rsidRPr="00893779" w:rsidRDefault="00F24CB7">
      <w:pPr>
        <w:pStyle w:val="NormalBold"/>
      </w:pPr>
      <w:r w:rsidRPr="00893779">
        <w:rPr>
          <w:rStyle w:val="HideTWBExt"/>
          <w:b w:val="0"/>
        </w:rPr>
        <w:t>&lt;/By&gt;&lt;/RepeatBlock-By&gt;</w:t>
      </w:r>
    </w:p>
    <w:p w14:paraId="73013DEF"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11B1ED71"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71EEC604" w14:textId="4192E226"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702F699B"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65F35DB6"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445EF971" w14:textId="77777777" w:rsidR="00AB098C" w:rsidRPr="00893779" w:rsidRDefault="00F24CB7">
      <w:pPr>
        <w:pStyle w:val="NormalBold"/>
      </w:pPr>
      <w:r w:rsidRPr="00893779">
        <w:rPr>
          <w:rStyle w:val="HideTWBExt"/>
        </w:rPr>
        <w:t>&lt;Article&gt;</w:t>
      </w:r>
      <w:r w:rsidRPr="00893779">
        <w:t>Paragraaf 2 bis (nieuw)</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72A4562E" w14:textId="77777777">
        <w:trPr>
          <w:trHeight w:hRule="exact" w:val="240"/>
          <w:jc w:val="center"/>
        </w:trPr>
        <w:tc>
          <w:tcPr>
            <w:tcW w:w="9752" w:type="dxa"/>
            <w:gridSpan w:val="2"/>
            <w:tcBorders>
              <w:top w:val="nil"/>
              <w:left w:val="nil"/>
              <w:bottom w:val="nil"/>
              <w:right w:val="nil"/>
            </w:tcBorders>
          </w:tcPr>
          <w:p w14:paraId="0A94343A" w14:textId="77777777" w:rsidR="00AB098C" w:rsidRPr="00893779" w:rsidRDefault="00AB098C"/>
        </w:tc>
      </w:tr>
      <w:tr w:rsidR="00C01E18" w:rsidRPr="00893779" w14:paraId="1FB50B3E" w14:textId="77777777">
        <w:trPr>
          <w:trHeight w:val="240"/>
          <w:jc w:val="center"/>
        </w:trPr>
        <w:tc>
          <w:tcPr>
            <w:tcW w:w="4876" w:type="dxa"/>
            <w:tcBorders>
              <w:top w:val="nil"/>
              <w:left w:val="nil"/>
              <w:bottom w:val="nil"/>
              <w:right w:val="nil"/>
            </w:tcBorders>
          </w:tcPr>
          <w:p w14:paraId="258B1CFF"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64E426E5" w14:textId="77777777" w:rsidR="00AB098C" w:rsidRPr="00893779" w:rsidRDefault="00F24CB7">
            <w:pPr>
              <w:pStyle w:val="AmColumnHeading"/>
            </w:pPr>
            <w:r w:rsidRPr="00893779">
              <w:t>Amendement</w:t>
            </w:r>
          </w:p>
        </w:tc>
      </w:tr>
      <w:tr w:rsidR="00C01E18" w:rsidRPr="00893779" w14:paraId="1A4C7A08" w14:textId="77777777">
        <w:trPr>
          <w:jc w:val="center"/>
        </w:trPr>
        <w:tc>
          <w:tcPr>
            <w:tcW w:w="4876" w:type="dxa"/>
            <w:tcBorders>
              <w:top w:val="nil"/>
              <w:left w:val="nil"/>
              <w:bottom w:val="nil"/>
              <w:right w:val="nil"/>
            </w:tcBorders>
          </w:tcPr>
          <w:p w14:paraId="7F7CFA26" w14:textId="77777777" w:rsidR="00AB098C" w:rsidRPr="00893779" w:rsidRDefault="00AB098C">
            <w:pPr>
              <w:pStyle w:val="Normal6a"/>
            </w:pPr>
          </w:p>
        </w:tc>
        <w:tc>
          <w:tcPr>
            <w:tcW w:w="4876" w:type="dxa"/>
            <w:tcBorders>
              <w:top w:val="nil"/>
              <w:left w:val="nil"/>
              <w:bottom w:val="nil"/>
              <w:right w:val="nil"/>
            </w:tcBorders>
          </w:tcPr>
          <w:p w14:paraId="78957F95" w14:textId="3A1F513C" w:rsidR="00AB098C" w:rsidRPr="00893779" w:rsidRDefault="00F24CB7">
            <w:pPr>
              <w:pStyle w:val="Normal6a"/>
            </w:pPr>
            <w:r w:rsidRPr="00893779">
              <w:rPr>
                <w:b/>
                <w:i/>
              </w:rPr>
              <w:t>2 bis.</w:t>
            </w:r>
            <w:r w:rsidRPr="00893779">
              <w:tab/>
            </w:r>
            <w:r w:rsidRPr="00893779">
              <w:rPr>
                <w:b/>
                <w:i/>
              </w:rPr>
              <w:t xml:space="preserve">betreurt dat niet alle lidstaten deelnemen aan het EOM, waardoor er sprake is van lacunes in de handhaving die het vermogen van de EU </w:t>
            </w:r>
            <w:r w:rsidRPr="00893779">
              <w:rPr>
                <w:b/>
                <w:i/>
              </w:rPr>
              <w:t xml:space="preserve">om haar financiële belangen op uniforme wijze te beschermen, ondermijnen; stelt vast dat het EOM in 2024 een aanzienlijk aantal Europese onderzoeksbevelen en verzoeken om wederzijdse rechtshulp heeft uitgevaardigd waarbij niet-deelnemende lidstaten betrokken waren, en dat het feit dat deze landen niet deelnemen aan het EOM leidt tot extra procedurele lasten en tot gevolg heeft dat er mogelijk minder bewijsmateriaal beschikbaar is; herhaalt zijn verzoek aan de lidstaten die nog niet aan het EOM deelnemen om </w:t>
            </w:r>
            <w:r w:rsidRPr="00893779">
              <w:rPr>
                <w:b/>
                <w:i/>
              </w:rPr>
              <w:t>zich onverwijld bij het EOM aan te sluiten;</w:t>
            </w:r>
          </w:p>
        </w:tc>
      </w:tr>
    </w:tbl>
    <w:p w14:paraId="02F244F9" w14:textId="77777777" w:rsidR="00AB098C" w:rsidRPr="00893779" w:rsidRDefault="00F24CB7">
      <w:pPr>
        <w:pStyle w:val="AmOrLang"/>
      </w:pPr>
      <w:r w:rsidRPr="00893779">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234CC38C" w14:textId="77777777" w:rsidR="00AB098C" w:rsidRPr="00893779" w:rsidRDefault="00F24CB7">
      <w:pPr>
        <w:sectPr w:rsidR="00AB098C" w:rsidRPr="00893779">
          <w:pgSz w:w="11909" w:h="16834"/>
          <w:pgMar w:top="1134" w:right="1417" w:bottom="1417" w:left="1417" w:header="1134" w:footer="567" w:gutter="0"/>
          <w:cols w:space="720"/>
        </w:sectPr>
      </w:pPr>
      <w:r w:rsidRPr="00893779">
        <w:rPr>
          <w:rStyle w:val="HideTWBExt"/>
        </w:rPr>
        <w:t>&lt;/Amend&gt;</w:t>
      </w:r>
    </w:p>
    <w:p w14:paraId="52F6A974"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53</w:t>
      </w:r>
      <w:r w:rsidRPr="00893779">
        <w:rPr>
          <w:rStyle w:val="HideTWBExt"/>
        </w:rPr>
        <w:t>&lt;/NumAm&gt;</w:t>
      </w:r>
    </w:p>
    <w:p w14:paraId="5BCF9E95"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53</w:t>
      </w:r>
      <w:r w:rsidRPr="00893779">
        <w:rPr>
          <w:rStyle w:val="HideTWBExt"/>
        </w:rPr>
        <w:t>&lt;/NumAm&gt;</w:t>
      </w:r>
    </w:p>
    <w:p w14:paraId="470392FE"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6F2B0472"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60567203" w14:textId="77777777" w:rsidR="00AB098C" w:rsidRPr="00893779" w:rsidRDefault="00F24CB7">
      <w:pPr>
        <w:pStyle w:val="NormalBold"/>
      </w:pPr>
      <w:r w:rsidRPr="00893779">
        <w:rPr>
          <w:rStyle w:val="HideTWBExt"/>
          <w:b w:val="0"/>
        </w:rPr>
        <w:t>&lt;/By&gt;&lt;/RepeatBlock-By&gt;</w:t>
      </w:r>
    </w:p>
    <w:p w14:paraId="6F60CCCE"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6F9DF45E"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19B4ABF8" w14:textId="5CA79DD2" w:rsidR="00AB098C" w:rsidRPr="00893779" w:rsidRDefault="00F24CB7">
      <w:r w:rsidRPr="00893779">
        <w:rPr>
          <w:rStyle w:val="HideTWBExt"/>
        </w:rPr>
        <w:t>&lt;Titre&gt;</w:t>
      </w:r>
      <w:r w:rsidRPr="00893779">
        <w:t xml:space="preserve">Bescherming van de financiële belangen van de Europese Unie – </w:t>
      </w:r>
      <w:r w:rsidRPr="00893779">
        <w:t>fraudebestrijding – jaarverslag 2024</w:t>
      </w:r>
      <w:r w:rsidRPr="00893779">
        <w:rPr>
          <w:rStyle w:val="HideTWBExt"/>
        </w:rPr>
        <w:t>&lt;/Titre&gt;</w:t>
      </w:r>
    </w:p>
    <w:p w14:paraId="4335F946"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08A8C468"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4D837251" w14:textId="77777777" w:rsidR="00AB098C" w:rsidRPr="00893779" w:rsidRDefault="00F24CB7">
      <w:pPr>
        <w:pStyle w:val="NormalBold"/>
      </w:pPr>
      <w:r w:rsidRPr="00893779">
        <w:rPr>
          <w:rStyle w:val="HideTWBExt"/>
        </w:rPr>
        <w:t>&lt;Article&gt;</w:t>
      </w:r>
      <w:r w:rsidRPr="00893779">
        <w:t>Paragraaf 3</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1FA13BA9" w14:textId="77777777">
        <w:trPr>
          <w:trHeight w:hRule="exact" w:val="240"/>
          <w:jc w:val="center"/>
        </w:trPr>
        <w:tc>
          <w:tcPr>
            <w:tcW w:w="9752" w:type="dxa"/>
            <w:gridSpan w:val="2"/>
            <w:tcBorders>
              <w:top w:val="nil"/>
              <w:left w:val="nil"/>
              <w:bottom w:val="nil"/>
              <w:right w:val="nil"/>
            </w:tcBorders>
          </w:tcPr>
          <w:p w14:paraId="46C57188" w14:textId="77777777" w:rsidR="00AB098C" w:rsidRPr="00893779" w:rsidRDefault="00AB098C"/>
        </w:tc>
      </w:tr>
      <w:tr w:rsidR="00C01E18" w:rsidRPr="00893779" w14:paraId="4A9D3AC4" w14:textId="77777777">
        <w:trPr>
          <w:trHeight w:val="240"/>
          <w:jc w:val="center"/>
        </w:trPr>
        <w:tc>
          <w:tcPr>
            <w:tcW w:w="4876" w:type="dxa"/>
            <w:tcBorders>
              <w:top w:val="nil"/>
              <w:left w:val="nil"/>
              <w:bottom w:val="nil"/>
              <w:right w:val="nil"/>
            </w:tcBorders>
          </w:tcPr>
          <w:p w14:paraId="077A804A"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01984BB6" w14:textId="77777777" w:rsidR="00AB098C" w:rsidRPr="00893779" w:rsidRDefault="00F24CB7">
            <w:pPr>
              <w:pStyle w:val="AmColumnHeading"/>
            </w:pPr>
            <w:r w:rsidRPr="00893779">
              <w:t>Amendement</w:t>
            </w:r>
          </w:p>
        </w:tc>
      </w:tr>
      <w:tr w:rsidR="00C01E18" w:rsidRPr="00893779" w14:paraId="461AF8AA" w14:textId="77777777">
        <w:trPr>
          <w:jc w:val="center"/>
        </w:trPr>
        <w:tc>
          <w:tcPr>
            <w:tcW w:w="4876" w:type="dxa"/>
            <w:tcBorders>
              <w:top w:val="nil"/>
              <w:left w:val="nil"/>
              <w:bottom w:val="nil"/>
              <w:right w:val="nil"/>
            </w:tcBorders>
          </w:tcPr>
          <w:p w14:paraId="0CE44D25" w14:textId="339AE777" w:rsidR="00AB098C" w:rsidRPr="00893779" w:rsidRDefault="00F24CB7">
            <w:pPr>
              <w:pStyle w:val="Normal6a"/>
            </w:pPr>
            <w:r w:rsidRPr="00893779">
              <w:t>3.</w:t>
            </w:r>
            <w:r w:rsidRPr="00893779">
              <w:tab/>
              <w:t xml:space="preserve">beklemtoont dat de rechtsstaat een hoeksteen van de Unie vormt en </w:t>
            </w:r>
            <w:r w:rsidRPr="00893779">
              <w:t xml:space="preserve">essentieel is voor de bescherming van de financiële belangen van de EU in alle lidstaten; benadrukt dat het conditionaliteitsmechanisme voor de rechtsstaat moet worden toegepast wanneer </w:t>
            </w:r>
            <w:r w:rsidRPr="00893779">
              <w:rPr>
                <w:b/>
                <w:i/>
              </w:rPr>
              <w:t>inbreuken rechtstreeks van invloed zijn op</w:t>
            </w:r>
            <w:r w:rsidRPr="00893779">
              <w:t xml:space="preserve"> de EU-begroting; onderstreept dat besluiten om de financiële belangen van de EU te beschermen gebaseerd moeten zijn op technische en juridische bevindingen; verzoekt de Commissie te zorgen voor een consistent en evenredig gebruik van het mechanisme, en daarbij te eerbiedigen dat de </w:t>
            </w:r>
            <w:r w:rsidRPr="00893779">
              <w:t>lidstaten primair verantwoordelijk zijn voor de handhaving van de beginselen van de rechtsstaat, en te zorgen voor samenhang tussen de EU-instrumenten;</w:t>
            </w:r>
          </w:p>
        </w:tc>
        <w:tc>
          <w:tcPr>
            <w:tcW w:w="4876" w:type="dxa"/>
            <w:tcBorders>
              <w:top w:val="nil"/>
              <w:left w:val="nil"/>
              <w:bottom w:val="nil"/>
              <w:right w:val="nil"/>
            </w:tcBorders>
          </w:tcPr>
          <w:p w14:paraId="2D703E83" w14:textId="077BD94F" w:rsidR="00AB098C" w:rsidRPr="00893779" w:rsidRDefault="00F24CB7">
            <w:pPr>
              <w:pStyle w:val="Normal6a"/>
            </w:pPr>
            <w:r w:rsidRPr="00893779">
              <w:t>3.</w:t>
            </w:r>
            <w:r w:rsidRPr="00893779">
              <w:tab/>
              <w:t xml:space="preserve">beklemtoont dat de rechtsstaat een hoeksteen van de Unie vormt en essentieel is voor de bescherming van de financiële belangen van de EU in alle lidstaten; benadrukt dat het conditionaliteitsmechanisme voor de rechtsstaat moet worden toegepast wanneer </w:t>
            </w:r>
            <w:r w:rsidRPr="00893779">
              <w:rPr>
                <w:b/>
                <w:i/>
              </w:rPr>
              <w:t>schendingen van de onafhankelijkheid van de rechterlijke macht of tekortkomingen met betrekking tot de capaciteit van het openbaar ministerie, de verantwoordingsplicht of de transparantie gevolgen hebben of dreigen te hebben voor het goed financieel beheer va</w:t>
            </w:r>
            <w:r w:rsidRPr="00893779">
              <w:rPr>
                <w:b/>
                <w:i/>
              </w:rPr>
              <w:t>n</w:t>
            </w:r>
            <w:r w:rsidRPr="00893779">
              <w:t xml:space="preserve"> de EU-begroting</w:t>
            </w:r>
            <w:r w:rsidRPr="00893779">
              <w:rPr>
                <w:b/>
                <w:i/>
              </w:rPr>
              <w:t>, in overeenstemming met de vaste rechtspraak van het Hof van Justitie</w:t>
            </w:r>
            <w:r w:rsidRPr="00893779">
              <w:t>; onderstreept dat besluiten om de financiële belangen van de EU te beschermen gebaseerd moeten zijn op technische en juridische bevindingen; verzoekt de Commissie te zorgen voor een consistent en evenredig gebruik van het mechanisme, en daarbij te eerbiedigen dat de lidstaten primair verantwoordelijk zijn voor de handhaving van de beginselen van de rechtsstaat, en te zorgen voor samenhang tussen de EU-instrumenten;</w:t>
            </w:r>
          </w:p>
        </w:tc>
      </w:tr>
    </w:tbl>
    <w:p w14:paraId="13C259C4" w14:textId="77777777" w:rsidR="00AB098C" w:rsidRPr="00893779" w:rsidRDefault="00F24CB7">
      <w:pPr>
        <w:pStyle w:val="AmOrLang"/>
      </w:pPr>
      <w:r w:rsidRPr="00893779">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21FA7D09" w14:textId="77777777" w:rsidR="00AB098C" w:rsidRPr="00893779" w:rsidRDefault="00F24CB7">
      <w:pPr>
        <w:sectPr w:rsidR="00AB098C" w:rsidRPr="00893779">
          <w:pgSz w:w="11909" w:h="16834"/>
          <w:pgMar w:top="1134" w:right="1417" w:bottom="1417" w:left="1417" w:header="1134" w:footer="567" w:gutter="0"/>
          <w:cols w:space="720"/>
        </w:sectPr>
      </w:pPr>
      <w:r w:rsidRPr="00893779">
        <w:rPr>
          <w:rStyle w:val="HideTWBExt"/>
        </w:rPr>
        <w:t>&lt;/Amend&gt;</w:t>
      </w:r>
    </w:p>
    <w:p w14:paraId="219B8B07"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54</w:t>
      </w:r>
      <w:r w:rsidRPr="00893779">
        <w:rPr>
          <w:rStyle w:val="HideTWBExt"/>
        </w:rPr>
        <w:t>&lt;/NumAm&gt;</w:t>
      </w:r>
    </w:p>
    <w:p w14:paraId="67314D54"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54</w:t>
      </w:r>
      <w:r w:rsidRPr="00893779">
        <w:rPr>
          <w:rStyle w:val="HideTWBExt"/>
        </w:rPr>
        <w:t>&lt;/NumAm&gt;</w:t>
      </w:r>
    </w:p>
    <w:p w14:paraId="69707BC9"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1B49B9EB"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766E356C" w14:textId="77777777" w:rsidR="00AB098C" w:rsidRPr="00893779" w:rsidRDefault="00F24CB7">
      <w:pPr>
        <w:pStyle w:val="NormalBold"/>
      </w:pPr>
      <w:r w:rsidRPr="00893779">
        <w:rPr>
          <w:rStyle w:val="HideTWBExt"/>
          <w:b w:val="0"/>
        </w:rPr>
        <w:t>&lt;/By&gt;&lt;/RepeatBlock-By&gt;</w:t>
      </w:r>
    </w:p>
    <w:p w14:paraId="7D047441"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2EECE3EA"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50F05D0D" w14:textId="50C0726E"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302E9BC8"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071B1C41"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36179FDD" w14:textId="77777777" w:rsidR="00AB098C" w:rsidRPr="00893779" w:rsidRDefault="00F24CB7">
      <w:pPr>
        <w:pStyle w:val="NormalBold"/>
      </w:pPr>
      <w:r w:rsidRPr="00893779">
        <w:rPr>
          <w:rStyle w:val="HideTWBExt"/>
        </w:rPr>
        <w:t>&lt;Article&gt;</w:t>
      </w:r>
      <w:r w:rsidRPr="00893779">
        <w:t>Paragraaf 3 bis (nieuw)</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54AF2CE3" w14:textId="77777777">
        <w:trPr>
          <w:trHeight w:hRule="exact" w:val="240"/>
          <w:jc w:val="center"/>
        </w:trPr>
        <w:tc>
          <w:tcPr>
            <w:tcW w:w="9752" w:type="dxa"/>
            <w:gridSpan w:val="2"/>
            <w:tcBorders>
              <w:top w:val="nil"/>
              <w:left w:val="nil"/>
              <w:bottom w:val="nil"/>
              <w:right w:val="nil"/>
            </w:tcBorders>
          </w:tcPr>
          <w:p w14:paraId="435CA83E" w14:textId="77777777" w:rsidR="00AB098C" w:rsidRPr="00893779" w:rsidRDefault="00AB098C"/>
        </w:tc>
      </w:tr>
      <w:tr w:rsidR="00C01E18" w:rsidRPr="00893779" w14:paraId="5BFEF2D6" w14:textId="77777777">
        <w:trPr>
          <w:trHeight w:val="240"/>
          <w:jc w:val="center"/>
        </w:trPr>
        <w:tc>
          <w:tcPr>
            <w:tcW w:w="4876" w:type="dxa"/>
            <w:tcBorders>
              <w:top w:val="nil"/>
              <w:left w:val="nil"/>
              <w:bottom w:val="nil"/>
              <w:right w:val="nil"/>
            </w:tcBorders>
          </w:tcPr>
          <w:p w14:paraId="5F59DC8D"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156EF022" w14:textId="77777777" w:rsidR="00AB098C" w:rsidRPr="00893779" w:rsidRDefault="00F24CB7">
            <w:pPr>
              <w:pStyle w:val="AmColumnHeading"/>
            </w:pPr>
            <w:r w:rsidRPr="00893779">
              <w:t>Amendement</w:t>
            </w:r>
          </w:p>
        </w:tc>
      </w:tr>
      <w:tr w:rsidR="00C01E18" w:rsidRPr="00893779" w14:paraId="4ADC2E69" w14:textId="77777777">
        <w:trPr>
          <w:jc w:val="center"/>
        </w:trPr>
        <w:tc>
          <w:tcPr>
            <w:tcW w:w="4876" w:type="dxa"/>
            <w:tcBorders>
              <w:top w:val="nil"/>
              <w:left w:val="nil"/>
              <w:bottom w:val="nil"/>
              <w:right w:val="nil"/>
            </w:tcBorders>
          </w:tcPr>
          <w:p w14:paraId="5EB6D534" w14:textId="77777777" w:rsidR="00AB098C" w:rsidRPr="00893779" w:rsidRDefault="00AB098C">
            <w:pPr>
              <w:pStyle w:val="Normal6a"/>
            </w:pPr>
          </w:p>
        </w:tc>
        <w:tc>
          <w:tcPr>
            <w:tcW w:w="4876" w:type="dxa"/>
            <w:tcBorders>
              <w:top w:val="nil"/>
              <w:left w:val="nil"/>
              <w:bottom w:val="nil"/>
              <w:right w:val="nil"/>
            </w:tcBorders>
          </w:tcPr>
          <w:p w14:paraId="271E2773" w14:textId="583C3293" w:rsidR="00AB098C" w:rsidRPr="00893779" w:rsidRDefault="00F24CB7">
            <w:pPr>
              <w:pStyle w:val="Normal6a"/>
            </w:pPr>
            <w:r w:rsidRPr="00893779">
              <w:rPr>
                <w:b/>
                <w:i/>
              </w:rPr>
              <w:t>3 bis.</w:t>
            </w:r>
            <w:r w:rsidRPr="00893779">
              <w:tab/>
            </w:r>
            <w:r w:rsidRPr="00893779">
              <w:rPr>
                <w:b/>
                <w:i/>
              </w:rPr>
              <w:t xml:space="preserve">neemt met grote bezorgdheid kennis van de voortschrijdende verslechtering van de rechtsstaat in een aantal lidstaten, en met name in Hongarije, waar herhaaldelijk systemische risico’s voor de </w:t>
            </w:r>
            <w:r w:rsidRPr="00893779">
              <w:rPr>
                <w:b/>
                <w:i/>
              </w:rPr>
              <w:t>financiële belangen van de Unie zijn geconstateerd, onder meer door de Europese Rekenkamer, OLAF en het EOM; herinnert eraan dat de Raad in december 2022 krachtens de conditionaliteitsverordening een bedrag van 6,3 miljard EUR aan voor Hongarije bestemde middelen uit het cohesiefonds heeft opgeschort, en dat er nog altijd aanzienlijke bedragen bevroren zijn omdat er nog altijd reden is tot bezorgdheid over de kaders voor overheidsopdrachten en corruptiebestrijding; benadrukt dat deze constateringen niet pol</w:t>
            </w:r>
            <w:r w:rsidRPr="00893779">
              <w:rPr>
                <w:b/>
                <w:i/>
              </w:rPr>
              <w:t>itiek van aard zijn, maar gebaseerd zijn op objectief, gedocumenteerd en herhaaldelijk geverifieerd bewijsmateriaal; geeft nogmaals aan dat conditionaliteit met betrekking tot de rechtsstaat geen politiek instrument is maar een waarborg voor de begroting van de Unie, en dat dit mechanisme consequent moet worden toegepast wanneer zich risico’s voordoen;</w:t>
            </w:r>
          </w:p>
        </w:tc>
      </w:tr>
    </w:tbl>
    <w:p w14:paraId="7BED3E7E" w14:textId="77777777" w:rsidR="00AB098C" w:rsidRPr="00893779" w:rsidRDefault="00F24CB7">
      <w:pPr>
        <w:pStyle w:val="AmOrLang"/>
      </w:pPr>
      <w:r w:rsidRPr="00893779">
        <w:lastRenderedPageBreak/>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57836B7F" w14:textId="77777777" w:rsidR="00AB098C" w:rsidRPr="00893779" w:rsidRDefault="00F24CB7">
      <w:pPr>
        <w:sectPr w:rsidR="00AB098C" w:rsidRPr="00893779">
          <w:pgSz w:w="11909" w:h="16834"/>
          <w:pgMar w:top="1134" w:right="1417" w:bottom="1417" w:left="1417" w:header="1134" w:footer="567" w:gutter="0"/>
          <w:cols w:space="720"/>
        </w:sectPr>
      </w:pPr>
      <w:r w:rsidRPr="00893779">
        <w:rPr>
          <w:rStyle w:val="HideTWBExt"/>
        </w:rPr>
        <w:t>&lt;/Amend&gt;</w:t>
      </w:r>
    </w:p>
    <w:p w14:paraId="67BFCD90"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55</w:t>
      </w:r>
      <w:r w:rsidRPr="00893779">
        <w:rPr>
          <w:rStyle w:val="HideTWBExt"/>
        </w:rPr>
        <w:t>&lt;/NumAm&gt;</w:t>
      </w:r>
    </w:p>
    <w:p w14:paraId="443DF2C4"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55</w:t>
      </w:r>
      <w:r w:rsidRPr="00893779">
        <w:rPr>
          <w:rStyle w:val="HideTWBExt"/>
        </w:rPr>
        <w:t>&lt;/NumAm&gt;</w:t>
      </w:r>
    </w:p>
    <w:p w14:paraId="179720CC"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1BD1F28D"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6052C6CA" w14:textId="77777777" w:rsidR="00AB098C" w:rsidRPr="00893779" w:rsidRDefault="00F24CB7">
      <w:pPr>
        <w:pStyle w:val="NormalBold"/>
      </w:pPr>
      <w:r w:rsidRPr="00893779">
        <w:rPr>
          <w:rStyle w:val="HideTWBExt"/>
          <w:b w:val="0"/>
        </w:rPr>
        <w:t>&lt;/By&gt;&lt;/RepeatBlock-By&gt;</w:t>
      </w:r>
    </w:p>
    <w:p w14:paraId="62A11CBB"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59D81A9B"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5281A2FF" w14:textId="2D351118"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5256DFAF"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69D02E9D"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72992868" w14:textId="77777777" w:rsidR="00AB098C" w:rsidRPr="00893779" w:rsidRDefault="00F24CB7">
      <w:pPr>
        <w:pStyle w:val="NormalBold"/>
      </w:pPr>
      <w:r w:rsidRPr="00893779">
        <w:rPr>
          <w:rStyle w:val="HideTWBExt"/>
        </w:rPr>
        <w:t>&lt;Article&gt;</w:t>
      </w:r>
      <w:r w:rsidRPr="00893779">
        <w:t>Paragraaf 25 bis (nieuw)</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1367AD2B" w14:textId="77777777">
        <w:trPr>
          <w:trHeight w:hRule="exact" w:val="240"/>
          <w:jc w:val="center"/>
        </w:trPr>
        <w:tc>
          <w:tcPr>
            <w:tcW w:w="9752" w:type="dxa"/>
            <w:gridSpan w:val="2"/>
            <w:tcBorders>
              <w:top w:val="nil"/>
              <w:left w:val="nil"/>
              <w:bottom w:val="nil"/>
              <w:right w:val="nil"/>
            </w:tcBorders>
          </w:tcPr>
          <w:p w14:paraId="78B002C8" w14:textId="77777777" w:rsidR="00AB098C" w:rsidRPr="00893779" w:rsidRDefault="00AB098C"/>
        </w:tc>
      </w:tr>
      <w:tr w:rsidR="00C01E18" w:rsidRPr="00893779" w14:paraId="69E23460" w14:textId="77777777">
        <w:trPr>
          <w:trHeight w:val="240"/>
          <w:jc w:val="center"/>
        </w:trPr>
        <w:tc>
          <w:tcPr>
            <w:tcW w:w="4876" w:type="dxa"/>
            <w:tcBorders>
              <w:top w:val="nil"/>
              <w:left w:val="nil"/>
              <w:bottom w:val="nil"/>
              <w:right w:val="nil"/>
            </w:tcBorders>
          </w:tcPr>
          <w:p w14:paraId="0B6AFD80"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228BD7CA" w14:textId="77777777" w:rsidR="00AB098C" w:rsidRPr="00893779" w:rsidRDefault="00F24CB7">
            <w:pPr>
              <w:pStyle w:val="AmColumnHeading"/>
            </w:pPr>
            <w:r w:rsidRPr="00893779">
              <w:t>Amendement</w:t>
            </w:r>
          </w:p>
        </w:tc>
      </w:tr>
      <w:tr w:rsidR="00C01E18" w:rsidRPr="00893779" w14:paraId="4CCF76E6" w14:textId="77777777">
        <w:trPr>
          <w:jc w:val="center"/>
        </w:trPr>
        <w:tc>
          <w:tcPr>
            <w:tcW w:w="4876" w:type="dxa"/>
            <w:tcBorders>
              <w:top w:val="nil"/>
              <w:left w:val="nil"/>
              <w:bottom w:val="nil"/>
              <w:right w:val="nil"/>
            </w:tcBorders>
          </w:tcPr>
          <w:p w14:paraId="26003878" w14:textId="77777777" w:rsidR="00AB098C" w:rsidRPr="00893779" w:rsidRDefault="00AB098C">
            <w:pPr>
              <w:pStyle w:val="Normal6a"/>
            </w:pPr>
          </w:p>
        </w:tc>
        <w:tc>
          <w:tcPr>
            <w:tcW w:w="4876" w:type="dxa"/>
            <w:tcBorders>
              <w:top w:val="nil"/>
              <w:left w:val="nil"/>
              <w:bottom w:val="nil"/>
              <w:right w:val="nil"/>
            </w:tcBorders>
          </w:tcPr>
          <w:p w14:paraId="71831527" w14:textId="0CB06975" w:rsidR="00AB098C" w:rsidRPr="00893779" w:rsidRDefault="00F24CB7">
            <w:pPr>
              <w:pStyle w:val="Normal6a"/>
            </w:pPr>
            <w:r w:rsidRPr="00893779">
              <w:rPr>
                <w:b/>
                <w:i/>
              </w:rPr>
              <w:t>25 bis.</w:t>
            </w:r>
            <w:r w:rsidRPr="00893779">
              <w:tab/>
            </w:r>
            <w:r w:rsidRPr="00893779">
              <w:rPr>
                <w:b/>
                <w:i/>
              </w:rPr>
              <w:t>wijst erop dat maatschappelijke organisaties, niet-gouvernementele organisaties en vakbonden een essentiële rol spelen bij het toezicht op het gebruik van Uniemiddelen, het melden van verdenkingen van fraude, het ondersteunen van klokkenluiders en het uitoefenen van onafhankelijk toezicht als aanvulling op het werk van de fraudebestrijdingsorganen van de EU; verwerpt elke poging om zorgen over het gebruik van EU-middelen door niet-gouvernementele organisaties te misbruiken als onderbouwing voor algemene be</w:t>
            </w:r>
            <w:r w:rsidRPr="00893779">
              <w:rPr>
                <w:b/>
                <w:i/>
              </w:rPr>
              <w:t>perkingen ten aanzien van het maatschappelijk middenveld; wijst erop dat als er sprake is van disproportionele beperkingen ten aanzien van maatschappelijke organisaties, dit op zich al een teken is dat de rechtsstaat onder druk staat;</w:t>
            </w:r>
          </w:p>
        </w:tc>
      </w:tr>
    </w:tbl>
    <w:p w14:paraId="4E11279A" w14:textId="77777777" w:rsidR="00AB098C" w:rsidRPr="00893779" w:rsidRDefault="00F24CB7">
      <w:pPr>
        <w:pStyle w:val="AmOrLang"/>
      </w:pPr>
      <w:r w:rsidRPr="00893779">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032914D1" w14:textId="77777777" w:rsidR="00AB098C" w:rsidRPr="00893779" w:rsidRDefault="00F24CB7">
      <w:pPr>
        <w:sectPr w:rsidR="00AB098C" w:rsidRPr="00893779">
          <w:pgSz w:w="11909" w:h="16834"/>
          <w:pgMar w:top="1134" w:right="1417" w:bottom="1417" w:left="1417" w:header="1134" w:footer="567" w:gutter="0"/>
          <w:cols w:space="720"/>
        </w:sectPr>
      </w:pPr>
      <w:r w:rsidRPr="00893779">
        <w:rPr>
          <w:rStyle w:val="HideTWBExt"/>
        </w:rPr>
        <w:t>&lt;/Amend&gt;</w:t>
      </w:r>
    </w:p>
    <w:p w14:paraId="5A104F8B"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56</w:t>
      </w:r>
      <w:r w:rsidRPr="00893779">
        <w:rPr>
          <w:rStyle w:val="HideTWBExt"/>
        </w:rPr>
        <w:t>&lt;/NumAm&gt;</w:t>
      </w:r>
    </w:p>
    <w:p w14:paraId="3EC87B7D"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56</w:t>
      </w:r>
      <w:r w:rsidRPr="00893779">
        <w:rPr>
          <w:rStyle w:val="HideTWBExt"/>
        </w:rPr>
        <w:t>&lt;/NumAm&gt;</w:t>
      </w:r>
    </w:p>
    <w:p w14:paraId="2C363BC9"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37A04B89" w14:textId="77777777" w:rsidR="00AB098C" w:rsidRPr="00893779" w:rsidRDefault="00F24CB7">
      <w:r w:rsidRPr="00893779">
        <w:rPr>
          <w:rStyle w:val="HideTWBExt"/>
        </w:rPr>
        <w:t>&lt;AuNomDe&gt;</w:t>
      </w:r>
      <w:r w:rsidRPr="00893779">
        <w:rPr>
          <w:rStyle w:val="HideTWBInt"/>
          <w:color w:val="auto"/>
        </w:rPr>
        <w:t>{Verts/ALE}</w:t>
      </w:r>
      <w:r w:rsidRPr="00893779">
        <w:t xml:space="preserve">namens de </w:t>
      </w:r>
      <w:r w:rsidRPr="00893779">
        <w:t>Verts/ALE‑Fractie</w:t>
      </w:r>
      <w:r w:rsidRPr="00893779">
        <w:rPr>
          <w:rStyle w:val="HideTWBExt"/>
        </w:rPr>
        <w:t>&lt;/AuNomDe&gt;</w:t>
      </w:r>
    </w:p>
    <w:p w14:paraId="1B7EA57B" w14:textId="77777777" w:rsidR="00AB098C" w:rsidRPr="00893779" w:rsidRDefault="00F24CB7">
      <w:pPr>
        <w:pStyle w:val="NormalBold"/>
      </w:pPr>
      <w:r w:rsidRPr="00893779">
        <w:rPr>
          <w:rStyle w:val="HideTWBExt"/>
          <w:b w:val="0"/>
        </w:rPr>
        <w:t>&lt;/By&gt;&lt;/RepeatBlock-By&gt;</w:t>
      </w:r>
    </w:p>
    <w:p w14:paraId="649F29F0"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4918B640"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54149BD3" w14:textId="37F21427"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35AAE10B"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77883258"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3F004185" w14:textId="77777777" w:rsidR="00AB098C" w:rsidRPr="00893779" w:rsidRDefault="00F24CB7">
      <w:pPr>
        <w:pStyle w:val="NormalBold"/>
      </w:pPr>
      <w:r w:rsidRPr="00893779">
        <w:rPr>
          <w:rStyle w:val="HideTWBExt"/>
        </w:rPr>
        <w:t>&lt;Article&gt;</w:t>
      </w:r>
      <w:r w:rsidRPr="00893779">
        <w:t>Paragraaf 43 bis (nieuw)</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7A097F21" w14:textId="77777777">
        <w:trPr>
          <w:trHeight w:hRule="exact" w:val="240"/>
          <w:jc w:val="center"/>
        </w:trPr>
        <w:tc>
          <w:tcPr>
            <w:tcW w:w="9752" w:type="dxa"/>
            <w:gridSpan w:val="2"/>
            <w:tcBorders>
              <w:top w:val="nil"/>
              <w:left w:val="nil"/>
              <w:bottom w:val="nil"/>
              <w:right w:val="nil"/>
            </w:tcBorders>
          </w:tcPr>
          <w:p w14:paraId="07DE665C" w14:textId="77777777" w:rsidR="00AB098C" w:rsidRPr="00893779" w:rsidRDefault="00AB098C"/>
        </w:tc>
      </w:tr>
      <w:tr w:rsidR="00C01E18" w:rsidRPr="00893779" w14:paraId="6AA85220" w14:textId="77777777">
        <w:trPr>
          <w:trHeight w:val="240"/>
          <w:jc w:val="center"/>
        </w:trPr>
        <w:tc>
          <w:tcPr>
            <w:tcW w:w="4876" w:type="dxa"/>
            <w:tcBorders>
              <w:top w:val="nil"/>
              <w:left w:val="nil"/>
              <w:bottom w:val="nil"/>
              <w:right w:val="nil"/>
            </w:tcBorders>
          </w:tcPr>
          <w:p w14:paraId="595F1F88"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314978B4" w14:textId="77777777" w:rsidR="00AB098C" w:rsidRPr="00893779" w:rsidRDefault="00F24CB7">
            <w:pPr>
              <w:pStyle w:val="AmColumnHeading"/>
            </w:pPr>
            <w:r w:rsidRPr="00893779">
              <w:t>Amendement</w:t>
            </w:r>
          </w:p>
        </w:tc>
      </w:tr>
      <w:tr w:rsidR="00C01E18" w:rsidRPr="00893779" w14:paraId="540177D3" w14:textId="77777777">
        <w:trPr>
          <w:jc w:val="center"/>
        </w:trPr>
        <w:tc>
          <w:tcPr>
            <w:tcW w:w="4876" w:type="dxa"/>
            <w:tcBorders>
              <w:top w:val="nil"/>
              <w:left w:val="nil"/>
              <w:bottom w:val="nil"/>
              <w:right w:val="nil"/>
            </w:tcBorders>
          </w:tcPr>
          <w:p w14:paraId="5663936E" w14:textId="77777777" w:rsidR="00AB098C" w:rsidRPr="00893779" w:rsidRDefault="00AB098C">
            <w:pPr>
              <w:pStyle w:val="Normal6a"/>
            </w:pPr>
          </w:p>
        </w:tc>
        <w:tc>
          <w:tcPr>
            <w:tcW w:w="4876" w:type="dxa"/>
            <w:tcBorders>
              <w:top w:val="nil"/>
              <w:left w:val="nil"/>
              <w:bottom w:val="nil"/>
              <w:right w:val="nil"/>
            </w:tcBorders>
          </w:tcPr>
          <w:p w14:paraId="451BBBD3" w14:textId="37E9973A" w:rsidR="00AB098C" w:rsidRPr="00893779" w:rsidRDefault="00F24CB7">
            <w:pPr>
              <w:pStyle w:val="Normal6a"/>
            </w:pPr>
            <w:r w:rsidRPr="00893779">
              <w:rPr>
                <w:b/>
                <w:i/>
              </w:rPr>
              <w:t>43 bis.</w:t>
            </w:r>
            <w:r w:rsidRPr="00893779">
              <w:tab/>
            </w:r>
            <w:r w:rsidRPr="00893779">
              <w:rPr>
                <w:b/>
                <w:i/>
              </w:rPr>
              <w:t xml:space="preserve">wijst erop dat op AI gebaseerde desinformatiecampagnes die zich richten tegen </w:t>
            </w:r>
            <w:r w:rsidRPr="00893779">
              <w:rPr>
                <w:b/>
                <w:i/>
              </w:rPr>
              <w:t>EU-instellingen, waaronder gecoördineerde inhoud die bedoeld is om het vertrouwen in fraudebestrijdingsinstanties, de begroting van de Unie en de rechtsstaat te ondermijnen, een rechtstreeks risico vormen voor de financiële belangen van de Unie, doordat zij het draagvlak voor beschermingsmechanismen verkleinen en een middel vormen voor frauduleuze praktijken; verzoekt de Commissie om, in samenwerking met OLAF, het EOM en Europol, te werken aan EU-brede capaciteitsopbouw om op AI gebaseerde desinformatiecamp</w:t>
            </w:r>
            <w:r w:rsidRPr="00893779">
              <w:rPr>
                <w:b/>
                <w:i/>
              </w:rPr>
              <w:t>agnes die zich richten tegen de financiële governance van de Unie op te sporen, te documenteren en tegen te gaan;</w:t>
            </w:r>
          </w:p>
        </w:tc>
      </w:tr>
    </w:tbl>
    <w:p w14:paraId="575EC240" w14:textId="77777777" w:rsidR="00AB098C" w:rsidRPr="00893779" w:rsidRDefault="00F24CB7">
      <w:pPr>
        <w:pStyle w:val="AmOrLang"/>
      </w:pPr>
      <w:r w:rsidRPr="00893779">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694F00F7" w14:textId="77777777" w:rsidR="00AB098C" w:rsidRPr="00893779" w:rsidRDefault="00F24CB7">
      <w:pPr>
        <w:sectPr w:rsidR="00AB098C" w:rsidRPr="00893779">
          <w:pgSz w:w="11909" w:h="16834"/>
          <w:pgMar w:top="1134" w:right="1417" w:bottom="1417" w:left="1417" w:header="1134" w:footer="567" w:gutter="0"/>
          <w:cols w:space="720"/>
        </w:sectPr>
      </w:pPr>
      <w:r w:rsidRPr="00893779">
        <w:rPr>
          <w:rStyle w:val="HideTWBExt"/>
        </w:rPr>
        <w:t>&lt;/Amend&gt;</w:t>
      </w:r>
    </w:p>
    <w:p w14:paraId="16E4FD44"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57</w:t>
      </w:r>
      <w:r w:rsidRPr="00893779">
        <w:rPr>
          <w:rStyle w:val="HideTWBExt"/>
        </w:rPr>
        <w:t>&lt;/NumAm&gt;</w:t>
      </w:r>
    </w:p>
    <w:p w14:paraId="69D4E501"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57</w:t>
      </w:r>
      <w:r w:rsidRPr="00893779">
        <w:rPr>
          <w:rStyle w:val="HideTWBExt"/>
        </w:rPr>
        <w:t>&lt;/NumAm&gt;</w:t>
      </w:r>
    </w:p>
    <w:p w14:paraId="27624642"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002E253A"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0556CDFB" w14:textId="77777777" w:rsidR="00AB098C" w:rsidRPr="00893779" w:rsidRDefault="00F24CB7">
      <w:pPr>
        <w:pStyle w:val="NormalBold"/>
      </w:pPr>
      <w:r w:rsidRPr="00893779">
        <w:rPr>
          <w:rStyle w:val="HideTWBExt"/>
          <w:b w:val="0"/>
        </w:rPr>
        <w:t>&lt;/By&gt;&lt;/RepeatBlock-By&gt;</w:t>
      </w:r>
    </w:p>
    <w:p w14:paraId="6E28DA98"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3056DB36"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0F248029" w14:textId="2567AF97"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06555AB2"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1385222D"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757CE512" w14:textId="77777777" w:rsidR="00AB098C" w:rsidRPr="00893779" w:rsidRDefault="00F24CB7">
      <w:pPr>
        <w:pStyle w:val="NormalBold"/>
      </w:pPr>
      <w:r w:rsidRPr="00893779">
        <w:rPr>
          <w:rStyle w:val="HideTWBExt"/>
        </w:rPr>
        <w:t>&lt;Article&gt;</w:t>
      </w:r>
      <w:r w:rsidRPr="00893779">
        <w:t>Paragraaf 53</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1369C1C6" w14:textId="77777777">
        <w:trPr>
          <w:trHeight w:hRule="exact" w:val="240"/>
          <w:jc w:val="center"/>
        </w:trPr>
        <w:tc>
          <w:tcPr>
            <w:tcW w:w="9752" w:type="dxa"/>
            <w:gridSpan w:val="2"/>
            <w:tcBorders>
              <w:top w:val="nil"/>
              <w:left w:val="nil"/>
              <w:bottom w:val="nil"/>
              <w:right w:val="nil"/>
            </w:tcBorders>
          </w:tcPr>
          <w:p w14:paraId="536CE3BE" w14:textId="77777777" w:rsidR="00AB098C" w:rsidRPr="00893779" w:rsidRDefault="00AB098C"/>
        </w:tc>
      </w:tr>
      <w:tr w:rsidR="00C01E18" w:rsidRPr="00893779" w14:paraId="35E7FF05" w14:textId="77777777">
        <w:trPr>
          <w:trHeight w:val="240"/>
          <w:jc w:val="center"/>
        </w:trPr>
        <w:tc>
          <w:tcPr>
            <w:tcW w:w="4876" w:type="dxa"/>
            <w:tcBorders>
              <w:top w:val="nil"/>
              <w:left w:val="nil"/>
              <w:bottom w:val="nil"/>
              <w:right w:val="nil"/>
            </w:tcBorders>
          </w:tcPr>
          <w:p w14:paraId="5B3B82EC"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151A8834" w14:textId="77777777" w:rsidR="00AB098C" w:rsidRPr="00893779" w:rsidRDefault="00F24CB7">
            <w:pPr>
              <w:pStyle w:val="AmColumnHeading"/>
            </w:pPr>
            <w:r w:rsidRPr="00893779">
              <w:t>Amendement</w:t>
            </w:r>
          </w:p>
        </w:tc>
      </w:tr>
      <w:tr w:rsidR="00C01E18" w:rsidRPr="00893779" w14:paraId="143B3E26" w14:textId="77777777">
        <w:trPr>
          <w:jc w:val="center"/>
        </w:trPr>
        <w:tc>
          <w:tcPr>
            <w:tcW w:w="4876" w:type="dxa"/>
            <w:tcBorders>
              <w:top w:val="nil"/>
              <w:left w:val="nil"/>
              <w:bottom w:val="nil"/>
              <w:right w:val="nil"/>
            </w:tcBorders>
          </w:tcPr>
          <w:p w14:paraId="202F2B46" w14:textId="77777777" w:rsidR="00AB098C" w:rsidRPr="00893779" w:rsidRDefault="00F24CB7">
            <w:pPr>
              <w:pStyle w:val="Normal6a"/>
            </w:pPr>
            <w:r w:rsidRPr="00893779">
              <w:t>53.</w:t>
            </w:r>
            <w:r w:rsidRPr="00893779">
              <w:tab/>
              <w:t xml:space="preserve">herinnert eraan dat het bij de conditionaliteitsverordening ingestelde mechanisme in verband met begrotingsvoorwaarden een wettelijk gereguleerd instrument is om risico’s voor de begroting van de EU te voorkomen; </w:t>
            </w:r>
            <w:r w:rsidRPr="00893779">
              <w:rPr>
                <w:b/>
                <w:i/>
              </w:rPr>
              <w:t xml:space="preserve">merkt op dat de </w:t>
            </w:r>
            <w:r w:rsidRPr="00893779">
              <w:rPr>
                <w:b/>
                <w:i/>
              </w:rPr>
              <w:t>toepassing ervan echter alleen gerechtvaardigd is wanneer er een direct, echt en aantoonbaar verband bestaat tussen de vastgestelde tekortkomingen en de schade aan</w:t>
            </w:r>
            <w:r w:rsidRPr="00893779">
              <w:t xml:space="preserve"> de financiële belangen van de </w:t>
            </w:r>
            <w:r w:rsidRPr="00893779">
              <w:rPr>
                <w:b/>
                <w:i/>
              </w:rPr>
              <w:t>EU</w:t>
            </w:r>
            <w:r w:rsidRPr="00893779">
              <w:t>;</w:t>
            </w:r>
            <w:r w:rsidRPr="00893779">
              <w:rPr>
                <w:b/>
                <w:i/>
              </w:rPr>
              <w:t xml:space="preserve"> uit zijn bezorgdheid over het feit dat een </w:t>
            </w:r>
            <w:r w:rsidRPr="00893779">
              <w:rPr>
                <w:b/>
                <w:i/>
              </w:rPr>
              <w:t>uitbreiding van het toepassingsgebied ervan buiten deze begrotingsdoelstelling zou indruisen tegen de geest van de Verdragen en het evenredigheidsbeginsel</w:t>
            </w:r>
            <w:r w:rsidRPr="00893779">
              <w:t xml:space="preserve">; herinnert eraan dat de legitimiteit van dit mechanisme gebaseerd is op een </w:t>
            </w:r>
            <w:r w:rsidRPr="00893779">
              <w:rPr>
                <w:b/>
                <w:i/>
              </w:rPr>
              <w:t>strikt</w:t>
            </w:r>
            <w:r w:rsidRPr="00893779">
              <w:t xml:space="preserve"> objectieve toepassing, </w:t>
            </w:r>
            <w:r w:rsidRPr="00893779">
              <w:rPr>
                <w:b/>
                <w:i/>
              </w:rPr>
              <w:t>vrij van politieke overwegingen, en met inachtneming van de gelijke behandeling van de lidstaten; merkt op dat de uitvoering ervan praktische en operationele uitdagingen met zich meebrengt, zoals in Speciaal verslag 03/2024 over de rechtsstaat in de E</w:t>
            </w:r>
            <w:r w:rsidRPr="00893779">
              <w:rPr>
                <w:b/>
                <w:i/>
              </w:rPr>
              <w:t>U van de ERK wordt benadrukt</w:t>
            </w:r>
            <w:r w:rsidRPr="00893779">
              <w:t xml:space="preserve">; verzoekt de Commissie </w:t>
            </w:r>
            <w:r w:rsidRPr="00893779">
              <w:rPr>
                <w:b/>
                <w:i/>
              </w:rPr>
              <w:t>het mechanisme op consistente en transparante wijze</w:t>
            </w:r>
            <w:r w:rsidRPr="00893779">
              <w:t xml:space="preserve"> toe te passen </w:t>
            </w:r>
            <w:r w:rsidRPr="00893779">
              <w:rPr>
                <w:b/>
                <w:i/>
              </w:rPr>
              <w:t>op basis van objectief bewijs</w:t>
            </w:r>
            <w:r w:rsidRPr="00893779">
              <w:t>;</w:t>
            </w:r>
          </w:p>
        </w:tc>
        <w:tc>
          <w:tcPr>
            <w:tcW w:w="4876" w:type="dxa"/>
            <w:tcBorders>
              <w:top w:val="nil"/>
              <w:left w:val="nil"/>
              <w:bottom w:val="nil"/>
              <w:right w:val="nil"/>
            </w:tcBorders>
          </w:tcPr>
          <w:p w14:paraId="4C9BE8B5" w14:textId="33A03B6B" w:rsidR="00AB098C" w:rsidRPr="00893779" w:rsidRDefault="00F24CB7">
            <w:pPr>
              <w:pStyle w:val="Normal6a"/>
            </w:pPr>
            <w:r w:rsidRPr="00893779">
              <w:t>53.</w:t>
            </w:r>
            <w:r w:rsidRPr="00893779">
              <w:tab/>
              <w:t xml:space="preserve">herinnert eraan dat het bij de conditionaliteitsverordening ingestelde mechanisme in verband met begrotingsvoorwaarden een wettelijk gereguleerd instrument is om risico’s voor de begroting van de EU te voorkomen; </w:t>
            </w:r>
            <w:r w:rsidRPr="00893779">
              <w:rPr>
                <w:b/>
                <w:i/>
              </w:rPr>
              <w:t>herinnert eraan dat de conditionaliteitsverordening een begrotingswaarborg is die de Uniebegroting moet beschermen tegen schendingen van de beginselen van de rechtsstaat die gevolgen hebben of dreigen te hebben voor het goed financieel beheer van de Uniebegroting of de bescherming van</w:t>
            </w:r>
            <w:r w:rsidRPr="00893779">
              <w:t xml:space="preserve"> de financiël</w:t>
            </w:r>
            <w:r w:rsidRPr="00893779">
              <w:t xml:space="preserve">e belangen van de </w:t>
            </w:r>
            <w:r w:rsidRPr="00893779">
              <w:rPr>
                <w:b/>
                <w:i/>
              </w:rPr>
              <w:t>Unie</w:t>
            </w:r>
            <w:r w:rsidRPr="00893779">
              <w:t>;</w:t>
            </w:r>
            <w:r w:rsidRPr="00893779">
              <w:rPr>
                <w:b/>
                <w:i/>
              </w:rPr>
              <w:t xml:space="preserve"> herinnert eraan dat het Hof van Justitie in de zaken C-156/21 en C-157/21 de wettigheid van de conditionaliteitsverordening heeft bevestigd, evenals het brede toepassingsgebied ervan bij de bescherming van de Uniebegroting tegen schendingen van de rechtsstaat</w:t>
            </w:r>
            <w:r w:rsidRPr="00893779">
              <w:t xml:space="preserve">; herinnert eraan dat de legitimiteit van dit mechanisme gebaseerd is op een objectieve toepassing, </w:t>
            </w:r>
            <w:r w:rsidRPr="00893779">
              <w:rPr>
                <w:b/>
                <w:i/>
              </w:rPr>
              <w:t>zonder dubbele maatstaven; benadrukt dat systemische tekortkomingen met betrekking tot de onafhankelijkheid van de rechterlijke m</w:t>
            </w:r>
            <w:r w:rsidRPr="00893779">
              <w:rPr>
                <w:b/>
                <w:i/>
              </w:rPr>
              <w:t xml:space="preserve">acht, de kaders voor corruptiebestrijding en de vervolgingscapaciteit een dergelijk </w:t>
            </w:r>
            <w:r w:rsidRPr="00893779">
              <w:rPr>
                <w:b/>
                <w:i/>
              </w:rPr>
              <w:lastRenderedPageBreak/>
              <w:t>risico kunnen vormen, zelfs al voordat er een direct, specifiek en concreet financieel verlies is vastgesteld</w:t>
            </w:r>
            <w:r w:rsidRPr="00893779">
              <w:t xml:space="preserve">; verzoekt de Commissie </w:t>
            </w:r>
            <w:r w:rsidRPr="00893779">
              <w:rPr>
                <w:b/>
                <w:i/>
              </w:rPr>
              <w:t>om de conditionaliteitsverordening tijdig en consequent</w:t>
            </w:r>
            <w:r w:rsidRPr="00893779">
              <w:t xml:space="preserve"> toe te passen </w:t>
            </w:r>
            <w:r w:rsidRPr="00893779">
              <w:rPr>
                <w:b/>
                <w:i/>
              </w:rPr>
              <w:t>telkens wanneer een dergelijke situatie zich voordoet en het Parlement jaarlijks een verslag te doen toekomen over haar beoordeling van de risico’s voor de Uniebegroting in elke lidstaat</w:t>
            </w:r>
            <w:r w:rsidRPr="00893779">
              <w:t>;</w:t>
            </w:r>
          </w:p>
        </w:tc>
      </w:tr>
    </w:tbl>
    <w:p w14:paraId="3FCBFBD7" w14:textId="77777777" w:rsidR="00AB098C" w:rsidRPr="00893779" w:rsidRDefault="00F24CB7">
      <w:pPr>
        <w:pStyle w:val="AmOrLang"/>
      </w:pPr>
      <w:r w:rsidRPr="00893779">
        <w:lastRenderedPageBreak/>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0F893E40" w14:textId="77777777" w:rsidR="00AB098C" w:rsidRPr="00893779" w:rsidRDefault="00F24CB7">
      <w:pPr>
        <w:sectPr w:rsidR="00AB098C" w:rsidRPr="00893779">
          <w:pgSz w:w="11909" w:h="16834"/>
          <w:pgMar w:top="1134" w:right="1417" w:bottom="1417" w:left="1417" w:header="1134" w:footer="567" w:gutter="0"/>
          <w:cols w:space="720"/>
        </w:sectPr>
      </w:pPr>
      <w:r w:rsidRPr="00893779">
        <w:rPr>
          <w:rStyle w:val="HideTWBExt"/>
        </w:rPr>
        <w:t>&lt;/Amend&gt;</w:t>
      </w:r>
    </w:p>
    <w:p w14:paraId="1F25DA3E"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58</w:t>
      </w:r>
      <w:r w:rsidRPr="00893779">
        <w:rPr>
          <w:rStyle w:val="HideTWBExt"/>
        </w:rPr>
        <w:t>&lt;/NumAm&gt;</w:t>
      </w:r>
    </w:p>
    <w:p w14:paraId="0A3250D2"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58</w:t>
      </w:r>
      <w:r w:rsidRPr="00893779">
        <w:rPr>
          <w:rStyle w:val="HideTWBExt"/>
        </w:rPr>
        <w:t>&lt;/NumAm&gt;</w:t>
      </w:r>
    </w:p>
    <w:p w14:paraId="47534907"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612568FC"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73396469" w14:textId="77777777" w:rsidR="00AB098C" w:rsidRPr="00893779" w:rsidRDefault="00F24CB7">
      <w:pPr>
        <w:pStyle w:val="NormalBold"/>
      </w:pPr>
      <w:r w:rsidRPr="00893779">
        <w:rPr>
          <w:rStyle w:val="HideTWBExt"/>
          <w:b w:val="0"/>
        </w:rPr>
        <w:t>&lt;/By&gt;&lt;/RepeatBlock-By&gt;</w:t>
      </w:r>
    </w:p>
    <w:p w14:paraId="7BCDFA51"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2808DE1A"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773D5BD7" w14:textId="17532782"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07F9437D"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009ED9F9"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691CC47A" w14:textId="77777777" w:rsidR="00AB098C" w:rsidRPr="00893779" w:rsidRDefault="00F24CB7">
      <w:pPr>
        <w:pStyle w:val="NormalBold"/>
      </w:pPr>
      <w:r w:rsidRPr="00893779">
        <w:rPr>
          <w:rStyle w:val="HideTWBExt"/>
        </w:rPr>
        <w:t>&lt;Article&gt;</w:t>
      </w:r>
      <w:r w:rsidRPr="00893779">
        <w:t>Paragraaf 54</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15DD72D8" w14:textId="77777777">
        <w:trPr>
          <w:trHeight w:hRule="exact" w:val="240"/>
          <w:jc w:val="center"/>
        </w:trPr>
        <w:tc>
          <w:tcPr>
            <w:tcW w:w="9752" w:type="dxa"/>
            <w:gridSpan w:val="2"/>
            <w:tcBorders>
              <w:top w:val="nil"/>
              <w:left w:val="nil"/>
              <w:bottom w:val="nil"/>
              <w:right w:val="nil"/>
            </w:tcBorders>
          </w:tcPr>
          <w:p w14:paraId="0FAA5DCE" w14:textId="77777777" w:rsidR="00AB098C" w:rsidRPr="00893779" w:rsidRDefault="00AB098C"/>
        </w:tc>
      </w:tr>
      <w:tr w:rsidR="00C01E18" w:rsidRPr="00893779" w14:paraId="4160E3E8" w14:textId="77777777">
        <w:trPr>
          <w:trHeight w:val="240"/>
          <w:jc w:val="center"/>
        </w:trPr>
        <w:tc>
          <w:tcPr>
            <w:tcW w:w="4876" w:type="dxa"/>
            <w:tcBorders>
              <w:top w:val="nil"/>
              <w:left w:val="nil"/>
              <w:bottom w:val="nil"/>
              <w:right w:val="nil"/>
            </w:tcBorders>
          </w:tcPr>
          <w:p w14:paraId="6B8B7520"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6019305A" w14:textId="77777777" w:rsidR="00AB098C" w:rsidRPr="00893779" w:rsidRDefault="00F24CB7">
            <w:pPr>
              <w:pStyle w:val="AmColumnHeading"/>
            </w:pPr>
            <w:r w:rsidRPr="00893779">
              <w:t>Amendement</w:t>
            </w:r>
          </w:p>
        </w:tc>
      </w:tr>
      <w:tr w:rsidR="00C01E18" w:rsidRPr="00893779" w14:paraId="53F1F3C2" w14:textId="77777777">
        <w:trPr>
          <w:jc w:val="center"/>
        </w:trPr>
        <w:tc>
          <w:tcPr>
            <w:tcW w:w="4876" w:type="dxa"/>
            <w:tcBorders>
              <w:top w:val="nil"/>
              <w:left w:val="nil"/>
              <w:bottom w:val="nil"/>
              <w:right w:val="nil"/>
            </w:tcBorders>
          </w:tcPr>
          <w:p w14:paraId="3D1414BF" w14:textId="05D52C3B" w:rsidR="00AB098C" w:rsidRPr="00893779" w:rsidRDefault="00F24CB7">
            <w:pPr>
              <w:pStyle w:val="Normal6a"/>
            </w:pPr>
            <w:r w:rsidRPr="00893779">
              <w:t>54.</w:t>
            </w:r>
            <w:r w:rsidRPr="00893779">
              <w:tab/>
            </w:r>
            <w:r w:rsidRPr="00893779">
              <w:rPr>
                <w:b/>
                <w:i/>
              </w:rPr>
              <w:t>is van oordeel dat het vertrouwen</w:t>
            </w:r>
            <w:r w:rsidRPr="00893779">
              <w:t xml:space="preserve"> van de </w:t>
            </w:r>
            <w:r w:rsidRPr="00893779">
              <w:rPr>
                <w:b/>
                <w:i/>
              </w:rPr>
              <w:t>burgers staat of valt met de integriteit en reputatie</w:t>
            </w:r>
            <w:r w:rsidRPr="00893779">
              <w:t xml:space="preserve"> van </w:t>
            </w:r>
            <w:r w:rsidRPr="00893779">
              <w:rPr>
                <w:b/>
                <w:i/>
              </w:rPr>
              <w:t>de instellingen</w:t>
            </w:r>
            <w:r w:rsidRPr="00893779">
              <w:t xml:space="preserve">, </w:t>
            </w:r>
            <w:r w:rsidRPr="00893779">
              <w:rPr>
                <w:b/>
                <w:i/>
              </w:rPr>
              <w:t>organen of instanties van de EU</w:t>
            </w:r>
            <w:r w:rsidRPr="00893779">
              <w:t>;</w:t>
            </w:r>
            <w:r w:rsidRPr="00893779">
              <w:rPr>
                <w:b/>
                <w:i/>
              </w:rPr>
              <w:t xml:space="preserve"> is van mening</w:t>
            </w:r>
            <w:r w:rsidRPr="00893779">
              <w:t xml:space="preserve"> dat </w:t>
            </w:r>
            <w:r w:rsidRPr="00893779">
              <w:rPr>
                <w:b/>
                <w:i/>
              </w:rPr>
              <w:t xml:space="preserve">verantwoordingsplicht bij het gebruik van </w:t>
            </w:r>
            <w:r w:rsidRPr="00893779">
              <w:rPr>
                <w:b/>
                <w:i/>
              </w:rPr>
              <w:t>EU-begrotingsmiddelen van cruciaal belang is voor</w:t>
            </w:r>
            <w:r w:rsidRPr="00893779">
              <w:t xml:space="preserve"> de </w:t>
            </w:r>
            <w:r w:rsidRPr="00893779">
              <w:rPr>
                <w:b/>
                <w:i/>
              </w:rPr>
              <w:t>democratische legitimiteit</w:t>
            </w:r>
            <w:r w:rsidRPr="00893779">
              <w:t xml:space="preserve">, en </w:t>
            </w:r>
            <w:r w:rsidRPr="00893779">
              <w:rPr>
                <w:b/>
                <w:i/>
              </w:rPr>
              <w:t>dat ter waarborging</w:t>
            </w:r>
            <w:r w:rsidRPr="00893779">
              <w:t xml:space="preserve"> van </w:t>
            </w:r>
            <w:r w:rsidRPr="00893779">
              <w:rPr>
                <w:b/>
                <w:i/>
              </w:rPr>
              <w:t>goed financieel beheer</w:t>
            </w:r>
            <w:r w:rsidRPr="00893779">
              <w:t xml:space="preserve"> en </w:t>
            </w:r>
            <w:r w:rsidRPr="00893779">
              <w:rPr>
                <w:b/>
                <w:i/>
              </w:rPr>
              <w:t>doeltreffende controles op overheidsmiddelen de vereisten in verband</w:t>
            </w:r>
            <w:r w:rsidRPr="00893779">
              <w:t xml:space="preserve"> met </w:t>
            </w:r>
            <w:r w:rsidRPr="00893779">
              <w:rPr>
                <w:b/>
                <w:i/>
              </w:rPr>
              <w:t>transparantie en</w:t>
            </w:r>
            <w:r w:rsidRPr="00893779">
              <w:t xml:space="preserve"> de </w:t>
            </w:r>
            <w:r w:rsidRPr="00893779">
              <w:rPr>
                <w:b/>
                <w:i/>
              </w:rPr>
              <w:t>bescherming</w:t>
            </w:r>
            <w:r w:rsidRPr="00893779">
              <w:t xml:space="preserve"> van de </w:t>
            </w:r>
            <w:r w:rsidRPr="00893779">
              <w:rPr>
                <w:b/>
                <w:i/>
              </w:rPr>
              <w:t>financiële belangen</w:t>
            </w:r>
            <w:r w:rsidRPr="00893779">
              <w:t xml:space="preserve"> van de EU </w:t>
            </w:r>
            <w:r w:rsidRPr="00893779">
              <w:rPr>
                <w:b/>
                <w:i/>
              </w:rPr>
              <w:t>gelijkelijk van toepassing moeten zijn op elke begunstigde en zonder uitzondering in elke EU-instelling</w:t>
            </w:r>
            <w:r w:rsidRPr="00893779">
              <w:t xml:space="preserve">, </w:t>
            </w:r>
            <w:r w:rsidRPr="00893779">
              <w:rPr>
                <w:b/>
                <w:i/>
              </w:rPr>
              <w:t>waaronder</w:t>
            </w:r>
            <w:r w:rsidRPr="00893779">
              <w:t xml:space="preserve"> het Parlement;</w:t>
            </w:r>
          </w:p>
        </w:tc>
        <w:tc>
          <w:tcPr>
            <w:tcW w:w="4876" w:type="dxa"/>
            <w:tcBorders>
              <w:top w:val="nil"/>
              <w:left w:val="nil"/>
              <w:bottom w:val="nil"/>
              <w:right w:val="nil"/>
            </w:tcBorders>
          </w:tcPr>
          <w:p w14:paraId="466CB895" w14:textId="76591249" w:rsidR="00AB098C" w:rsidRPr="00893779" w:rsidRDefault="00F24CB7">
            <w:pPr>
              <w:pStyle w:val="Normal6a"/>
            </w:pPr>
            <w:r w:rsidRPr="00893779">
              <w:t>54.</w:t>
            </w:r>
            <w:r w:rsidRPr="00893779">
              <w:tab/>
            </w:r>
            <w:r w:rsidRPr="00893779">
              <w:rPr>
                <w:b/>
                <w:i/>
              </w:rPr>
              <w:t>herinnert eraan dat de verplichting om de financiële belangen</w:t>
            </w:r>
            <w:r w:rsidRPr="00893779">
              <w:t xml:space="preserve"> van de </w:t>
            </w:r>
            <w:r w:rsidRPr="00893779">
              <w:rPr>
                <w:b/>
                <w:i/>
              </w:rPr>
              <w:t>Unie te beschermen in gelijke mate geldt voor alle begunstigden</w:t>
            </w:r>
            <w:r w:rsidRPr="00893779">
              <w:t xml:space="preserve"> van </w:t>
            </w:r>
            <w:r w:rsidRPr="00893779">
              <w:rPr>
                <w:b/>
                <w:i/>
              </w:rPr>
              <w:t>Uniemiddelen</w:t>
            </w:r>
            <w:r w:rsidRPr="00893779">
              <w:t xml:space="preserve">, </w:t>
            </w:r>
            <w:r w:rsidRPr="00893779">
              <w:rPr>
                <w:b/>
                <w:i/>
              </w:rPr>
              <w:t>dus ook voor politieke fracties binnen het Europees Parlement</w:t>
            </w:r>
            <w:r w:rsidRPr="00893779">
              <w:t>;</w:t>
            </w:r>
            <w:r w:rsidRPr="00893779">
              <w:rPr>
                <w:b/>
                <w:i/>
              </w:rPr>
              <w:t xml:space="preserve"> merkt op</w:t>
            </w:r>
            <w:r w:rsidRPr="00893779">
              <w:t xml:space="preserve"> dat </w:t>
            </w:r>
            <w:r w:rsidRPr="00893779">
              <w:rPr>
                <w:b/>
                <w:i/>
              </w:rPr>
              <w:t>de recente onderzoeken en terugvorderingsmaatregelen in verband met vermeend misbruik van Uniemiddelen door</w:t>
            </w:r>
            <w:r w:rsidRPr="00893779">
              <w:t xml:space="preserve"> de </w:t>
            </w:r>
            <w:r w:rsidRPr="00893779">
              <w:rPr>
                <w:b/>
                <w:i/>
              </w:rPr>
              <w:t>voormalige Fractie Identiteit en Democratie laten zien hoe belangrijk robuuste interne controles</w:t>
            </w:r>
            <w:r w:rsidRPr="00893779">
              <w:t xml:space="preserve">, </w:t>
            </w:r>
            <w:r w:rsidRPr="00893779">
              <w:rPr>
                <w:b/>
                <w:i/>
              </w:rPr>
              <w:t>doeltreffende verificatie achteraf</w:t>
            </w:r>
            <w:r w:rsidRPr="00893779">
              <w:t xml:space="preserve"> en </w:t>
            </w:r>
            <w:r w:rsidRPr="00893779">
              <w:rPr>
                <w:b/>
                <w:i/>
              </w:rPr>
              <w:t>mechanismen voor snelle terugvorderin</w:t>
            </w:r>
            <w:r w:rsidRPr="00893779">
              <w:rPr>
                <w:b/>
                <w:i/>
              </w:rPr>
              <w:t>g zijn;</w:t>
            </w:r>
            <w:r w:rsidRPr="00893779">
              <w:t xml:space="preserve"> </w:t>
            </w:r>
            <w:r w:rsidRPr="00893779">
              <w:rPr>
                <w:b/>
                <w:i/>
              </w:rPr>
              <w:t>verzoekt de administratie van het Parlement alle lopende terugvorderingsprocedures zo snel mogelijk af te ronden en alle bewijzen van onregelmatige uitgaven aan OLAF en het EOM te doen toekomen; benadrukt dat het met het oog op de geloofwaardigheid van de fraudebestrijdingsarchitectuur van de EU zeer belangrijk is dat de fraudebestrijdingsregels consequent worden toegepast ten aanzien van alle begunstigden, ook binnen het Parlement zelf;</w:t>
            </w:r>
          </w:p>
        </w:tc>
      </w:tr>
    </w:tbl>
    <w:p w14:paraId="04214C32" w14:textId="77777777" w:rsidR="00AB098C" w:rsidRPr="00893779" w:rsidRDefault="00F24CB7">
      <w:pPr>
        <w:pStyle w:val="AmOrLang"/>
      </w:pPr>
      <w:r w:rsidRPr="00893779">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0C74D12A" w14:textId="77777777" w:rsidR="00AB098C" w:rsidRPr="00893779" w:rsidRDefault="00F24CB7">
      <w:pPr>
        <w:sectPr w:rsidR="00AB098C" w:rsidRPr="00893779">
          <w:pgSz w:w="11909" w:h="16834"/>
          <w:pgMar w:top="1134" w:right="1417" w:bottom="1417" w:left="1417" w:header="1134" w:footer="567" w:gutter="0"/>
          <w:cols w:space="720"/>
        </w:sectPr>
      </w:pPr>
      <w:r w:rsidRPr="00893779">
        <w:rPr>
          <w:rStyle w:val="HideTWBExt"/>
        </w:rPr>
        <w:t>&lt;/Amend&gt;</w:t>
      </w:r>
    </w:p>
    <w:p w14:paraId="7888F82B" w14:textId="77777777" w:rsidR="00AB098C" w:rsidRPr="00893779" w:rsidRDefault="00F24CB7">
      <w:pPr>
        <w:pStyle w:val="AmDateTab"/>
      </w:pPr>
      <w:r w:rsidRPr="00893779">
        <w:rPr>
          <w:rStyle w:val="HideTWBExt"/>
        </w:rPr>
        <w:lastRenderedPageBreak/>
        <w:t>&lt;Amend&gt;&lt;Date&gt;</w:t>
      </w:r>
      <w:r w:rsidRPr="00893779">
        <w:rPr>
          <w:rStyle w:val="HideTWBInt"/>
          <w:color w:val="auto"/>
        </w:rPr>
        <w:t>{22/04/2026}</w:t>
      </w:r>
      <w:r w:rsidRPr="00893779">
        <w:t>22.4.2026</w:t>
      </w:r>
      <w:r w:rsidRPr="00893779">
        <w:rPr>
          <w:rStyle w:val="HideTWBExt"/>
        </w:rPr>
        <w:t>&lt;/Date&gt;</w:t>
      </w:r>
      <w:r w:rsidRPr="00893779">
        <w:tab/>
      </w:r>
      <w:r w:rsidRPr="00893779">
        <w:rPr>
          <w:rStyle w:val="HideTWBExt"/>
        </w:rPr>
        <w:t>&lt;ANo&gt;</w:t>
      </w:r>
      <w:r w:rsidRPr="00893779">
        <w:t>A10-0080</w:t>
      </w:r>
      <w:r w:rsidRPr="00893779">
        <w:rPr>
          <w:rStyle w:val="HideTWBExt"/>
        </w:rPr>
        <w:t>&lt;/ANo&gt;</w:t>
      </w:r>
      <w:r w:rsidRPr="00893779">
        <w:t>/</w:t>
      </w:r>
      <w:r w:rsidRPr="00893779">
        <w:rPr>
          <w:rStyle w:val="HideTWBExt"/>
        </w:rPr>
        <w:t>&lt;NumAm&gt;</w:t>
      </w:r>
      <w:r w:rsidRPr="00893779">
        <w:t>59</w:t>
      </w:r>
      <w:r w:rsidRPr="00893779">
        <w:rPr>
          <w:rStyle w:val="HideTWBExt"/>
        </w:rPr>
        <w:t>&lt;/NumAm&gt;</w:t>
      </w:r>
    </w:p>
    <w:p w14:paraId="39A58780" w14:textId="77777777" w:rsidR="00AB098C" w:rsidRPr="00893779" w:rsidRDefault="00F24CB7">
      <w:pPr>
        <w:pStyle w:val="AmNumberTabs"/>
      </w:pPr>
      <w:r w:rsidRPr="00893779">
        <w:t>Amendement</w:t>
      </w:r>
      <w:r w:rsidRPr="00893779">
        <w:tab/>
      </w:r>
      <w:r w:rsidRPr="00893779">
        <w:tab/>
      </w:r>
      <w:r w:rsidRPr="00893779">
        <w:rPr>
          <w:rStyle w:val="HideTWBExt"/>
        </w:rPr>
        <w:t>&lt;NumAm&gt;</w:t>
      </w:r>
      <w:r w:rsidRPr="00893779">
        <w:t>59</w:t>
      </w:r>
      <w:r w:rsidRPr="00893779">
        <w:rPr>
          <w:rStyle w:val="HideTWBExt"/>
        </w:rPr>
        <w:t>&lt;/NumAm&gt;</w:t>
      </w:r>
    </w:p>
    <w:p w14:paraId="1E4C1956" w14:textId="77777777" w:rsidR="00AB098C" w:rsidRPr="00893779" w:rsidRDefault="00F24CB7">
      <w:pPr>
        <w:pStyle w:val="NormalBold"/>
      </w:pPr>
      <w:r w:rsidRPr="00893779">
        <w:rPr>
          <w:rStyle w:val="HideTWBExt"/>
          <w:b w:val="0"/>
        </w:rPr>
        <w:t>&lt;RepeatBlock-By&gt;&lt;By&gt;&lt;Members&gt;</w:t>
      </w:r>
      <w:r w:rsidRPr="00893779">
        <w:t>Daniel Freund</w:t>
      </w:r>
      <w:r w:rsidRPr="00893779">
        <w:rPr>
          <w:rStyle w:val="HideTWBExt"/>
          <w:b w:val="0"/>
        </w:rPr>
        <w:t>&lt;/Members&gt;</w:t>
      </w:r>
    </w:p>
    <w:p w14:paraId="6874B7EE" w14:textId="77777777" w:rsidR="00AB098C" w:rsidRPr="00893779" w:rsidRDefault="00F24CB7">
      <w:r w:rsidRPr="00893779">
        <w:rPr>
          <w:rStyle w:val="HideTWBExt"/>
        </w:rPr>
        <w:t>&lt;AuNomDe&gt;</w:t>
      </w:r>
      <w:r w:rsidRPr="00893779">
        <w:rPr>
          <w:rStyle w:val="HideTWBInt"/>
          <w:color w:val="auto"/>
        </w:rPr>
        <w:t>{Verts/ALE}</w:t>
      </w:r>
      <w:r w:rsidRPr="00893779">
        <w:t>namens de Verts/ALE‑Fractie</w:t>
      </w:r>
      <w:r w:rsidRPr="00893779">
        <w:rPr>
          <w:rStyle w:val="HideTWBExt"/>
        </w:rPr>
        <w:t>&lt;/AuNomDe&gt;</w:t>
      </w:r>
    </w:p>
    <w:p w14:paraId="60C10E6F" w14:textId="77777777" w:rsidR="00AB098C" w:rsidRPr="00893779" w:rsidRDefault="00F24CB7">
      <w:pPr>
        <w:pStyle w:val="NormalBold"/>
      </w:pPr>
      <w:r w:rsidRPr="00893779">
        <w:rPr>
          <w:rStyle w:val="HideTWBExt"/>
          <w:b w:val="0"/>
        </w:rPr>
        <w:t>&lt;/By&gt;&lt;/RepeatBlock-By&gt;</w:t>
      </w:r>
    </w:p>
    <w:p w14:paraId="6953A485" w14:textId="77777777" w:rsidR="00AB098C" w:rsidRPr="00893779" w:rsidRDefault="00F24CB7">
      <w:pPr>
        <w:pStyle w:val="AmDocTypeTab"/>
      </w:pPr>
      <w:r w:rsidRPr="00893779">
        <w:rPr>
          <w:rStyle w:val="HideTWBExt"/>
        </w:rPr>
        <w:t>&lt;TitreType&gt;</w:t>
      </w:r>
      <w:r w:rsidRPr="00893779">
        <w:t>Verslag</w:t>
      </w:r>
      <w:r w:rsidRPr="00893779">
        <w:rPr>
          <w:rStyle w:val="HideTWBExt"/>
        </w:rPr>
        <w:t>&lt;/TitreType&gt;</w:t>
      </w:r>
      <w:r w:rsidRPr="00893779">
        <w:tab/>
        <w:t>A10-0080/2026</w:t>
      </w:r>
    </w:p>
    <w:p w14:paraId="48DB673F" w14:textId="77777777" w:rsidR="00AB098C" w:rsidRPr="00893779" w:rsidRDefault="00F24CB7">
      <w:pPr>
        <w:pStyle w:val="NormalBold"/>
      </w:pPr>
      <w:r w:rsidRPr="00893779">
        <w:rPr>
          <w:rStyle w:val="HideTWBExt"/>
        </w:rPr>
        <w:t>&lt;Rapporteur&gt;</w:t>
      </w:r>
      <w:r w:rsidRPr="00893779">
        <w:t>Julien Sanchez</w:t>
      </w:r>
      <w:r w:rsidRPr="00893779">
        <w:rPr>
          <w:rStyle w:val="HideTWBExt"/>
        </w:rPr>
        <w:t>&lt;/Rapporteur&gt;</w:t>
      </w:r>
    </w:p>
    <w:p w14:paraId="2414A911" w14:textId="193E84CA" w:rsidR="00AB098C" w:rsidRPr="00893779" w:rsidRDefault="00F24CB7">
      <w:r w:rsidRPr="00893779">
        <w:rPr>
          <w:rStyle w:val="HideTWBExt"/>
        </w:rPr>
        <w:t>&lt;Titre&gt;</w:t>
      </w:r>
      <w:r w:rsidRPr="00893779">
        <w:t>Bescherming van de financiële belangen van de Europese Unie – fraudebestrijding – jaarverslag 2024</w:t>
      </w:r>
      <w:r w:rsidRPr="00893779">
        <w:rPr>
          <w:rStyle w:val="HideTWBExt"/>
        </w:rPr>
        <w:t>&lt;/Titre&gt;</w:t>
      </w:r>
    </w:p>
    <w:p w14:paraId="47A6A819" w14:textId="77777777" w:rsidR="00AB098C" w:rsidRPr="00893779" w:rsidRDefault="00F24CB7">
      <w:pPr>
        <w:pStyle w:val="Normal12a"/>
      </w:pPr>
      <w:r w:rsidRPr="00893779">
        <w:rPr>
          <w:rStyle w:val="HideTWBExt"/>
        </w:rPr>
        <w:t>&lt;DocRef&gt;</w:t>
      </w:r>
      <w:r w:rsidRPr="00893779">
        <w:t>(2025/2238(INI))</w:t>
      </w:r>
      <w:r w:rsidRPr="00893779">
        <w:rPr>
          <w:rStyle w:val="HideTWBExt"/>
        </w:rPr>
        <w:t>&lt;/DocRef&gt;</w:t>
      </w:r>
    </w:p>
    <w:p w14:paraId="5F8BA664" w14:textId="77777777" w:rsidR="00AB098C" w:rsidRPr="00893779" w:rsidRDefault="00F24CB7">
      <w:pPr>
        <w:pStyle w:val="NormalBold"/>
      </w:pPr>
      <w:r w:rsidRPr="00893779">
        <w:rPr>
          <w:rStyle w:val="HideTWBExt"/>
        </w:rPr>
        <w:t>&lt;DocAmend&gt;</w:t>
      </w:r>
      <w:r w:rsidRPr="00893779">
        <w:t>Ontwerpresolutie</w:t>
      </w:r>
      <w:r w:rsidRPr="00893779">
        <w:rPr>
          <w:rStyle w:val="HideTWBExt"/>
        </w:rPr>
        <w:t>&lt;/DocAmend&gt;</w:t>
      </w:r>
    </w:p>
    <w:p w14:paraId="0B7B25F8" w14:textId="77777777" w:rsidR="00AB098C" w:rsidRPr="00893779" w:rsidRDefault="00F24CB7">
      <w:pPr>
        <w:pStyle w:val="NormalBold"/>
      </w:pPr>
      <w:r w:rsidRPr="00893779">
        <w:rPr>
          <w:rStyle w:val="HideTWBExt"/>
        </w:rPr>
        <w:t>&lt;Article&gt;</w:t>
      </w:r>
      <w:r w:rsidRPr="00893779">
        <w:t>Paragraaf 54 bis (nieuw)</w:t>
      </w:r>
      <w:r w:rsidRPr="00893779">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01E18" w:rsidRPr="00893779" w14:paraId="6CE69F02" w14:textId="77777777">
        <w:trPr>
          <w:trHeight w:hRule="exact" w:val="240"/>
          <w:jc w:val="center"/>
        </w:trPr>
        <w:tc>
          <w:tcPr>
            <w:tcW w:w="9752" w:type="dxa"/>
            <w:gridSpan w:val="2"/>
            <w:tcBorders>
              <w:top w:val="nil"/>
              <w:left w:val="nil"/>
              <w:bottom w:val="nil"/>
              <w:right w:val="nil"/>
            </w:tcBorders>
          </w:tcPr>
          <w:p w14:paraId="0E6C5431" w14:textId="77777777" w:rsidR="00AB098C" w:rsidRPr="00893779" w:rsidRDefault="00AB098C"/>
        </w:tc>
      </w:tr>
      <w:tr w:rsidR="00C01E18" w:rsidRPr="00893779" w14:paraId="36BC4A92" w14:textId="77777777">
        <w:trPr>
          <w:trHeight w:val="240"/>
          <w:jc w:val="center"/>
        </w:trPr>
        <w:tc>
          <w:tcPr>
            <w:tcW w:w="4876" w:type="dxa"/>
            <w:tcBorders>
              <w:top w:val="nil"/>
              <w:left w:val="nil"/>
              <w:bottom w:val="nil"/>
              <w:right w:val="nil"/>
            </w:tcBorders>
          </w:tcPr>
          <w:p w14:paraId="666F0D4E" w14:textId="77777777" w:rsidR="00AB098C" w:rsidRPr="00893779" w:rsidRDefault="00F24CB7">
            <w:pPr>
              <w:pStyle w:val="AmColumnHeading"/>
            </w:pPr>
            <w:r w:rsidRPr="00893779">
              <w:t>Ontwerpresolutie</w:t>
            </w:r>
          </w:p>
        </w:tc>
        <w:tc>
          <w:tcPr>
            <w:tcW w:w="4876" w:type="dxa"/>
            <w:tcBorders>
              <w:top w:val="nil"/>
              <w:left w:val="nil"/>
              <w:bottom w:val="nil"/>
              <w:right w:val="nil"/>
            </w:tcBorders>
          </w:tcPr>
          <w:p w14:paraId="4D5E53A9" w14:textId="77777777" w:rsidR="00AB098C" w:rsidRPr="00893779" w:rsidRDefault="00F24CB7">
            <w:pPr>
              <w:pStyle w:val="AmColumnHeading"/>
            </w:pPr>
            <w:r w:rsidRPr="00893779">
              <w:t>Amendement</w:t>
            </w:r>
          </w:p>
        </w:tc>
      </w:tr>
      <w:tr w:rsidR="00C01E18" w:rsidRPr="00893779" w14:paraId="1DA9569E" w14:textId="77777777">
        <w:trPr>
          <w:jc w:val="center"/>
        </w:trPr>
        <w:tc>
          <w:tcPr>
            <w:tcW w:w="4876" w:type="dxa"/>
            <w:tcBorders>
              <w:top w:val="nil"/>
              <w:left w:val="nil"/>
              <w:bottom w:val="nil"/>
              <w:right w:val="nil"/>
            </w:tcBorders>
          </w:tcPr>
          <w:p w14:paraId="70858426" w14:textId="77777777" w:rsidR="00AB098C" w:rsidRPr="00893779" w:rsidRDefault="00AB098C">
            <w:pPr>
              <w:pStyle w:val="Normal6a"/>
            </w:pPr>
          </w:p>
        </w:tc>
        <w:tc>
          <w:tcPr>
            <w:tcW w:w="4876" w:type="dxa"/>
            <w:tcBorders>
              <w:top w:val="nil"/>
              <w:left w:val="nil"/>
              <w:bottom w:val="nil"/>
              <w:right w:val="nil"/>
            </w:tcBorders>
          </w:tcPr>
          <w:p w14:paraId="4D2BA016" w14:textId="31C58401" w:rsidR="00AB098C" w:rsidRPr="00893779" w:rsidRDefault="00F24CB7">
            <w:pPr>
              <w:pStyle w:val="Normal6a"/>
            </w:pPr>
            <w:r w:rsidRPr="00893779">
              <w:rPr>
                <w:b/>
                <w:i/>
              </w:rPr>
              <w:t>54 bis.</w:t>
            </w:r>
            <w:r w:rsidRPr="00893779">
              <w:tab/>
            </w:r>
            <w:r w:rsidRPr="00893779">
              <w:rPr>
                <w:b/>
                <w:i/>
              </w:rPr>
              <w:t xml:space="preserve">merkt op dat de administratie van het Parlement heeft vastgesteld dat de voormalige fractie Identiteit en Democratie tijdens de zittingsperiode 2019-2024 ten minste 4 333 635,78 EUR van de kredieten van </w:t>
            </w:r>
            <w:r w:rsidRPr="00893779">
              <w:rPr>
                <w:b/>
                <w:i/>
              </w:rPr>
              <w:t>begrotingspost 400 ten onrechte heeft uitgegeven, en dat het EOM in juli 2025 een onderzoek is gestart naar het vermeende misbruik van Uniemiddelen door deze fractie; benadrukt dat het met het oog op de geloofwaardigheid van het fraudebestrijdingsbeleid van de Unie noodzakelijk is dat de regels inzake transparantie en verantwoordingsplicht en de terugvorderingsregels consistent, gelijkelijk en zonder uitzondering op alle begunstigden worden toegepast; verzoekt de administratie van het Parlement om, parallel</w:t>
            </w:r>
            <w:r w:rsidRPr="00893779">
              <w:rPr>
                <w:b/>
                <w:i/>
              </w:rPr>
              <w:t xml:space="preserve"> aan het strafrechtelijk onderzoek van het EOM, tijdelijke administratieve maatregelen te nemen ter bescherming van de financiële belangen van de Unie; is van mening dat de ontbinding van de Fractie Identiteit en Democratie in 2024 en de daarmee samenhangende financiële procedures hebben aangetoond dat het huidige kader ontoereikend is om tijdige opsporing, rapportage en terugvordering te waarborgen; verzoekt het Bureau van het Parlement het kader voor interne </w:t>
            </w:r>
            <w:r w:rsidRPr="00893779">
              <w:rPr>
                <w:b/>
                <w:i/>
              </w:rPr>
              <w:lastRenderedPageBreak/>
              <w:t>financiële controle dat van toepassing is op de</w:t>
            </w:r>
            <w:r w:rsidRPr="00893779">
              <w:rPr>
                <w:b/>
                <w:i/>
              </w:rPr>
              <w:t xml:space="preserve"> fracties in het Europees Parlement onverwijld te herzien en te versterken;</w:t>
            </w:r>
          </w:p>
        </w:tc>
      </w:tr>
    </w:tbl>
    <w:p w14:paraId="046CB116" w14:textId="77777777" w:rsidR="00AB098C" w:rsidRPr="00893779" w:rsidRDefault="00F24CB7">
      <w:pPr>
        <w:pStyle w:val="AmOrLang"/>
      </w:pPr>
      <w:r w:rsidRPr="00893779">
        <w:lastRenderedPageBreak/>
        <w:t xml:space="preserve">Or. </w:t>
      </w:r>
      <w:r w:rsidRPr="00893779">
        <w:rPr>
          <w:rStyle w:val="HideTWBExt"/>
        </w:rPr>
        <w:t>&lt;Original&gt;</w:t>
      </w:r>
      <w:r w:rsidRPr="00893779">
        <w:rPr>
          <w:rStyle w:val="HideTWBInt"/>
        </w:rPr>
        <w:t>{EN}</w:t>
      </w:r>
      <w:r w:rsidRPr="00893779">
        <w:t>en</w:t>
      </w:r>
      <w:r w:rsidRPr="00893779">
        <w:rPr>
          <w:rStyle w:val="HideTWBExt"/>
        </w:rPr>
        <w:t>&lt;/Original&gt;</w:t>
      </w:r>
    </w:p>
    <w:p w14:paraId="58D2499F" w14:textId="77777777" w:rsidR="00AB098C" w:rsidRPr="00893779" w:rsidRDefault="00F24CB7">
      <w:r w:rsidRPr="00893779">
        <w:rPr>
          <w:rStyle w:val="HideTWBExt"/>
        </w:rPr>
        <w:t>&lt;/Amend&gt;</w:t>
      </w:r>
    </w:p>
    <w:p w14:paraId="165F2E2F" w14:textId="77777777" w:rsidR="00AB098C" w:rsidRPr="00893779" w:rsidRDefault="00F24CB7">
      <w:r w:rsidRPr="00893779">
        <w:rPr>
          <w:rStyle w:val="HideTWBExt"/>
        </w:rPr>
        <w:t>&lt;/RepeatBlock-Amend&gt;</w:t>
      </w:r>
    </w:p>
    <w:sectPr w:rsidR="00AB098C" w:rsidRPr="00893779">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1EEDF" w14:textId="77777777" w:rsidR="00F24CB7" w:rsidRPr="00893779" w:rsidRDefault="00F24CB7">
      <w:r w:rsidRPr="00893779">
        <w:separator/>
      </w:r>
    </w:p>
  </w:endnote>
  <w:endnote w:type="continuationSeparator" w:id="0">
    <w:p w14:paraId="73CA0FF5" w14:textId="77777777" w:rsidR="00F24CB7" w:rsidRPr="00893779" w:rsidRDefault="00F24CB7">
      <w:r w:rsidRPr="008937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2AA4" w14:textId="77777777" w:rsidR="00F24CB7" w:rsidRDefault="00F24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8967" w14:textId="77777777" w:rsidR="00893779" w:rsidRPr="00893779" w:rsidRDefault="00893779" w:rsidP="00893779">
    <w:pPr>
      <w:pStyle w:val="EPFooter"/>
    </w:pPr>
    <w:r w:rsidRPr="00893779">
      <w:rPr>
        <w:rStyle w:val="HideTWBExt"/>
      </w:rPr>
      <w:t>&lt;PathFdR&gt;</w:t>
    </w:r>
    <w:r w:rsidRPr="00893779">
      <w:t>AM\1342225NL.docx</w:t>
    </w:r>
    <w:r w:rsidRPr="00893779">
      <w:rPr>
        <w:rStyle w:val="HideTWBExt"/>
      </w:rPr>
      <w:t>&lt;/PathFdR&gt;</w:t>
    </w:r>
    <w:r w:rsidRPr="00893779">
      <w:tab/>
    </w:r>
    <w:r w:rsidRPr="00893779">
      <w:tab/>
      <w:t>PE</w:t>
    </w:r>
    <w:r w:rsidRPr="00893779">
      <w:rPr>
        <w:rStyle w:val="HideTWBExt"/>
      </w:rPr>
      <w:t>&lt;NoPE&gt;</w:t>
    </w:r>
    <w:r w:rsidRPr="00893779">
      <w:t>783.022</w:t>
    </w:r>
    <w:r w:rsidRPr="00893779">
      <w:rPr>
        <w:rStyle w:val="HideTWBExt"/>
      </w:rPr>
      <w:t>&lt;/NoPE&gt;&lt;Version&gt;</w:t>
    </w:r>
    <w:r w:rsidRPr="00893779">
      <w:t>v01-00</w:t>
    </w:r>
    <w:r w:rsidRPr="00893779">
      <w:rPr>
        <w:rStyle w:val="HideTWBExt"/>
      </w:rPr>
      <w:t>&lt;/Version&gt;</w:t>
    </w:r>
  </w:p>
  <w:p w14:paraId="7CDB53C2" w14:textId="649920B2" w:rsidR="00AB098C" w:rsidRPr="00893779" w:rsidRDefault="00893779" w:rsidP="00893779">
    <w:pPr>
      <w:pStyle w:val="EPFooter2"/>
    </w:pPr>
    <w:r w:rsidRPr="00893779">
      <w:t>NL</w:t>
    </w:r>
    <w:r w:rsidRPr="00893779">
      <w:tab/>
    </w:r>
    <w:r w:rsidRPr="00893779">
      <w:rPr>
        <w:b w:val="0"/>
        <w:i/>
        <w:color w:val="C0C0C0"/>
        <w:sz w:val="22"/>
      </w:rPr>
      <w:t>In verscheidenheid verenigd</w:t>
    </w:r>
    <w:r w:rsidRPr="00893779">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E6586" w14:textId="77777777" w:rsidR="00F24CB7" w:rsidRDefault="00F24C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C92C6" w14:textId="77777777" w:rsidR="00F24CB7" w:rsidRPr="00893779" w:rsidRDefault="00F24CB7">
      <w:r w:rsidRPr="00893779">
        <w:separator/>
      </w:r>
    </w:p>
  </w:footnote>
  <w:footnote w:type="continuationSeparator" w:id="0">
    <w:p w14:paraId="32479BE1" w14:textId="77777777" w:rsidR="00F24CB7" w:rsidRPr="00893779" w:rsidRDefault="00F24CB7">
      <w:r w:rsidRPr="0089377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146DD" w14:textId="77777777" w:rsidR="00F24CB7" w:rsidRDefault="00F24C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D2CD" w14:textId="77777777" w:rsidR="00F24CB7" w:rsidRDefault="00F24C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8038" w14:textId="77777777" w:rsidR="00F24CB7" w:rsidRDefault="00F24C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2"/>
    <w:docVar w:name="TXTLANGUE" w:val="EN"/>
    <w:docVar w:name="TXTLANGUEMIN" w:val="en"/>
    <w:docVar w:name="TXTNRPE" w:val="783.022"/>
    <w:docVar w:name="TXTPEorAP" w:val="PE"/>
    <w:docVar w:name="TXTROUTE" w:val="AM\1342225EN.docx"/>
    <w:docVar w:name="TXTVERSION" w:val="01-00"/>
  </w:docVars>
  <w:rsids>
    <w:rsidRoot w:val="00A77B3E"/>
    <w:rsid w:val="001E6DCE"/>
    <w:rsid w:val="0022097A"/>
    <w:rsid w:val="002C4F66"/>
    <w:rsid w:val="0034105C"/>
    <w:rsid w:val="00380094"/>
    <w:rsid w:val="0044003A"/>
    <w:rsid w:val="004A2B70"/>
    <w:rsid w:val="00566641"/>
    <w:rsid w:val="005744EE"/>
    <w:rsid w:val="005D1D4D"/>
    <w:rsid w:val="006447B6"/>
    <w:rsid w:val="006A13A9"/>
    <w:rsid w:val="006F1F54"/>
    <w:rsid w:val="00705A00"/>
    <w:rsid w:val="007B6BE6"/>
    <w:rsid w:val="00893779"/>
    <w:rsid w:val="009C0B53"/>
    <w:rsid w:val="009F6C83"/>
    <w:rsid w:val="00A77B3E"/>
    <w:rsid w:val="00AB098C"/>
    <w:rsid w:val="00AD511E"/>
    <w:rsid w:val="00C01E18"/>
    <w:rsid w:val="00C62949"/>
    <w:rsid w:val="00CA2A55"/>
    <w:rsid w:val="00F24CB7"/>
    <w:rsid w:val="00F628DF"/>
    <w:rsid w:val="00FA7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135163"/>
  <w15:docId w15:val="{C4F0EAC1-4B7D-4BB5-A8AE-971B0280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80094"/>
    <w:pPr>
      <w:tabs>
        <w:tab w:val="center" w:pos="4513"/>
        <w:tab w:val="right" w:pos="9026"/>
      </w:tabs>
    </w:pPr>
  </w:style>
  <w:style w:type="character" w:customStyle="1" w:styleId="HeaderChar">
    <w:name w:val="Header Char"/>
    <w:basedOn w:val="DefaultParagraphFont"/>
    <w:link w:val="Header"/>
    <w:rsid w:val="00380094"/>
    <w:rPr>
      <w:sz w:val="24"/>
      <w:szCs w:val="24"/>
    </w:rPr>
  </w:style>
  <w:style w:type="paragraph" w:styleId="Footer">
    <w:name w:val="footer"/>
    <w:basedOn w:val="Normal"/>
    <w:link w:val="FooterChar1"/>
    <w:rsid w:val="00380094"/>
    <w:pPr>
      <w:tabs>
        <w:tab w:val="center" w:pos="4513"/>
        <w:tab w:val="right" w:pos="9026"/>
      </w:tabs>
    </w:pPr>
  </w:style>
  <w:style w:type="character" w:customStyle="1" w:styleId="FooterChar1">
    <w:name w:val="Footer Char1"/>
    <w:basedOn w:val="DefaultParagraphFont"/>
    <w:link w:val="Footer"/>
    <w:rsid w:val="00380094"/>
    <w:rPr>
      <w:sz w:val="24"/>
      <w:szCs w:val="24"/>
    </w:rPr>
  </w:style>
  <w:style w:type="paragraph" w:styleId="Revision">
    <w:name w:val="Revision"/>
    <w:hidden/>
    <w:uiPriority w:val="99"/>
    <w:semiHidden/>
    <w:rsid w:val="0022097A"/>
    <w:rPr>
      <w:sz w:val="24"/>
      <w:szCs w:val="24"/>
    </w:rPr>
  </w:style>
  <w:style w:type="character" w:styleId="CommentReference">
    <w:name w:val="annotation reference"/>
    <w:basedOn w:val="DefaultParagraphFont"/>
    <w:rsid w:val="00FA7453"/>
    <w:rPr>
      <w:sz w:val="16"/>
      <w:szCs w:val="16"/>
    </w:rPr>
  </w:style>
  <w:style w:type="paragraph" w:styleId="CommentText">
    <w:name w:val="annotation text"/>
    <w:basedOn w:val="Normal"/>
    <w:link w:val="CommentTextChar"/>
    <w:rsid w:val="00FA7453"/>
    <w:rPr>
      <w:sz w:val="20"/>
      <w:szCs w:val="20"/>
    </w:rPr>
  </w:style>
  <w:style w:type="character" w:customStyle="1" w:styleId="CommentTextChar">
    <w:name w:val="Comment Text Char"/>
    <w:basedOn w:val="DefaultParagraphFont"/>
    <w:link w:val="CommentText"/>
    <w:rsid w:val="00FA7453"/>
  </w:style>
  <w:style w:type="paragraph" w:styleId="CommentSubject">
    <w:name w:val="annotation subject"/>
    <w:basedOn w:val="CommentText"/>
    <w:next w:val="CommentText"/>
    <w:link w:val="CommentSubjectChar"/>
    <w:rsid w:val="00FA7453"/>
    <w:rPr>
      <w:b/>
      <w:bCs/>
    </w:rPr>
  </w:style>
  <w:style w:type="character" w:customStyle="1" w:styleId="CommentSubjectChar">
    <w:name w:val="Comment Subject Char"/>
    <w:basedOn w:val="CommentTextChar"/>
    <w:link w:val="CommentSubject"/>
    <w:rsid w:val="00FA74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1927</Words>
  <Characters>12111</Characters>
  <Application>Microsoft Office Word</Application>
  <DocSecurity>0</DocSecurity>
  <Lines>479</Lines>
  <Paragraphs>144</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UYTTEBROEK Kester</cp:lastModifiedBy>
  <cp:revision>2</cp:revision>
  <cp:lastPrinted>2026-04-22T17:39:00Z</cp:lastPrinted>
  <dcterms:created xsi:type="dcterms:W3CDTF">2026-04-27T10:48:00Z</dcterms:created>
  <dcterms:modified xsi:type="dcterms:W3CDTF">2026-04-27T10:48:00Z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1342225</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- 2026/04/27 12:47</vt:lpwstr>
  </property>
  <property fmtid="{D5CDD505-2E9C-101B-9397-08002B2CF9AE}" pid="7" name="dmxml.render.id">
    <vt:lpwstr>459267</vt:lpwstr>
  </property>
  <property fmtid="{D5CDD505-2E9C-101B-9397-08002B2CF9AE}" pid="8" name="dmxml.render.traceId">
    <vt:lpwstr>69e8e9021f7542c89ca2e5b051c30353</vt:lpwstr>
  </property>
  <property fmtid="{D5CDD505-2E9C-101B-9397-08002B2CF9AE}" pid="9" name="FooterPath">
    <vt:lpwstr>AM\1342225NL.docx</vt:lpwstr>
  </property>
  <property fmtid="{D5CDD505-2E9C-101B-9397-08002B2CF9AE}" pid="10" name="LastEdited with">
    <vt:lpwstr>10.3.0 Build [20260401]</vt:lpwstr>
  </property>
  <property fmtid="{D5CDD505-2E9C-101B-9397-08002B2CF9AE}" pid="11" name="PE Number">
    <vt:lpwstr>783.022</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eu.europa.europarl-DIN1-2026-0000109521_01.00-en-01.00_text-xml</vt:lpwstr>
  </property>
</Properties>
</file>