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763E" w14:textId="77777777" w:rsidR="00AB098C" w:rsidRPr="00C97048" w:rsidRDefault="008A549F">
      <w:pPr>
        <w:pStyle w:val="AmDateTab"/>
      </w:pPr>
      <w:r w:rsidRPr="00C97048">
        <w:rPr>
          <w:rStyle w:val="HideTWBExt"/>
        </w:rPr>
        <w:t>&lt;RepeatBlock-Amend&gt;&lt;Amend&gt;&lt;Date&gt;</w:t>
      </w:r>
      <w:r w:rsidRPr="00C97048">
        <w:rPr>
          <w:rStyle w:val="HideTWBInt"/>
          <w:color w:val="auto"/>
        </w:rPr>
        <w:t>{22/04/2026}</w:t>
      </w:r>
      <w:proofErr w:type="gramStart"/>
      <w:r w:rsidRPr="00C97048">
        <w:t>22.4.2026</w:t>
      </w:r>
      <w:proofErr w:type="gramEnd"/>
      <w:r w:rsidRPr="00C97048">
        <w:rPr>
          <w:rStyle w:val="HideTWBExt"/>
        </w:rPr>
        <w:t>&lt;/Date&gt;</w:t>
      </w:r>
      <w:r w:rsidRPr="00C97048">
        <w:tab/>
      </w:r>
      <w:r w:rsidRPr="00C97048">
        <w:rPr>
          <w:rStyle w:val="HideTWBExt"/>
        </w:rPr>
        <w:t>&lt;ANo&gt;</w:t>
      </w:r>
      <w:r w:rsidRPr="00C97048">
        <w:t>A10-0080</w:t>
      </w:r>
      <w:r w:rsidRPr="00C97048">
        <w:rPr>
          <w:rStyle w:val="HideTWBExt"/>
        </w:rPr>
        <w:t>&lt;/ANo&gt;</w:t>
      </w:r>
      <w:r w:rsidRPr="00C97048">
        <w:t>/</w:t>
      </w:r>
      <w:r w:rsidRPr="00C97048">
        <w:rPr>
          <w:rStyle w:val="HideTWBExt"/>
        </w:rPr>
        <w:t>&lt;NumAm&gt;</w:t>
      </w:r>
      <w:r w:rsidRPr="00C97048">
        <w:t>50</w:t>
      </w:r>
      <w:r w:rsidRPr="00C97048">
        <w:rPr>
          <w:rStyle w:val="HideTWBExt"/>
        </w:rPr>
        <w:t>&lt;/NumAm&gt;</w:t>
      </w:r>
    </w:p>
    <w:p w14:paraId="6F54DC25" w14:textId="77777777" w:rsidR="00AB098C" w:rsidRPr="00C97048" w:rsidRDefault="008A549F">
      <w:pPr>
        <w:pStyle w:val="AmNumberTabs"/>
      </w:pPr>
      <w:r w:rsidRPr="00C97048">
        <w:t>Poprawka</w:t>
      </w:r>
      <w:r w:rsidRPr="00C97048">
        <w:tab/>
      </w:r>
      <w:r w:rsidRPr="00C97048">
        <w:tab/>
      </w:r>
      <w:r w:rsidRPr="00C97048">
        <w:rPr>
          <w:rStyle w:val="HideTWBExt"/>
        </w:rPr>
        <w:t>&lt;NumAm&gt;</w:t>
      </w:r>
      <w:r w:rsidRPr="00C97048">
        <w:t>50</w:t>
      </w:r>
      <w:r w:rsidRPr="00C97048">
        <w:rPr>
          <w:rStyle w:val="HideTWBExt"/>
        </w:rPr>
        <w:t>&lt;/NumAm&gt;</w:t>
      </w:r>
    </w:p>
    <w:p w14:paraId="258E7D6A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&lt;RepeatBlock-By&gt;&lt;By&gt;&lt;Members&gt;</w:t>
      </w:r>
      <w:r w:rsidRPr="00C97048">
        <w:t>Daniel Freund</w:t>
      </w:r>
      <w:r w:rsidRPr="00C97048">
        <w:rPr>
          <w:rStyle w:val="HideTWBExt"/>
          <w:b w:val="0"/>
        </w:rPr>
        <w:t>&lt;/Members&gt;</w:t>
      </w:r>
    </w:p>
    <w:p w14:paraId="666E1CA7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294E2802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36619970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594826D1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4006048E" w14:textId="30E45309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41E99341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38C2EC05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28E559A1" w14:textId="6A10691D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 xml:space="preserve">Umocowanie 23 a (nowe) 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470DC1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C38DA" w14:textId="77777777" w:rsidR="00AB098C" w:rsidRPr="00C97048" w:rsidRDefault="00AB098C"/>
        </w:tc>
      </w:tr>
      <w:tr w:rsidR="00C83DBC" w:rsidRPr="00C97048" w14:paraId="0561F3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7C2A1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28269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8A549F" w14:paraId="35A3F6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88A38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4F855" w14:textId="457B656D" w:rsidR="00AB098C" w:rsidRPr="00C97048" w:rsidRDefault="008A549F">
            <w:pPr>
              <w:pStyle w:val="Normal6a"/>
              <w:pBdr>
                <w:bottom w:val="single" w:sz="12" w:space="1" w:color="auto"/>
              </w:pBdr>
              <w:rPr>
                <w:b/>
                <w:i/>
              </w:rPr>
            </w:pPr>
            <w:r w:rsidRPr="00C97048">
              <w:rPr>
                <w:b/>
                <w:i/>
              </w:rPr>
              <w:t>–</w:t>
            </w:r>
            <w:r w:rsidRPr="00C97048">
              <w:tab/>
            </w:r>
            <w:r w:rsidRPr="00C97048">
              <w:rPr>
                <w:b/>
                <w:i/>
              </w:rPr>
              <w:t xml:space="preserve">uwzględniając wyroki Trybunału Sprawiedliwości UE z 16 lutego 2022 r. w sprawach C-156/21 Węgry przeciwko </w:t>
            </w:r>
            <w:r w:rsidRPr="00C97048">
              <w:rPr>
                <w:b/>
                <w:i/>
              </w:rPr>
              <w:t>Parlamentowi i Radzie oraz C-157/21 Polska przeciwko Parlamentowi i Radzie</w:t>
            </w:r>
            <w:r w:rsidRPr="00C97048">
              <w:rPr>
                <w:b/>
                <w:i/>
                <w:vertAlign w:val="superscript"/>
              </w:rPr>
              <w:t>1a</w:t>
            </w:r>
            <w:r w:rsidRPr="00C97048">
              <w:rPr>
                <w:b/>
                <w:i/>
              </w:rPr>
              <w:t xml:space="preserve"> potwierdzające zgodność z prawem rozporządzenia w sprawie warunkowości,</w:t>
            </w:r>
          </w:p>
          <w:p w14:paraId="233B5120" w14:textId="7895A482" w:rsidR="0022097A" w:rsidRPr="008A549F" w:rsidRDefault="008A549F">
            <w:pPr>
              <w:pStyle w:val="Normal6a"/>
              <w:rPr>
                <w:lang w:val="pt-PT"/>
              </w:rPr>
            </w:pPr>
            <w:r w:rsidRPr="008A549F">
              <w:rPr>
                <w:b/>
                <w:i/>
                <w:vertAlign w:val="superscript"/>
                <w:lang w:val="pt-PT"/>
              </w:rPr>
              <w:t>1a</w:t>
            </w:r>
            <w:r w:rsidRPr="008A549F">
              <w:rPr>
                <w:b/>
                <w:i/>
                <w:lang w:val="pt-PT"/>
              </w:rPr>
              <w:t xml:space="preserve"> ECLI:EU:C:2022:97 &amp; ECLI:EU:C:2022:98.</w:t>
            </w:r>
          </w:p>
        </w:tc>
      </w:tr>
    </w:tbl>
    <w:p w14:paraId="6E3DA0C0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4D4CDBC3" w14:textId="77777777" w:rsidR="00AB098C" w:rsidRPr="008A549F" w:rsidRDefault="008A549F">
      <w:pPr>
        <w:rPr>
          <w:lang w:val="de-DE"/>
        </w:rPr>
        <w:sectPr w:rsidR="00AB098C" w:rsidRPr="008A549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1897A4FA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lastRenderedPageBreak/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51</w:t>
      </w:r>
      <w:r w:rsidRPr="008A549F">
        <w:rPr>
          <w:rStyle w:val="HideTWBExt"/>
          <w:lang w:val="de-DE"/>
        </w:rPr>
        <w:t>&lt;/NumAm&gt;</w:t>
      </w:r>
    </w:p>
    <w:p w14:paraId="0CA0DC32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51</w:t>
      </w:r>
      <w:r w:rsidRPr="008A549F">
        <w:rPr>
          <w:rStyle w:val="HideTWBExt"/>
          <w:lang w:val="de-DE"/>
        </w:rPr>
        <w:t>&lt;/NumAm&gt;</w:t>
      </w:r>
    </w:p>
    <w:p w14:paraId="122C27AF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42FB1CEC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369153FD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004FEAFA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14F63909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44F6DB4C" w14:textId="69E7F1E8" w:rsidR="00AB098C" w:rsidRPr="00C97048" w:rsidRDefault="008A549F">
      <w:r w:rsidRPr="00C97048">
        <w:rPr>
          <w:rStyle w:val="HideTWBExt"/>
        </w:rPr>
        <w:t>&lt;Titre&gt;</w:t>
      </w:r>
      <w:r w:rsidRPr="00C97048">
        <w:t xml:space="preserve">Ochrona </w:t>
      </w:r>
      <w:r w:rsidRPr="00C97048">
        <w:t>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4D47D053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570FEAC6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18AE99FB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 xml:space="preserve">Umocowanie 25 b (nowe) 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62EB1A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5E2CF" w14:textId="77777777" w:rsidR="00AB098C" w:rsidRPr="00C97048" w:rsidRDefault="00AB098C"/>
        </w:tc>
      </w:tr>
      <w:tr w:rsidR="00C83DBC" w:rsidRPr="00C97048" w14:paraId="689BD4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6EBB8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DD833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6BA020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F7FC2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13A9" w14:textId="5E786CD9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–</w:t>
            </w:r>
            <w:r w:rsidRPr="00C97048">
              <w:tab/>
            </w:r>
            <w:r w:rsidRPr="00C97048">
              <w:rPr>
                <w:b/>
                <w:i/>
              </w:rPr>
              <w:t>uwzględniając toczące się dochodzenie wszczęte przez EPPO w lipcu 2025 r. w sprawie domniemanego niewłaściwego wykorzystania funduszy unijnych przez byłą grupę Parlamentu Europejskiego Tożsamość i Demokracja,</w:t>
            </w:r>
          </w:p>
        </w:tc>
      </w:tr>
    </w:tbl>
    <w:p w14:paraId="790F5E20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5D9AFC04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1DC3122D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52</w:t>
      </w:r>
      <w:r w:rsidRPr="008A549F">
        <w:rPr>
          <w:rStyle w:val="HideTWBExt"/>
          <w:lang w:val="de-DE"/>
        </w:rPr>
        <w:t>&lt;/NumAm&gt;</w:t>
      </w:r>
    </w:p>
    <w:p w14:paraId="5F9D1154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52</w:t>
      </w:r>
      <w:r w:rsidRPr="008A549F">
        <w:rPr>
          <w:rStyle w:val="HideTWBExt"/>
          <w:lang w:val="de-DE"/>
        </w:rPr>
        <w:t>&lt;/NumAm&gt;</w:t>
      </w:r>
    </w:p>
    <w:p w14:paraId="27AE9A36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705EC329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7E71E8E9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73013DEF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11B1ED71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71EEC604" w14:textId="4192E226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702F699B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65F35DB6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445EF971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2 a (nowy)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72A456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4343A" w14:textId="77777777" w:rsidR="00AB098C" w:rsidRPr="00C97048" w:rsidRDefault="00AB098C"/>
        </w:tc>
      </w:tr>
      <w:tr w:rsidR="00C83DBC" w:rsidRPr="00C97048" w14:paraId="1FB50B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1CFF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426E5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1A4C7A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CFA26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7F95" w14:textId="3A1F513C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2a.</w:t>
            </w:r>
            <w:r w:rsidRPr="00C97048">
              <w:tab/>
            </w:r>
            <w:r w:rsidRPr="00C97048">
              <w:rPr>
                <w:b/>
                <w:i/>
              </w:rPr>
              <w:t xml:space="preserve">ubolewa, że nie wszystkie państwa członkowskie uczestniczą w EPPO, co stwarza luki w egzekwowaniu </w:t>
            </w:r>
            <w:r w:rsidRPr="00C97048">
              <w:rPr>
                <w:b/>
                <w:i/>
              </w:rPr>
              <w:t>przepisów, które osłabiają zdolność UE do ochrony jej interesów finansowych w sposób jednolity; zauważa, że w 2024 r. EPPO wydała znaczną liczbę europejskich nakazów dochodzeniowych i wniosków o wzajemną pomoc prawną obejmujących nieuczestniczące państwa członkowskie, co stworzyło dodatkowe obciążenia proceduralne i groziło utratą dowodów; ponawia wezwanie do pozostałych nieuczestniczących państw członkowskich, by niezwłocznie przystąpiły do EPPO;</w:t>
            </w:r>
          </w:p>
        </w:tc>
      </w:tr>
    </w:tbl>
    <w:p w14:paraId="02F244F9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234CC38C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52F6A974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53</w:t>
      </w:r>
      <w:r w:rsidRPr="008A549F">
        <w:rPr>
          <w:rStyle w:val="HideTWBExt"/>
          <w:lang w:val="de-DE"/>
        </w:rPr>
        <w:t>&lt;/NumAm&gt;</w:t>
      </w:r>
    </w:p>
    <w:p w14:paraId="5BCF9E95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53</w:t>
      </w:r>
      <w:r w:rsidRPr="008A549F">
        <w:rPr>
          <w:rStyle w:val="HideTWBExt"/>
          <w:lang w:val="de-DE"/>
        </w:rPr>
        <w:t>&lt;/NumAm&gt;</w:t>
      </w:r>
    </w:p>
    <w:p w14:paraId="470392FE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6F2B0472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60567203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6F60CCCE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6F9DF45E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19B4ABF8" w14:textId="5CA79DD2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4335F946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08A8C468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4D837251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3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1FA13B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57188" w14:textId="77777777" w:rsidR="00AB098C" w:rsidRPr="00C97048" w:rsidRDefault="00AB098C"/>
        </w:tc>
      </w:tr>
      <w:tr w:rsidR="00C83DBC" w:rsidRPr="00C97048" w14:paraId="4A9D3AC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804A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4BB6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461AF8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44D25" w14:textId="339AE777" w:rsidR="00AB098C" w:rsidRPr="00C97048" w:rsidRDefault="008A549F">
            <w:pPr>
              <w:pStyle w:val="Normal6a"/>
            </w:pPr>
            <w:r w:rsidRPr="00C97048">
              <w:t>3.</w:t>
            </w:r>
            <w:r w:rsidRPr="00C97048">
              <w:tab/>
              <w:t xml:space="preserve">podkreśla, że praworządność jest kamieniem węgielnym UE i ma zasadnicze znaczenie dla ochrony interesów finansowych UE we wszystkich państwach </w:t>
            </w:r>
            <w:r w:rsidRPr="00C97048">
              <w:t xml:space="preserve">członkowskich; podkreśla, że mechanizm warunkowości w zakresie praworządności musi być stosowany w przypadku </w:t>
            </w:r>
            <w:r w:rsidRPr="00C97048">
              <w:rPr>
                <w:b/>
                <w:i/>
              </w:rPr>
              <w:t>naruszeń mających bezpośredni wpływ</w:t>
            </w:r>
            <w:r w:rsidRPr="00C97048">
              <w:t xml:space="preserve"> na </w:t>
            </w:r>
            <w:r w:rsidRPr="00C97048">
              <w:rPr>
                <w:b/>
                <w:i/>
              </w:rPr>
              <w:t>budżet</w:t>
            </w:r>
            <w:r w:rsidRPr="00C97048">
              <w:t xml:space="preserve"> UE; podkreśla, że decyzje dotyczące ochrony interesów finansowych UE muszą opierać się na ustaleniach technicznych i prawnych; wzywa Komisję do zapewnienia spójnego i proporcjonalnego stosowania mechanizmu, przy jednoczesnym poszanowaniu głównej odpowiedzialności państw członkowskich za przestrzeganie zasad praworządności i zapewnienie spójności między in</w:t>
            </w:r>
            <w:r w:rsidRPr="00C97048">
              <w:t>strumentami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03E83" w14:textId="077BD94F" w:rsidR="00AB098C" w:rsidRPr="00C97048" w:rsidRDefault="008A549F">
            <w:pPr>
              <w:pStyle w:val="Normal6a"/>
            </w:pPr>
            <w:r w:rsidRPr="00C97048">
              <w:t>3.</w:t>
            </w:r>
            <w:r w:rsidRPr="00C97048">
              <w:tab/>
              <w:t>podkreśla, że praworządność jest kamieniem węgielnym UE i ma zasadnicze znaczenie dla ochrony interesów finansowych UE we wszystkich państwach członkowskich; podkreśla, że mechanizm warunkowości w zakresie praworządności musi być stosowany w przypadku</w:t>
            </w:r>
            <w:r w:rsidRPr="00C97048">
              <w:rPr>
                <w:b/>
                <w:i/>
              </w:rPr>
              <w:t>, gdy naruszenia niezależności sądów, zdolności prokuratorskiej, rozliczalności lub przejrzystości wpływają lub mogą wpływać</w:t>
            </w:r>
            <w:r w:rsidRPr="00C97048">
              <w:t xml:space="preserve"> na </w:t>
            </w:r>
            <w:r w:rsidRPr="00C97048">
              <w:rPr>
                <w:b/>
                <w:i/>
              </w:rPr>
              <w:t>należyte zarządzanie finansami w ramach budżetu</w:t>
            </w:r>
            <w:r w:rsidRPr="00C97048">
              <w:t xml:space="preserve"> UE</w:t>
            </w:r>
            <w:r w:rsidRPr="00C97048">
              <w:rPr>
                <w:b/>
                <w:i/>
              </w:rPr>
              <w:t>, zgodnie z utrwalonym orzecznictwem Trybunału Sprawiedliwości</w:t>
            </w:r>
            <w:r w:rsidRPr="00C97048">
              <w:t>; podkreśla, że decy</w:t>
            </w:r>
            <w:r w:rsidRPr="00C97048">
              <w:t>zje dotyczące ochrony interesów finansowych UE muszą opierać się na ustaleniach technicznych i prawnych; wzywa Komisję do zapewnienia spójnego i proporcjonalnego stosowania mechanizmu, przy jednoczesnym poszanowaniu głównej odpowiedzialności państw członkowskich za przestrzeganie zasad praworządności i zapewnienie spójności między instrumentami UE;</w:t>
            </w:r>
          </w:p>
        </w:tc>
      </w:tr>
    </w:tbl>
    <w:p w14:paraId="13C259C4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21FA7D09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219B8B07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54</w:t>
      </w:r>
      <w:r w:rsidRPr="008A549F">
        <w:rPr>
          <w:rStyle w:val="HideTWBExt"/>
          <w:lang w:val="de-DE"/>
        </w:rPr>
        <w:t>&lt;/NumAm&gt;</w:t>
      </w:r>
    </w:p>
    <w:p w14:paraId="67314D54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54</w:t>
      </w:r>
      <w:r w:rsidRPr="008A549F">
        <w:rPr>
          <w:rStyle w:val="HideTWBExt"/>
          <w:lang w:val="de-DE"/>
        </w:rPr>
        <w:t>&lt;/NumAm&gt;</w:t>
      </w:r>
    </w:p>
    <w:p w14:paraId="69707BC9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1B49B9EB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766E356C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7D047441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2EECE3EA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50F05D0D" w14:textId="50C0726E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302E9BC8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071B1C41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36179FDD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3 a (nowy)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54AF2CE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CA83E" w14:textId="77777777" w:rsidR="00AB098C" w:rsidRPr="00C97048" w:rsidRDefault="00AB098C"/>
        </w:tc>
      </w:tr>
      <w:tr w:rsidR="00C83DBC" w:rsidRPr="00C97048" w14:paraId="5BFEF2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9DC8D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EF022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4ADC2E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6D534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E2773" w14:textId="583C3293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3a.</w:t>
            </w:r>
            <w:r w:rsidRPr="00C97048">
              <w:tab/>
            </w:r>
            <w:r w:rsidRPr="00C97048">
              <w:rPr>
                <w:b/>
                <w:i/>
              </w:rPr>
              <w:t xml:space="preserve">z głębokim zaniepokojeniem odnotowuje ciągłe pogarszanie się sytuacji w zakresie praworządności w niektórych państwach członkowskich, w szczególności na Węgrzech, gdzie m.in. Europejski Trybunał Obrachunkowy, OLAF i EPPO </w:t>
            </w:r>
            <w:r w:rsidRPr="00C97048">
              <w:rPr>
                <w:b/>
                <w:i/>
              </w:rPr>
              <w:t>wielokrotnie identyfikowały ryzyko systemowe dla interesów finansowych Unii; przypomina, że w grudniu 2022 r. Rada zawiesiła 6,3 mld EUR z funduszy spójności dla Węgier na podstawie rozporządzenia w sprawie warunkowości oraz że znaczne kwoty pozostają zamrożone ze względu na nierozwiązane obawy dotyczące zamówień publicznych i ram antykorupcyjnych; podkreśla, że ustalenia te nie mają charakteru politycznego, lecz opierają się na obiektywnych, udokumentowanych i wielokrotnie zweryfikowanych dowodach; przypom</w:t>
            </w:r>
            <w:r w:rsidRPr="00C97048">
              <w:rPr>
                <w:b/>
                <w:i/>
              </w:rPr>
              <w:t>ina, że warunkowość w zakresie praworządności nie jest instrumentem politycznym, lecz zabezpieczeniem budżetu Unii, które należy konsekwentnie stosować wszędzie tam, gdzie urzeczywistnia się ryzyko;</w:t>
            </w:r>
          </w:p>
        </w:tc>
      </w:tr>
    </w:tbl>
    <w:p w14:paraId="7BED3E7E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57836B7F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67BFCD90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55</w:t>
      </w:r>
      <w:r w:rsidRPr="008A549F">
        <w:rPr>
          <w:rStyle w:val="HideTWBExt"/>
          <w:lang w:val="de-DE"/>
        </w:rPr>
        <w:t>&lt;/NumAm&gt;</w:t>
      </w:r>
    </w:p>
    <w:p w14:paraId="443DF2C4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55</w:t>
      </w:r>
      <w:r w:rsidRPr="008A549F">
        <w:rPr>
          <w:rStyle w:val="HideTWBExt"/>
          <w:lang w:val="de-DE"/>
        </w:rPr>
        <w:t>&lt;/NumAm&gt;</w:t>
      </w:r>
    </w:p>
    <w:p w14:paraId="179720CC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1BD1F28D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6052C6CA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62A11CBB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59D81A9B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5281A2FF" w14:textId="2D351118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5256DFAF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69D02E9D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72992868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25 a (nowy)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1367AD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002C8" w14:textId="77777777" w:rsidR="00AB098C" w:rsidRPr="00C97048" w:rsidRDefault="00AB098C"/>
        </w:tc>
      </w:tr>
      <w:tr w:rsidR="00C83DBC" w:rsidRPr="00C97048" w14:paraId="69E234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AFD80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BD7CA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4CCF76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03878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31527" w14:textId="0CB06975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25a.</w:t>
            </w:r>
            <w:r w:rsidRPr="00C97048">
              <w:tab/>
            </w:r>
            <w:r w:rsidRPr="00C97048">
              <w:rPr>
                <w:b/>
                <w:i/>
              </w:rPr>
              <w:t xml:space="preserve">uznaje zasadniczą rolę organizacji społeczeństwa obywatelskiego, organizacji pozarządowych i związków </w:t>
            </w:r>
            <w:r w:rsidRPr="00C97048">
              <w:rPr>
                <w:b/>
                <w:i/>
              </w:rPr>
              <w:t>zawodowych w monitorowaniu wykorzystywania funduszy unijnych, zgłaszaniu podejrzeń nadużyć finansowych, wspieraniu sygnalistów i zapewnianiu niezależnej kontroli uzupełniającej prace unijnych organów ds. zwalczania nadużyć finansowych; odrzuca wszelkie próby instrumentalizacji obaw dotyczących wykorzystywania funduszy unijnych przez organizacje pozarządowe w celu uzasadnienia uogólnionych ograniczeń nałożonych na społeczeństwo obywatelskie; przypomina, że nieproporcjonalne ograniczenia nałożone na organizac</w:t>
            </w:r>
            <w:r w:rsidRPr="00C97048">
              <w:rPr>
                <w:b/>
                <w:i/>
              </w:rPr>
              <w:t>je społeczeństwa obywatelskiego same w sobie stanowią sygnał pogarszania się sytuacji w zakresie praworządności;</w:t>
            </w:r>
          </w:p>
        </w:tc>
      </w:tr>
    </w:tbl>
    <w:p w14:paraId="4E11279A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032914D1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5A104F8B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56</w:t>
      </w:r>
      <w:r w:rsidRPr="008A549F">
        <w:rPr>
          <w:rStyle w:val="HideTWBExt"/>
          <w:lang w:val="de-DE"/>
        </w:rPr>
        <w:t>&lt;/NumAm&gt;</w:t>
      </w:r>
    </w:p>
    <w:p w14:paraId="3EC87B7D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56</w:t>
      </w:r>
      <w:r w:rsidRPr="008A549F">
        <w:rPr>
          <w:rStyle w:val="HideTWBExt"/>
          <w:lang w:val="de-DE"/>
        </w:rPr>
        <w:t>&lt;/NumAm&gt;</w:t>
      </w:r>
    </w:p>
    <w:p w14:paraId="2C363BC9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37A04B89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1B7EA57B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649F29F0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4918B640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54149BD3" w14:textId="37F21427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35AAE10B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77883258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3F004185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43 a (nowy)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7A097F2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E665C" w14:textId="77777777" w:rsidR="00AB098C" w:rsidRPr="00C97048" w:rsidRDefault="00AB098C"/>
        </w:tc>
      </w:tr>
      <w:tr w:rsidR="00C83DBC" w:rsidRPr="00C97048" w14:paraId="6AA852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F1F88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978B4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540177D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3936E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BBBD3" w14:textId="37E9973A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43a.</w:t>
            </w:r>
            <w:r w:rsidRPr="00C97048">
              <w:tab/>
            </w:r>
            <w:r w:rsidRPr="00C97048">
              <w:rPr>
                <w:b/>
                <w:i/>
              </w:rPr>
              <w:t xml:space="preserve">podkreśla, że kampanie dezinformacyjne oparte na sztucznej inteligencji, których celem są instytucje UE, w tym skoordynowane treści mające na celu podważenie zaufania do organów ds. zwalczania nadużyć </w:t>
            </w:r>
            <w:r w:rsidRPr="00C97048">
              <w:rPr>
                <w:b/>
                <w:i/>
              </w:rPr>
              <w:t xml:space="preserve">finansowych, budżetu Unii i praworządności, stanowią bezpośrednie zagrożenie dla interesów finansowych Unii, ponieważ osłabiają poparcie publiczne dla mechanizmów ochronnych i stanowią przykrywkę dla nieuczciwych praktyk; wzywa Komisję, aby we współpracy z OLAF-em, EPPO i Europolem rozwijała </w:t>
            </w:r>
            <w:proofErr w:type="spellStart"/>
            <w:r w:rsidRPr="00C97048">
              <w:rPr>
                <w:b/>
                <w:i/>
              </w:rPr>
              <w:t>ogólnounijne</w:t>
            </w:r>
            <w:proofErr w:type="spellEnd"/>
            <w:r w:rsidRPr="00C97048">
              <w:rPr>
                <w:b/>
                <w:i/>
              </w:rPr>
              <w:t xml:space="preserve"> zdolności w zakresie wykrywania, dokumentowania i zwalczania kampanii dezinformacyjnych wykorzystujących sztuczną inteligencję, które są wymierzone w zarządzanie finansowe Unii;</w:t>
            </w:r>
          </w:p>
        </w:tc>
      </w:tr>
    </w:tbl>
    <w:p w14:paraId="575EC240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694F00F7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16E4FD44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57</w:t>
      </w:r>
      <w:r w:rsidRPr="008A549F">
        <w:rPr>
          <w:rStyle w:val="HideTWBExt"/>
          <w:lang w:val="de-DE"/>
        </w:rPr>
        <w:t>&lt;/NumAm&gt;</w:t>
      </w:r>
    </w:p>
    <w:p w14:paraId="69D4E501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57</w:t>
      </w:r>
      <w:r w:rsidRPr="008A549F">
        <w:rPr>
          <w:rStyle w:val="HideTWBExt"/>
          <w:lang w:val="de-DE"/>
        </w:rPr>
        <w:t>&lt;/NumAm&gt;</w:t>
      </w:r>
    </w:p>
    <w:p w14:paraId="27624642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002E253A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0556CDFB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6E28DA98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3056DB36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0F248029" w14:textId="2567AF97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06555AB2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1385222D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757CE512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53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1369C1C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CE3BE" w14:textId="77777777" w:rsidR="00AB098C" w:rsidRPr="00C97048" w:rsidRDefault="00AB098C"/>
        </w:tc>
      </w:tr>
      <w:tr w:rsidR="00C83DBC" w:rsidRPr="00C97048" w14:paraId="35E7FF0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B82EC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A8834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143B3E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F2B46" w14:textId="77777777" w:rsidR="00AB098C" w:rsidRPr="00C97048" w:rsidRDefault="008A549F">
            <w:pPr>
              <w:pStyle w:val="Normal6a"/>
            </w:pPr>
            <w:r w:rsidRPr="00C97048">
              <w:t>53.</w:t>
            </w:r>
            <w:r w:rsidRPr="00C97048">
              <w:tab/>
              <w:t xml:space="preserve">przypomina, że mechanizm warunkowości budżetowej ustanowiony rozporządzeniem w sprawie warunkowości jest prawnie </w:t>
            </w:r>
            <w:r w:rsidRPr="00C97048">
              <w:t xml:space="preserve">uregulowanym narzędziem zapobiegania zagrożeniom dla budżetu UE; </w:t>
            </w:r>
            <w:r w:rsidRPr="00C97048">
              <w:rPr>
                <w:b/>
                <w:i/>
              </w:rPr>
              <w:t>zauważa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jego zastosowanie może być jednak uzasadnione tylko wtedy</w:t>
            </w:r>
            <w:r w:rsidRPr="00C97048">
              <w:t xml:space="preserve">, gdy </w:t>
            </w:r>
            <w:r w:rsidRPr="00C97048">
              <w:rPr>
                <w:b/>
                <w:i/>
              </w:rPr>
              <w:t xml:space="preserve">istnieje bezpośredni, rzeczywisty i udowodniony związek między stwierdzonymi uchybieniami a szkodą dla </w:t>
            </w:r>
            <w:r w:rsidRPr="00C97048">
              <w:rPr>
                <w:b/>
                <w:i/>
              </w:rPr>
              <w:t>interesów finansowych UE</w:t>
            </w:r>
            <w:r w:rsidRPr="00C97048">
              <w:t xml:space="preserve">; </w:t>
            </w:r>
            <w:r w:rsidRPr="00C97048">
              <w:rPr>
                <w:b/>
                <w:i/>
              </w:rPr>
              <w:t xml:space="preserve"> wyraża zaniepokojenie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jakiekolwiek rozszerzenie jego zakresu poza ten cel budżetowy byłoby sprzeczne z duchem traktatów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zasadą proporcjonalności</w:t>
            </w:r>
            <w:r w:rsidRPr="00C97048">
              <w:t xml:space="preserve">; przypomina, że legitymacja tego mechanizmu opiera się na </w:t>
            </w:r>
            <w:r w:rsidRPr="00C97048">
              <w:rPr>
                <w:b/>
                <w:i/>
              </w:rPr>
              <w:t>ściśle</w:t>
            </w:r>
            <w:r w:rsidRPr="00C97048">
              <w:t xml:space="preserve"> obiektywnym stosowaniu, wolnym od </w:t>
            </w:r>
            <w:r w:rsidRPr="00C97048">
              <w:rPr>
                <w:b/>
                <w:i/>
              </w:rPr>
              <w:t>wszelkich względów politycznych i zapewniającym równe traktowanie państw członkowskich</w:t>
            </w:r>
            <w:r w:rsidRPr="00C97048">
              <w:t>;</w:t>
            </w:r>
            <w:r w:rsidRPr="00C97048">
              <w:rPr>
                <w:b/>
                <w:i/>
              </w:rPr>
              <w:t xml:space="preserve"> zauważa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jego wdrożenie wiązało się z wyzwaniami praktycznymi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operacyjnymi, co podkreślił ETO w sprawozdaniu specjalnym 03/2024 w sprawie praw</w:t>
            </w:r>
            <w:r w:rsidRPr="00C97048">
              <w:rPr>
                <w:b/>
                <w:i/>
              </w:rPr>
              <w:t>orządności w UE</w:t>
            </w:r>
            <w:r w:rsidRPr="00C97048">
              <w:t xml:space="preserve">; wzywa Komisję do </w:t>
            </w:r>
            <w:r w:rsidRPr="00C97048">
              <w:rPr>
                <w:b/>
                <w:i/>
              </w:rPr>
              <w:t>konsekwentnego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przejrzystego</w:t>
            </w:r>
            <w:r w:rsidRPr="00C97048">
              <w:t xml:space="preserve"> stosowania </w:t>
            </w:r>
            <w:r w:rsidRPr="00C97048">
              <w:rPr>
                <w:b/>
                <w:i/>
              </w:rPr>
              <w:t>tego mechanizmu</w:t>
            </w:r>
            <w:r w:rsidRPr="00C97048">
              <w:t xml:space="preserve"> w </w:t>
            </w:r>
            <w:r w:rsidRPr="00C97048">
              <w:rPr>
                <w:b/>
                <w:i/>
              </w:rPr>
              <w:t>oparciu o obiektywne dowody</w:t>
            </w:r>
            <w:r w:rsidRPr="00C9704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BE8B5" w14:textId="33A03B6B" w:rsidR="00AB098C" w:rsidRPr="00C97048" w:rsidRDefault="008A549F">
            <w:pPr>
              <w:pStyle w:val="Normal6a"/>
            </w:pPr>
            <w:r w:rsidRPr="00C97048">
              <w:t>53.</w:t>
            </w:r>
            <w:r w:rsidRPr="00C97048">
              <w:tab/>
              <w:t xml:space="preserve">przypomina, że mechanizm warunkowości budżetowej ustanowiony rozporządzeniem w sprawie warunkowości jest prawnie uregulowanym narzędziem zapobiegania zagrożeniom dla budżetu UE; </w:t>
            </w:r>
            <w:r w:rsidRPr="00C97048">
              <w:rPr>
                <w:b/>
                <w:i/>
              </w:rPr>
              <w:t>przypomina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rozporządzenie w sprawie warunkowości stanowi zabezpieczenie budżetowe mające na celu ochronę budżetu Unii w przypadku</w:t>
            </w:r>
            <w:r w:rsidRPr="00C97048">
              <w:t xml:space="preserve">, gdy </w:t>
            </w:r>
            <w:r w:rsidRPr="00C97048">
              <w:rPr>
                <w:b/>
                <w:i/>
              </w:rPr>
              <w:t>naruszenia zasad praworządności wpływają lub stwarzają poważne ryzyko wpływu na należyte zarządzanie finansami lub interesy finansowe Unii</w:t>
            </w:r>
            <w:r w:rsidRPr="00C97048">
              <w:t>;</w:t>
            </w:r>
            <w:r w:rsidRPr="00C97048">
              <w:rPr>
                <w:b/>
                <w:i/>
              </w:rPr>
              <w:t xml:space="preserve"> przypomina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Trybunał Sprawiedliwości w sprawach C-1</w:t>
            </w:r>
            <w:r w:rsidRPr="00C97048">
              <w:rPr>
                <w:b/>
                <w:i/>
              </w:rPr>
              <w:t>56/21 i C-157/21 potwierdził legalność rozporządzenia w sprawie warunkowości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szeroki zakres jego stosowania w ochronie budżetu Unii przed naruszeniami praworządności</w:t>
            </w:r>
            <w:r w:rsidRPr="00C97048">
              <w:t xml:space="preserve">; przypomina, że legitymacja tego mechanizmu opiera się na obiektywnym stosowaniu, wolnym od </w:t>
            </w:r>
            <w:r w:rsidRPr="00C97048">
              <w:rPr>
                <w:b/>
                <w:i/>
              </w:rPr>
              <w:t>podwójnych standardów</w:t>
            </w:r>
            <w:r w:rsidRPr="00C97048">
              <w:t>;</w:t>
            </w:r>
            <w:r w:rsidRPr="00C97048">
              <w:rPr>
                <w:b/>
                <w:i/>
              </w:rPr>
              <w:t xml:space="preserve"> podkreśla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systemowe niedociągnięcia w zakresie niezależności sądów, ram antykorupcyjnych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zdolności ścigania mogą stanowić takie ryzyko nawet przed określeniem ilościowym bezpośredniej, konkretnej straty finansowej</w:t>
            </w:r>
            <w:r w:rsidRPr="00C97048">
              <w:t>; wzywa Ko</w:t>
            </w:r>
            <w:r w:rsidRPr="00C97048">
              <w:t xml:space="preserve">misję do </w:t>
            </w:r>
            <w:r w:rsidRPr="00C97048">
              <w:rPr>
                <w:b/>
                <w:i/>
              </w:rPr>
              <w:t>terminowego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spójnego</w:t>
            </w:r>
            <w:r w:rsidRPr="00C97048">
              <w:t xml:space="preserve"> stosowania </w:t>
            </w:r>
            <w:r w:rsidRPr="00C97048">
              <w:rPr>
                <w:b/>
                <w:i/>
              </w:rPr>
              <w:t>rozporządzenia w sprawie warunkowości wszędzie tam, gdzie ten standard jest spełniony, oraz do corocznego składania Parlamentowi sprawozdań z oceny zagrożeń dla praworządności</w:t>
            </w:r>
            <w:r w:rsidRPr="00C97048">
              <w:t xml:space="preserve"> w </w:t>
            </w:r>
            <w:r w:rsidRPr="00C97048">
              <w:rPr>
                <w:b/>
                <w:i/>
              </w:rPr>
              <w:t>budżecie Unii w każdym państwie członkowskim</w:t>
            </w:r>
            <w:r w:rsidRPr="00C97048">
              <w:t>;</w:t>
            </w:r>
          </w:p>
        </w:tc>
      </w:tr>
    </w:tbl>
    <w:p w14:paraId="3FCBFBD7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0F893E40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1F25DA3E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58</w:t>
      </w:r>
      <w:r w:rsidRPr="008A549F">
        <w:rPr>
          <w:rStyle w:val="HideTWBExt"/>
          <w:lang w:val="de-DE"/>
        </w:rPr>
        <w:t>&lt;/NumAm&gt;</w:t>
      </w:r>
    </w:p>
    <w:p w14:paraId="0A3250D2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58</w:t>
      </w:r>
      <w:r w:rsidRPr="008A549F">
        <w:rPr>
          <w:rStyle w:val="HideTWBExt"/>
          <w:lang w:val="de-DE"/>
        </w:rPr>
        <w:t>&lt;/NumAm&gt;</w:t>
      </w:r>
    </w:p>
    <w:p w14:paraId="47534907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612568FC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73396469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7BCDFA51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2808DE1A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773D5BD7" w14:textId="17532782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07F9437D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009ED9F9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691CC47A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54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15DD72D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A5DCE" w14:textId="77777777" w:rsidR="00AB098C" w:rsidRPr="00C97048" w:rsidRDefault="00AB098C"/>
        </w:tc>
      </w:tr>
      <w:tr w:rsidR="00C83DBC" w:rsidRPr="00C97048" w14:paraId="4160E3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B7520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9305A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53F1F3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414BF" w14:textId="05D52C3B" w:rsidR="00AB098C" w:rsidRPr="00C97048" w:rsidRDefault="008A549F">
            <w:pPr>
              <w:pStyle w:val="Normal6a"/>
            </w:pPr>
            <w:r w:rsidRPr="00C97048">
              <w:t>54.</w:t>
            </w:r>
            <w:r w:rsidRPr="00C97048">
              <w:tab/>
            </w:r>
            <w:r w:rsidRPr="00C97048">
              <w:rPr>
                <w:b/>
                <w:i/>
              </w:rPr>
              <w:t>twierdzi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wiarygodność i reputacja instytucji, organów</w:t>
            </w:r>
            <w:r w:rsidRPr="00C97048">
              <w:t xml:space="preserve">, </w:t>
            </w:r>
            <w:r w:rsidRPr="00C97048">
              <w:rPr>
                <w:b/>
                <w:i/>
              </w:rPr>
              <w:t>urzędów i agencji UE stanowią podstawowy element zaufania obywateli</w:t>
            </w:r>
            <w:r w:rsidRPr="00C97048">
              <w:t>;</w:t>
            </w:r>
            <w:r w:rsidRPr="00C97048">
              <w:rPr>
                <w:b/>
                <w:i/>
              </w:rPr>
              <w:t xml:space="preserve"> uważa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rozliczalność w zakresie</w:t>
            </w:r>
            <w:r w:rsidRPr="00C97048">
              <w:t xml:space="preserve"> wykorzystania </w:t>
            </w:r>
            <w:r w:rsidRPr="00C97048">
              <w:rPr>
                <w:b/>
                <w:i/>
              </w:rPr>
              <w:t xml:space="preserve">środków budżetowych UE ma </w:t>
            </w:r>
            <w:r w:rsidRPr="00C97048">
              <w:rPr>
                <w:b/>
                <w:i/>
              </w:rPr>
              <w:t>kluczowe</w:t>
            </w:r>
            <w:r w:rsidRPr="00C97048">
              <w:t xml:space="preserve"> znaczenie </w:t>
            </w:r>
            <w:r w:rsidRPr="00C97048">
              <w:rPr>
                <w:b/>
                <w:i/>
              </w:rPr>
              <w:t>dla legitymacji demokratycznej oraz że wymogi dotyczące przejrzystości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ochrony interesów finansowych UE muszą mieć jednakowe zastosowanie</w:t>
            </w:r>
            <w:r w:rsidRPr="00C97048">
              <w:t xml:space="preserve"> do wszystkich </w:t>
            </w:r>
            <w:r w:rsidRPr="00C97048">
              <w:rPr>
                <w:b/>
                <w:i/>
              </w:rPr>
              <w:t>beneficjentów, bez wyjątku, w ramach każdej instytucji UE, w tym Parlamentu</w:t>
            </w:r>
            <w:r w:rsidRPr="00C97048">
              <w:t xml:space="preserve">, </w:t>
            </w:r>
            <w:r w:rsidRPr="00C97048">
              <w:rPr>
                <w:b/>
                <w:i/>
              </w:rPr>
              <w:t xml:space="preserve">aby </w:t>
            </w:r>
            <w:r w:rsidRPr="00C97048">
              <w:rPr>
                <w:b/>
                <w:i/>
              </w:rPr>
              <w:t>zagwarantować należyte zarządzanie finansami i skuteczne kontrole środków publicznych</w:t>
            </w:r>
            <w:r w:rsidRPr="00C9704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CB895" w14:textId="76591249" w:rsidR="00AB098C" w:rsidRPr="00C97048" w:rsidRDefault="008A549F">
            <w:pPr>
              <w:pStyle w:val="Normal6a"/>
            </w:pPr>
            <w:r w:rsidRPr="00C97048">
              <w:t>54.</w:t>
            </w:r>
            <w:r w:rsidRPr="00C97048">
              <w:tab/>
            </w:r>
            <w:r w:rsidRPr="00C97048">
              <w:rPr>
                <w:b/>
                <w:i/>
              </w:rPr>
              <w:t>przypomina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obowiązek ochrony interesów finansowych Unii ma zastosowanie w równym stopniu do wszystkich beneficjentów funduszy unijnych</w:t>
            </w:r>
            <w:r w:rsidRPr="00C97048">
              <w:t xml:space="preserve">, </w:t>
            </w:r>
            <w:r w:rsidRPr="00C97048">
              <w:rPr>
                <w:b/>
                <w:i/>
              </w:rPr>
              <w:t>w tym grup politycznych działających w Parlamencie Europejskim</w:t>
            </w:r>
            <w:r w:rsidRPr="00C97048">
              <w:t>;</w:t>
            </w:r>
            <w:r w:rsidRPr="00C97048">
              <w:rPr>
                <w:b/>
                <w:i/>
              </w:rPr>
              <w:t xml:space="preserve"> zauważa</w:t>
            </w:r>
            <w:r w:rsidRPr="00C97048">
              <w:t xml:space="preserve">, że </w:t>
            </w:r>
            <w:r w:rsidRPr="00C97048">
              <w:rPr>
                <w:b/>
                <w:i/>
              </w:rPr>
              <w:t>dochodzenia i działania naprawcze dotyczące podejrzenia niewłaściwego</w:t>
            </w:r>
            <w:r w:rsidRPr="00C97048">
              <w:t xml:space="preserve"> wykorzystania </w:t>
            </w:r>
            <w:r w:rsidRPr="00C97048">
              <w:rPr>
                <w:b/>
                <w:i/>
              </w:rPr>
              <w:t>funduszy unijnych przez byłą grupę Tożsamość i Demokracja uwypuklają</w:t>
            </w:r>
            <w:r w:rsidRPr="00C97048">
              <w:t xml:space="preserve"> znaczenie </w:t>
            </w:r>
            <w:r w:rsidRPr="00C97048">
              <w:rPr>
                <w:b/>
                <w:i/>
              </w:rPr>
              <w:t>solidnych kontroli wewnętrznych, skutecznej weryfikacji ex post</w:t>
            </w:r>
            <w:r w:rsidRPr="00C97048">
              <w:t xml:space="preserve"> i </w:t>
            </w:r>
            <w:r w:rsidRPr="00C97048">
              <w:rPr>
                <w:b/>
                <w:i/>
              </w:rPr>
              <w:t>szybkich mechanizmów odzyskiwania środków w administracji Parlamen</w:t>
            </w:r>
            <w:r w:rsidRPr="00C97048">
              <w:rPr>
                <w:b/>
                <w:i/>
              </w:rPr>
              <w:t>tu;</w:t>
            </w:r>
            <w:r w:rsidRPr="00C97048">
              <w:t xml:space="preserve"> </w:t>
            </w:r>
            <w:r w:rsidRPr="00C97048">
              <w:rPr>
                <w:b/>
                <w:i/>
              </w:rPr>
              <w:t>wzywa administrację Parlamentu do niezwłocznego zakończenia wszystkich zaległych postępowań w sprawie odzyskania środków oraz do przekazania OLAF-owi i EPPO wszelkich dowodów nieprawidłowości w wydatkach; podkreśla, że wiarygodność unijnej struktury zwalczania nadużyć finansowych zależy od jej spójnego stosowania do wszystkich beneficjentów, w tym w samym Parlamencie;</w:t>
            </w:r>
          </w:p>
        </w:tc>
      </w:tr>
    </w:tbl>
    <w:p w14:paraId="04214C32" w14:textId="77777777" w:rsidR="00AB098C" w:rsidRPr="008A549F" w:rsidRDefault="008A549F">
      <w:pPr>
        <w:pStyle w:val="AmOrLang"/>
        <w:rPr>
          <w:lang w:val="de-DE"/>
        </w:rPr>
      </w:pPr>
      <w:r w:rsidRPr="008A549F">
        <w:rPr>
          <w:lang w:val="de-DE"/>
        </w:rPr>
        <w:t xml:space="preserve">Or. </w:t>
      </w:r>
      <w:r w:rsidRPr="008A549F">
        <w:rPr>
          <w:rStyle w:val="HideTWBExt"/>
          <w:lang w:val="de-DE"/>
        </w:rPr>
        <w:t>&lt;Original&gt;</w:t>
      </w:r>
      <w:r w:rsidRPr="008A549F">
        <w:rPr>
          <w:rStyle w:val="HideTWBInt"/>
          <w:lang w:val="de-DE"/>
        </w:rPr>
        <w:t>{EN}</w:t>
      </w:r>
      <w:r w:rsidRPr="008A549F">
        <w:rPr>
          <w:lang w:val="de-DE"/>
        </w:rPr>
        <w:t>en</w:t>
      </w:r>
      <w:r w:rsidRPr="008A549F">
        <w:rPr>
          <w:rStyle w:val="HideTWBExt"/>
          <w:lang w:val="de-DE"/>
        </w:rPr>
        <w:t>&lt;/Original&gt;</w:t>
      </w:r>
    </w:p>
    <w:p w14:paraId="0C74D12A" w14:textId="77777777" w:rsidR="00AB098C" w:rsidRPr="008A549F" w:rsidRDefault="008A549F">
      <w:pPr>
        <w:rPr>
          <w:lang w:val="de-DE"/>
        </w:rPr>
        <w:sectPr w:rsidR="00AB098C" w:rsidRPr="008A549F">
          <w:pgSz w:w="11909" w:h="16834"/>
          <w:pgMar w:top="1134" w:right="1417" w:bottom="1417" w:left="1417" w:header="1134" w:footer="567" w:gutter="0"/>
          <w:cols w:space="720"/>
        </w:sectPr>
      </w:pPr>
      <w:r w:rsidRPr="008A549F">
        <w:rPr>
          <w:rStyle w:val="HideTWBExt"/>
          <w:lang w:val="de-DE"/>
        </w:rPr>
        <w:t>&lt;/Amend&gt;</w:t>
      </w:r>
    </w:p>
    <w:p w14:paraId="7888F82B" w14:textId="77777777" w:rsidR="00AB098C" w:rsidRPr="008A549F" w:rsidRDefault="008A549F">
      <w:pPr>
        <w:pStyle w:val="AmDateTab"/>
        <w:rPr>
          <w:lang w:val="de-DE"/>
        </w:rPr>
      </w:pPr>
      <w:r w:rsidRPr="008A549F">
        <w:rPr>
          <w:rStyle w:val="HideTWBExt"/>
          <w:lang w:val="de-DE"/>
        </w:rPr>
        <w:t>&lt;Amend&gt;&lt;Date&gt;</w:t>
      </w:r>
      <w:r w:rsidRPr="008A549F">
        <w:rPr>
          <w:rStyle w:val="HideTWBInt"/>
          <w:color w:val="auto"/>
          <w:lang w:val="de-DE"/>
        </w:rPr>
        <w:t>{22/04/2026}</w:t>
      </w:r>
      <w:r w:rsidRPr="008A549F">
        <w:rPr>
          <w:lang w:val="de-DE"/>
        </w:rPr>
        <w:t>22.4.2026</w:t>
      </w:r>
      <w:r w:rsidRPr="008A549F">
        <w:rPr>
          <w:rStyle w:val="HideTWBExt"/>
          <w:lang w:val="de-DE"/>
        </w:rPr>
        <w:t>&lt;/Date&gt;</w:t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&lt;ANo&gt;</w:t>
      </w:r>
      <w:r w:rsidRPr="008A549F">
        <w:rPr>
          <w:lang w:val="de-DE"/>
        </w:rPr>
        <w:t>A10-0080</w:t>
      </w:r>
      <w:r w:rsidRPr="008A549F">
        <w:rPr>
          <w:rStyle w:val="HideTWBExt"/>
          <w:lang w:val="de-DE"/>
        </w:rPr>
        <w:t>&lt;/ANo&gt;</w:t>
      </w:r>
      <w:r w:rsidRPr="008A549F">
        <w:rPr>
          <w:lang w:val="de-DE"/>
        </w:rPr>
        <w:t>/</w:t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59</w:t>
      </w:r>
      <w:r w:rsidRPr="008A549F">
        <w:rPr>
          <w:rStyle w:val="HideTWBExt"/>
          <w:lang w:val="de-DE"/>
        </w:rPr>
        <w:t>&lt;/NumAm&gt;</w:t>
      </w:r>
    </w:p>
    <w:p w14:paraId="39A58780" w14:textId="77777777" w:rsidR="00AB098C" w:rsidRPr="008A549F" w:rsidRDefault="008A549F">
      <w:pPr>
        <w:pStyle w:val="AmNumberTabs"/>
        <w:rPr>
          <w:lang w:val="de-DE"/>
        </w:rPr>
      </w:pPr>
      <w:r w:rsidRPr="008A549F">
        <w:rPr>
          <w:lang w:val="de-DE"/>
        </w:rPr>
        <w:t>Poprawka</w:t>
      </w:r>
      <w:r w:rsidRPr="008A549F">
        <w:rPr>
          <w:lang w:val="de-DE"/>
        </w:rPr>
        <w:tab/>
      </w:r>
      <w:r w:rsidRPr="008A549F">
        <w:rPr>
          <w:lang w:val="de-DE"/>
        </w:rPr>
        <w:tab/>
      </w:r>
      <w:r w:rsidRPr="008A549F">
        <w:rPr>
          <w:rStyle w:val="HideTWBExt"/>
          <w:lang w:val="de-DE"/>
        </w:rPr>
        <w:t>&lt;NumAm&gt;</w:t>
      </w:r>
      <w:r w:rsidRPr="008A549F">
        <w:rPr>
          <w:lang w:val="de-DE"/>
        </w:rPr>
        <w:t>59</w:t>
      </w:r>
      <w:r w:rsidRPr="008A549F">
        <w:rPr>
          <w:rStyle w:val="HideTWBExt"/>
          <w:lang w:val="de-DE"/>
        </w:rPr>
        <w:t>&lt;/NumAm&gt;</w:t>
      </w:r>
    </w:p>
    <w:p w14:paraId="1E4C1956" w14:textId="77777777" w:rsidR="00AB098C" w:rsidRPr="008A549F" w:rsidRDefault="008A549F">
      <w:pPr>
        <w:pStyle w:val="NormalBold"/>
        <w:rPr>
          <w:lang w:val="de-DE"/>
        </w:rPr>
      </w:pPr>
      <w:r w:rsidRPr="008A549F">
        <w:rPr>
          <w:rStyle w:val="HideTWBExt"/>
          <w:b w:val="0"/>
          <w:lang w:val="de-DE"/>
        </w:rPr>
        <w:t>&lt;RepeatBlock-By&gt;&lt;By&gt;&lt;Members&gt;</w:t>
      </w:r>
      <w:r w:rsidRPr="008A549F">
        <w:rPr>
          <w:lang w:val="de-DE"/>
        </w:rPr>
        <w:t>Daniel Freund</w:t>
      </w:r>
      <w:r w:rsidRPr="008A549F">
        <w:rPr>
          <w:rStyle w:val="HideTWBExt"/>
          <w:b w:val="0"/>
          <w:lang w:val="de-DE"/>
        </w:rPr>
        <w:t>&lt;/Members&gt;</w:t>
      </w:r>
    </w:p>
    <w:p w14:paraId="6874B7EE" w14:textId="77777777" w:rsidR="00AB098C" w:rsidRPr="00C97048" w:rsidRDefault="008A549F">
      <w:r w:rsidRPr="00C97048">
        <w:rPr>
          <w:rStyle w:val="HideTWBExt"/>
        </w:rPr>
        <w:t>&lt;AuNomDe&gt;</w:t>
      </w:r>
      <w:r w:rsidRPr="00C97048">
        <w:rPr>
          <w:rStyle w:val="HideTWBInt"/>
          <w:color w:val="auto"/>
        </w:rPr>
        <w:t>{Verts/ALE}</w:t>
      </w:r>
      <w:r w:rsidRPr="00C97048">
        <w:t xml:space="preserve">w imieniu grupy </w:t>
      </w:r>
      <w:proofErr w:type="spellStart"/>
      <w:r w:rsidRPr="00C97048">
        <w:t>Verts</w:t>
      </w:r>
      <w:proofErr w:type="spellEnd"/>
      <w:r w:rsidRPr="00C97048">
        <w:t>/ALE</w:t>
      </w:r>
      <w:r w:rsidRPr="00C97048">
        <w:rPr>
          <w:rStyle w:val="HideTWBExt"/>
        </w:rPr>
        <w:t>&lt;/AuNomDe&gt;</w:t>
      </w:r>
    </w:p>
    <w:p w14:paraId="60C10E6F" w14:textId="77777777" w:rsidR="00AB098C" w:rsidRPr="00C97048" w:rsidRDefault="008A549F">
      <w:pPr>
        <w:pStyle w:val="NormalBold"/>
      </w:pPr>
      <w:r w:rsidRPr="00C97048">
        <w:rPr>
          <w:rStyle w:val="HideTWBExt"/>
          <w:b w:val="0"/>
        </w:rPr>
        <w:t>&lt;/By&gt;&lt;/RepeatBlock-By&gt;</w:t>
      </w:r>
    </w:p>
    <w:p w14:paraId="6953A485" w14:textId="77777777" w:rsidR="00AB098C" w:rsidRPr="00C97048" w:rsidRDefault="008A549F">
      <w:pPr>
        <w:pStyle w:val="AmDocTypeTab"/>
      </w:pPr>
      <w:r w:rsidRPr="00C97048">
        <w:rPr>
          <w:rStyle w:val="HideTWBExt"/>
        </w:rPr>
        <w:t>&lt;TitreType&gt;</w:t>
      </w:r>
      <w:r w:rsidRPr="00C97048">
        <w:t>Sprawozdanie</w:t>
      </w:r>
      <w:r w:rsidRPr="00C97048">
        <w:rPr>
          <w:rStyle w:val="HideTWBExt"/>
        </w:rPr>
        <w:t>&lt;/TitreType&gt;</w:t>
      </w:r>
      <w:r w:rsidRPr="00C97048">
        <w:tab/>
        <w:t>A10-0080/2026</w:t>
      </w:r>
    </w:p>
    <w:p w14:paraId="48DB673F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&lt;Rapporteur&gt;</w:t>
      </w:r>
      <w:proofErr w:type="spellStart"/>
      <w:r w:rsidRPr="00C97048">
        <w:t>Julien</w:t>
      </w:r>
      <w:proofErr w:type="spellEnd"/>
      <w:r w:rsidRPr="00C97048">
        <w:t xml:space="preserve"> Sanchez</w:t>
      </w:r>
      <w:r w:rsidRPr="00C97048">
        <w:rPr>
          <w:rStyle w:val="HideTWBExt"/>
        </w:rPr>
        <w:t>&lt;/Rapporteur&gt;</w:t>
      </w:r>
    </w:p>
    <w:p w14:paraId="2414A911" w14:textId="193E84CA" w:rsidR="00AB098C" w:rsidRPr="00C97048" w:rsidRDefault="008A549F">
      <w:r w:rsidRPr="00C97048">
        <w:rPr>
          <w:rStyle w:val="HideTWBExt"/>
        </w:rPr>
        <w:t>&lt;Titre&gt;</w:t>
      </w:r>
      <w:r w:rsidRPr="00C97048">
        <w:t>Ochrona interesów finansowych Unii Europejskiej – zwalczanie nadużyć finansowych – sprawozdanie roczne za rok 2024</w:t>
      </w:r>
      <w:r w:rsidRPr="00C97048">
        <w:rPr>
          <w:rStyle w:val="HideTWBExt"/>
        </w:rPr>
        <w:t>&lt;/Titre&gt;</w:t>
      </w:r>
    </w:p>
    <w:p w14:paraId="47A6A819" w14:textId="77777777" w:rsidR="00AB098C" w:rsidRPr="00C97048" w:rsidRDefault="008A549F">
      <w:pPr>
        <w:pStyle w:val="Normal12a"/>
      </w:pPr>
      <w:r w:rsidRPr="00C97048">
        <w:rPr>
          <w:rStyle w:val="HideTWBExt"/>
        </w:rPr>
        <w:t>&lt;DocRef&gt;</w:t>
      </w:r>
      <w:r w:rsidRPr="00C97048">
        <w:t>(2025/2238(INI))</w:t>
      </w:r>
      <w:r w:rsidRPr="00C97048">
        <w:rPr>
          <w:rStyle w:val="HideTWBExt"/>
        </w:rPr>
        <w:t>&lt;/DocRef&gt;</w:t>
      </w:r>
    </w:p>
    <w:p w14:paraId="5F8BA664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&lt;DocAmend&gt;</w:t>
      </w:r>
      <w:r w:rsidRPr="00C97048">
        <w:t>Projekt rezolucji</w:t>
      </w:r>
      <w:r w:rsidRPr="00C97048">
        <w:rPr>
          <w:rStyle w:val="HideTWBExt"/>
        </w:rPr>
        <w:t>&lt;/DocAmend&gt;</w:t>
      </w:r>
    </w:p>
    <w:p w14:paraId="0B7B25F8" w14:textId="77777777" w:rsidR="00AB098C" w:rsidRPr="00C97048" w:rsidRDefault="008A549F">
      <w:pPr>
        <w:pStyle w:val="NormalBold"/>
      </w:pPr>
      <w:r w:rsidRPr="00C97048">
        <w:rPr>
          <w:rStyle w:val="HideTWBExt"/>
        </w:rPr>
        <w:t>&lt;Article&gt;</w:t>
      </w:r>
      <w:r w:rsidRPr="00C97048">
        <w:t>Ustęp 54 a (nowy)</w:t>
      </w:r>
      <w:r w:rsidRPr="00C9704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3DBC" w:rsidRPr="00C97048" w14:paraId="6CE69F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C5431" w14:textId="77777777" w:rsidR="00AB098C" w:rsidRPr="00C97048" w:rsidRDefault="00AB098C"/>
        </w:tc>
      </w:tr>
      <w:tr w:rsidR="00C83DBC" w:rsidRPr="00C97048" w14:paraId="36BC4A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F0D4E" w14:textId="77777777" w:rsidR="00AB098C" w:rsidRPr="00C97048" w:rsidRDefault="008A549F">
            <w:pPr>
              <w:pStyle w:val="AmColumnHeading"/>
            </w:pPr>
            <w:r w:rsidRPr="00C9704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53A9" w14:textId="77777777" w:rsidR="00AB098C" w:rsidRPr="00C97048" w:rsidRDefault="008A549F">
            <w:pPr>
              <w:pStyle w:val="AmColumnHeading"/>
            </w:pPr>
            <w:r w:rsidRPr="00C97048">
              <w:t>Poprawka</w:t>
            </w:r>
          </w:p>
        </w:tc>
      </w:tr>
      <w:tr w:rsidR="00C83DBC" w:rsidRPr="00C97048" w14:paraId="1DA956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58426" w14:textId="77777777" w:rsidR="00AB098C" w:rsidRPr="00C9704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A016" w14:textId="31C58401" w:rsidR="00AB098C" w:rsidRPr="00C97048" w:rsidRDefault="008A549F">
            <w:pPr>
              <w:pStyle w:val="Normal6a"/>
            </w:pPr>
            <w:r w:rsidRPr="00C97048">
              <w:rPr>
                <w:b/>
                <w:i/>
              </w:rPr>
              <w:t>54a.</w:t>
            </w:r>
            <w:r w:rsidRPr="00C97048">
              <w:tab/>
            </w:r>
            <w:r w:rsidRPr="00C97048">
              <w:rPr>
                <w:b/>
                <w:i/>
              </w:rPr>
              <w:t xml:space="preserve">zauważa, że administracja Parlamentu ustaliła, iż w kadencji 2019–2024 była grupa Tożsamość i Demokracja </w:t>
            </w:r>
            <w:r w:rsidRPr="00C97048">
              <w:rPr>
                <w:b/>
                <w:i/>
              </w:rPr>
              <w:t>nienależnie wydała co najmniej 4 333 635,78 EUR ze środków z pozycji budżetowej 400 oraz że w lipcu 2025 r. EPPO wszczęła dochodzenie w sprawie domniemanego niewłaściwego wykorzystania funduszy unijnych przez tę grupę; podkreśla, że wiarygodność unijnej struktury zwalczania nadużyć finansowych wymaga spójnego stosowania zasad przejrzystości, rozliczalności i odzyskiwania środków wobec wszystkich beneficjentów, bez wyjątku; wzywa administrację Parlamentu, aby równolegle z postępowaniem przygotowawczym prowad</w:t>
            </w:r>
            <w:r w:rsidRPr="00C97048">
              <w:rPr>
                <w:b/>
                <w:i/>
              </w:rPr>
              <w:t>zonym przez EPPO podjęła tymczasowe administracyjne środki ochrony interesów finansowych Unii; uważa, że rozwiązanie grupy Tożsamość i Demokracja w 2024 r. i związane z tym postępowania finansowe pokazały, że obecne przepisy są niewystarczające do zapewnienia terminowego wykrywania i zgłaszania nieprawidłowości oraz odzyskiwania środków; wzywa Prezydium Parlamentu do pilnego przeglądu i wzmocnienia ram wewnętrznej kontroli finansowej mających zastosowanie do grup politycznych w Parlamencie Europejskim;</w:t>
            </w:r>
          </w:p>
        </w:tc>
      </w:tr>
    </w:tbl>
    <w:p w14:paraId="046CB116" w14:textId="77777777" w:rsidR="00AB098C" w:rsidRPr="00C97048" w:rsidRDefault="008A549F">
      <w:pPr>
        <w:pStyle w:val="AmOrLang"/>
      </w:pPr>
      <w:r w:rsidRPr="00C97048">
        <w:t xml:space="preserve">Or. </w:t>
      </w:r>
      <w:r w:rsidRPr="00C97048">
        <w:rPr>
          <w:rStyle w:val="HideTWBExt"/>
        </w:rPr>
        <w:t>&lt;Original&gt;</w:t>
      </w:r>
      <w:r w:rsidRPr="00C97048">
        <w:rPr>
          <w:rStyle w:val="HideTWBInt"/>
        </w:rPr>
        <w:t>{EN}</w:t>
      </w:r>
      <w:r w:rsidRPr="00C97048">
        <w:t>en</w:t>
      </w:r>
      <w:r w:rsidRPr="00C97048">
        <w:rPr>
          <w:rStyle w:val="HideTWBExt"/>
        </w:rPr>
        <w:t>&lt;/Original&gt;</w:t>
      </w:r>
    </w:p>
    <w:p w14:paraId="58D2499F" w14:textId="77777777" w:rsidR="00AB098C" w:rsidRPr="00C97048" w:rsidRDefault="008A549F">
      <w:r w:rsidRPr="00C97048">
        <w:rPr>
          <w:rStyle w:val="HideTWBExt"/>
        </w:rPr>
        <w:t>&lt;/Amend&gt;</w:t>
      </w:r>
    </w:p>
    <w:p w14:paraId="165F2E2F" w14:textId="77777777" w:rsidR="00AB098C" w:rsidRPr="00C97048" w:rsidRDefault="008A549F">
      <w:r w:rsidRPr="00C97048">
        <w:rPr>
          <w:rStyle w:val="HideTWBExt"/>
        </w:rPr>
        <w:t>&lt;/RepeatBlock-Amend&gt;</w:t>
      </w:r>
    </w:p>
    <w:sectPr w:rsidR="00AB098C" w:rsidRPr="00C97048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4C43B" w14:textId="77777777" w:rsidR="008A549F" w:rsidRPr="00C97048" w:rsidRDefault="008A549F">
      <w:r w:rsidRPr="00C97048">
        <w:separator/>
      </w:r>
    </w:p>
  </w:endnote>
  <w:endnote w:type="continuationSeparator" w:id="0">
    <w:p w14:paraId="79FC293A" w14:textId="77777777" w:rsidR="008A549F" w:rsidRPr="00C97048" w:rsidRDefault="008A549F">
      <w:r w:rsidRPr="00C970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A031" w14:textId="77777777" w:rsidR="008A549F" w:rsidRDefault="008A5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4064" w14:textId="77777777" w:rsidR="00C97048" w:rsidRPr="00C97048" w:rsidRDefault="00C97048" w:rsidP="00C97048">
    <w:pPr>
      <w:pStyle w:val="EPFooter"/>
    </w:pPr>
    <w:r w:rsidRPr="00C97048">
      <w:rPr>
        <w:rStyle w:val="HideTWBExt"/>
      </w:rPr>
      <w:t>&lt;PathFdR&gt;</w:t>
    </w:r>
    <w:r w:rsidRPr="00C97048">
      <w:t>AM\1342225PL.docx</w:t>
    </w:r>
    <w:r w:rsidRPr="00C97048">
      <w:rPr>
        <w:rStyle w:val="HideTWBExt"/>
      </w:rPr>
      <w:t>&lt;/PathFdR&gt;</w:t>
    </w:r>
    <w:r w:rsidRPr="00C97048">
      <w:tab/>
    </w:r>
    <w:r w:rsidRPr="00C97048">
      <w:tab/>
      <w:t>PE</w:t>
    </w:r>
    <w:r w:rsidRPr="00C97048">
      <w:rPr>
        <w:rStyle w:val="HideTWBExt"/>
      </w:rPr>
      <w:t>&lt;NoPE&gt;</w:t>
    </w:r>
    <w:r w:rsidRPr="00C97048">
      <w:t>783.022</w:t>
    </w:r>
    <w:r w:rsidRPr="00C97048">
      <w:rPr>
        <w:rStyle w:val="HideTWBExt"/>
      </w:rPr>
      <w:t>&lt;/NoPE&gt;&lt;Version&gt;</w:t>
    </w:r>
    <w:r w:rsidRPr="00C97048">
      <w:t>v01-00</w:t>
    </w:r>
    <w:r w:rsidRPr="00C97048">
      <w:rPr>
        <w:rStyle w:val="HideTWBExt"/>
      </w:rPr>
      <w:t>&lt;/Version&gt;</w:t>
    </w:r>
  </w:p>
  <w:p w14:paraId="7CDB53C2" w14:textId="0AD22552" w:rsidR="00AB098C" w:rsidRPr="00C97048" w:rsidRDefault="00C97048" w:rsidP="00C97048">
    <w:pPr>
      <w:pStyle w:val="EPFooter2"/>
    </w:pPr>
    <w:r w:rsidRPr="00C97048">
      <w:t>PL</w:t>
    </w:r>
    <w:r w:rsidRPr="00C97048">
      <w:tab/>
    </w:r>
    <w:r w:rsidRPr="00C97048">
      <w:rPr>
        <w:b w:val="0"/>
        <w:i/>
        <w:color w:val="C0C0C0"/>
        <w:sz w:val="22"/>
      </w:rPr>
      <w:t>Zjednoczona w różnorodności</w:t>
    </w:r>
    <w:r w:rsidRPr="00C97048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A45A" w14:textId="77777777" w:rsidR="008A549F" w:rsidRDefault="008A5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2F98C" w14:textId="77777777" w:rsidR="008A549F" w:rsidRPr="00C97048" w:rsidRDefault="008A549F">
      <w:r w:rsidRPr="00C97048">
        <w:separator/>
      </w:r>
    </w:p>
  </w:footnote>
  <w:footnote w:type="continuationSeparator" w:id="0">
    <w:p w14:paraId="243C576F" w14:textId="77777777" w:rsidR="008A549F" w:rsidRPr="00C97048" w:rsidRDefault="008A549F">
      <w:r w:rsidRPr="00C970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EA5D8" w14:textId="77777777" w:rsidR="008A549F" w:rsidRDefault="008A5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625CD" w14:textId="77777777" w:rsidR="008A549F" w:rsidRDefault="008A5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3084" w14:textId="77777777" w:rsidR="008A549F" w:rsidRDefault="008A54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2"/>
    <w:docVar w:name="TXTLANGUE" w:val="PL"/>
    <w:docVar w:name="TXTLANGUEMIN" w:val="pl"/>
    <w:docVar w:name="TXTNRPE" w:val="783.022"/>
    <w:docVar w:name="TXTPEorAP" w:val="PE"/>
    <w:docVar w:name="TXTROUTE" w:val="AM\1342225PL.docx"/>
    <w:docVar w:name="TXTVERSION" w:val="01-00"/>
  </w:docVars>
  <w:rsids>
    <w:rsidRoot w:val="00A77B3E"/>
    <w:rsid w:val="001E6DCE"/>
    <w:rsid w:val="0022097A"/>
    <w:rsid w:val="002C4F66"/>
    <w:rsid w:val="0034105C"/>
    <w:rsid w:val="00380094"/>
    <w:rsid w:val="0044003A"/>
    <w:rsid w:val="004A2B70"/>
    <w:rsid w:val="00566641"/>
    <w:rsid w:val="005744EE"/>
    <w:rsid w:val="005D1D4D"/>
    <w:rsid w:val="006447B6"/>
    <w:rsid w:val="006A13A9"/>
    <w:rsid w:val="006F1F54"/>
    <w:rsid w:val="00705A00"/>
    <w:rsid w:val="007B6BE6"/>
    <w:rsid w:val="008A549F"/>
    <w:rsid w:val="009C0B53"/>
    <w:rsid w:val="009F6C83"/>
    <w:rsid w:val="00A04E9B"/>
    <w:rsid w:val="00A77B3E"/>
    <w:rsid w:val="00AB098C"/>
    <w:rsid w:val="00C62949"/>
    <w:rsid w:val="00C83DBC"/>
    <w:rsid w:val="00C97048"/>
    <w:rsid w:val="00CA2A55"/>
    <w:rsid w:val="00F628DF"/>
    <w:rsid w:val="00FA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35163"/>
  <w15:docId w15:val="{C4F0EAC1-4B7D-4BB5-A8AE-971B0280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80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094"/>
    <w:rPr>
      <w:sz w:val="24"/>
      <w:szCs w:val="24"/>
    </w:rPr>
  </w:style>
  <w:style w:type="paragraph" w:styleId="Footer">
    <w:name w:val="footer"/>
    <w:basedOn w:val="Normal"/>
    <w:link w:val="FooterChar1"/>
    <w:rsid w:val="00380094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380094"/>
    <w:rPr>
      <w:sz w:val="24"/>
      <w:szCs w:val="24"/>
    </w:rPr>
  </w:style>
  <w:style w:type="paragraph" w:styleId="Revision">
    <w:name w:val="Revision"/>
    <w:hidden/>
    <w:uiPriority w:val="99"/>
    <w:semiHidden/>
    <w:rsid w:val="0022097A"/>
    <w:rPr>
      <w:sz w:val="24"/>
      <w:szCs w:val="24"/>
    </w:rPr>
  </w:style>
  <w:style w:type="character" w:styleId="CommentReference">
    <w:name w:val="annotation reference"/>
    <w:basedOn w:val="DefaultParagraphFont"/>
    <w:rsid w:val="00FA7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74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A7453"/>
  </w:style>
  <w:style w:type="paragraph" w:styleId="CommentSubject">
    <w:name w:val="annotation subject"/>
    <w:basedOn w:val="CommentText"/>
    <w:next w:val="CommentText"/>
    <w:link w:val="CommentSubjectChar"/>
    <w:rsid w:val="00FA7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7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1577</Words>
  <Characters>14690</Characters>
  <Application>Microsoft Office Word</Application>
  <DocSecurity>0</DocSecurity>
  <Lines>612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16064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WOLSZCZAK Monika</cp:lastModifiedBy>
  <cp:revision>2</cp:revision>
  <cp:lastPrinted>2026-04-22T17:39:00Z</cp:lastPrinted>
  <dcterms:created xsi:type="dcterms:W3CDTF">2026-04-27T10:45:00Z</dcterms:created>
  <dcterms:modified xsi:type="dcterms:W3CDTF">2026-04-27T10:45:00Z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1342225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Bookout">
    <vt:lpwstr>OK - 2026/04/22 20:28</vt:lpwstr>
  </property>
  <property fmtid="{D5CDD505-2E9C-101B-9397-08002B2CF9AE}" pid="7" name="dmxml.render.id">
    <vt:lpwstr>459267</vt:lpwstr>
  </property>
  <property fmtid="{D5CDD505-2E9C-101B-9397-08002B2CF9AE}" pid="8" name="dmxml.render.traceId">
    <vt:lpwstr>69e8e9021f7542c89ca2e5b051c30353</vt:lpwstr>
  </property>
  <property fmtid="{D5CDD505-2E9C-101B-9397-08002B2CF9AE}" pid="9" name="FooterPath">
    <vt:lpwstr>AM\1342225PL.docx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783.022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UID">
    <vt:lpwstr>eu.europa.europarl-DIN1-2026-0000109521_01.00-en-01.00_text-xml</vt:lpwstr>
  </property>
</Properties>
</file>