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3C1A1A" w:rsidRDefault="00497CDE">
      <w:pPr>
        <w:pStyle w:val="AmDateTab"/>
      </w:pPr>
      <w:r w:rsidRPr="003C1A1A">
        <w:rPr>
          <w:rStyle w:val="HideTWBExt"/>
        </w:rPr>
        <w:t>&lt;RepeatBlock-Amend&gt;&lt;Amend&gt;&lt;Date&gt;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50</w:t>
      </w:r>
      <w:r w:rsidRPr="003C1A1A">
        <w:rPr>
          <w:rStyle w:val="HideTWBExt"/>
        </w:rPr>
        <w:t>&lt;/NumAm&gt;</w:t>
      </w:r>
    </w:p>
    <w:p w14:paraId="6F54DC25"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50</w:t>
      </w:r>
      <w:r w:rsidRPr="003C1A1A">
        <w:rPr>
          <w:rStyle w:val="HideTWBExt"/>
        </w:rPr>
        <w:t>&lt;/NumAm&gt;</w:t>
      </w:r>
    </w:p>
    <w:p w14:paraId="258E7D6A"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666E1CA7"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294E2802" w14:textId="77777777" w:rsidR="00AB098C" w:rsidRPr="003C1A1A" w:rsidRDefault="00497CDE">
      <w:pPr>
        <w:pStyle w:val="NormalBold"/>
      </w:pPr>
      <w:r w:rsidRPr="003C1A1A">
        <w:rPr>
          <w:rStyle w:val="HideTWBExt"/>
          <w:b w:val="0"/>
        </w:rPr>
        <w:t>&lt;/By&gt;&lt;/RepeatBlock-By&gt;</w:t>
      </w:r>
    </w:p>
    <w:p w14:paraId="36619970"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594826D1"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4006048E" w14:textId="30E45309"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41E99341"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38C2EC05"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28E559A1" w14:textId="6A10691D" w:rsidR="00AB098C" w:rsidRPr="003C1A1A" w:rsidRDefault="00497CDE">
      <w:pPr>
        <w:pStyle w:val="NormalBold"/>
      </w:pPr>
      <w:r w:rsidRPr="003C1A1A">
        <w:rPr>
          <w:rStyle w:val="HideTWBExt"/>
        </w:rPr>
        <w:t>&lt;Article&gt;</w:t>
      </w:r>
      <w:r w:rsidRPr="003C1A1A">
        <w:t xml:space="preserve">Referirea 23 a (nouă) </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3C1A1A" w:rsidRDefault="00AB098C"/>
        </w:tc>
      </w:tr>
      <w:tr w:rsidR="00880ABB" w:rsidRPr="003C1A1A" w14:paraId="0561F3F4" w14:textId="77777777">
        <w:trPr>
          <w:trHeight w:val="240"/>
          <w:jc w:val="center"/>
        </w:trPr>
        <w:tc>
          <w:tcPr>
            <w:tcW w:w="4876" w:type="dxa"/>
            <w:tcBorders>
              <w:top w:val="nil"/>
              <w:left w:val="nil"/>
              <w:bottom w:val="nil"/>
              <w:right w:val="nil"/>
            </w:tcBorders>
          </w:tcPr>
          <w:p w14:paraId="75D7C2A1"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71528269" w14:textId="77777777" w:rsidR="00AB098C" w:rsidRPr="003C1A1A" w:rsidRDefault="00497CDE">
            <w:pPr>
              <w:pStyle w:val="AmColumnHeading"/>
            </w:pPr>
            <w:r w:rsidRPr="003C1A1A">
              <w:t>Amendamentul</w:t>
            </w:r>
          </w:p>
        </w:tc>
      </w:tr>
      <w:tr w:rsidR="00880ABB" w:rsidRPr="003C1A1A" w14:paraId="35A3F6BE" w14:textId="77777777">
        <w:trPr>
          <w:jc w:val="center"/>
        </w:trPr>
        <w:tc>
          <w:tcPr>
            <w:tcW w:w="4876" w:type="dxa"/>
            <w:tcBorders>
              <w:top w:val="nil"/>
              <w:left w:val="nil"/>
              <w:bottom w:val="nil"/>
              <w:right w:val="nil"/>
            </w:tcBorders>
          </w:tcPr>
          <w:p w14:paraId="19D88A38" w14:textId="77777777" w:rsidR="00AB098C" w:rsidRPr="003C1A1A" w:rsidRDefault="00AB098C">
            <w:pPr>
              <w:pStyle w:val="Normal6a"/>
            </w:pPr>
          </w:p>
        </w:tc>
        <w:tc>
          <w:tcPr>
            <w:tcW w:w="4876" w:type="dxa"/>
            <w:tcBorders>
              <w:top w:val="nil"/>
              <w:left w:val="nil"/>
              <w:bottom w:val="nil"/>
              <w:right w:val="nil"/>
            </w:tcBorders>
          </w:tcPr>
          <w:p w14:paraId="0374F855" w14:textId="457B656D" w:rsidR="00AB098C" w:rsidRPr="003C1A1A" w:rsidRDefault="00497CDE">
            <w:pPr>
              <w:pStyle w:val="Normal6a"/>
              <w:pBdr>
                <w:bottom w:val="single" w:sz="12" w:space="1" w:color="auto"/>
              </w:pBdr>
              <w:rPr>
                <w:b/>
                <w:i/>
              </w:rPr>
            </w:pPr>
            <w:r w:rsidRPr="003C1A1A">
              <w:rPr>
                <w:b/>
                <w:i/>
              </w:rPr>
              <w:t>–</w:t>
            </w:r>
            <w:r w:rsidRPr="003C1A1A">
              <w:tab/>
            </w:r>
            <w:r w:rsidRPr="003C1A1A">
              <w:rPr>
                <w:b/>
                <w:i/>
              </w:rPr>
              <w:t xml:space="preserve">având în vedere hotărârile Curții de Justiție a UE din 16 februarie 2022 în cauzele C-156/21 </w:t>
            </w:r>
            <w:r w:rsidRPr="003C1A1A">
              <w:rPr>
                <w:b/>
                <w:i/>
              </w:rPr>
              <w:t>Ungaria/Parlamentul și Consiliul și C-157/21 Polonia/Parlamentul și Consiliului</w:t>
            </w:r>
            <w:r w:rsidRPr="003C1A1A">
              <w:rPr>
                <w:b/>
                <w:i/>
                <w:vertAlign w:val="superscript"/>
              </w:rPr>
              <w:t>1a</w:t>
            </w:r>
            <w:r w:rsidRPr="003C1A1A">
              <w:rPr>
                <w:b/>
                <w:i/>
              </w:rPr>
              <w:t>, care confirmă legalitatea Regulamentului privind condiționalitatea,</w:t>
            </w:r>
          </w:p>
          <w:p w14:paraId="233B5120" w14:textId="7895A482" w:rsidR="0022097A" w:rsidRPr="003C1A1A" w:rsidRDefault="00497CDE">
            <w:pPr>
              <w:pStyle w:val="Normal6a"/>
            </w:pPr>
            <w:r w:rsidRPr="003C1A1A">
              <w:rPr>
                <w:b/>
                <w:i/>
                <w:vertAlign w:val="superscript"/>
              </w:rPr>
              <w:t>1a</w:t>
            </w:r>
            <w:r w:rsidRPr="003C1A1A">
              <w:rPr>
                <w:b/>
                <w:i/>
              </w:rPr>
              <w:t xml:space="preserve"> ECLI:EU:C:2022:97 &amp; ECLI:EU:C:2022:98.</w:t>
            </w:r>
          </w:p>
        </w:tc>
      </w:tr>
    </w:tbl>
    <w:p w14:paraId="6E3DA0C0"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4D4CDBC3" w14:textId="77777777" w:rsidR="00AB098C" w:rsidRPr="003C1A1A" w:rsidRDefault="00497CDE">
      <w:pPr>
        <w:sectPr w:rsidR="00AB098C" w:rsidRPr="003C1A1A">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3C1A1A">
        <w:rPr>
          <w:rStyle w:val="HideTWBExt"/>
        </w:rPr>
        <w:t>&lt;/Amend&gt;</w:t>
      </w:r>
    </w:p>
    <w:p w14:paraId="1897A4FA" w14:textId="77777777" w:rsidR="00AB098C" w:rsidRPr="003C1A1A" w:rsidRDefault="00497CDE">
      <w:pPr>
        <w:pStyle w:val="AmDateTab"/>
      </w:pPr>
      <w:r w:rsidRPr="003C1A1A">
        <w:rPr>
          <w:rStyle w:val="HideTWBExt"/>
        </w:rPr>
        <w:lastRenderedPageBreak/>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51</w:t>
      </w:r>
      <w:r w:rsidRPr="003C1A1A">
        <w:rPr>
          <w:rStyle w:val="HideTWBExt"/>
        </w:rPr>
        <w:t>&lt;/NumAm&gt;</w:t>
      </w:r>
    </w:p>
    <w:p w14:paraId="0CA0DC32"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51</w:t>
      </w:r>
      <w:r w:rsidRPr="003C1A1A">
        <w:rPr>
          <w:rStyle w:val="HideTWBExt"/>
        </w:rPr>
        <w:t>&lt;/NumAm&gt;</w:t>
      </w:r>
    </w:p>
    <w:p w14:paraId="122C27AF"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42FB1CEC"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369153FD" w14:textId="77777777" w:rsidR="00AB098C" w:rsidRPr="003C1A1A" w:rsidRDefault="00497CDE">
      <w:pPr>
        <w:pStyle w:val="NormalBold"/>
      </w:pPr>
      <w:r w:rsidRPr="003C1A1A">
        <w:rPr>
          <w:rStyle w:val="HideTWBExt"/>
          <w:b w:val="0"/>
        </w:rPr>
        <w:t>&lt;/By&gt;&lt;/RepeatBlock-By&gt;</w:t>
      </w:r>
    </w:p>
    <w:p w14:paraId="004FEAFA"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14F63909"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44F6DB4C" w14:textId="69E7F1E8" w:rsidR="00AB098C" w:rsidRPr="003C1A1A" w:rsidRDefault="00497CDE">
      <w:r w:rsidRPr="003C1A1A">
        <w:rPr>
          <w:rStyle w:val="HideTWBExt"/>
        </w:rPr>
        <w:t>&lt;Titre&gt;</w:t>
      </w:r>
      <w:r w:rsidRPr="003C1A1A">
        <w:t xml:space="preserve">Protecția </w:t>
      </w:r>
      <w:r w:rsidRPr="003C1A1A">
        <w:t>intereselor financiare ale Uniunii Europene – combaterea fraudelor – raportul anual pe 2024</w:t>
      </w:r>
      <w:r w:rsidRPr="003C1A1A">
        <w:rPr>
          <w:rStyle w:val="HideTWBExt"/>
        </w:rPr>
        <w:t>&lt;/Titre&gt;</w:t>
      </w:r>
    </w:p>
    <w:p w14:paraId="4D47D053"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570FEAC6"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18AE99FB" w14:textId="77777777" w:rsidR="00AB098C" w:rsidRPr="003C1A1A" w:rsidRDefault="00497CDE">
      <w:pPr>
        <w:pStyle w:val="NormalBold"/>
      </w:pPr>
      <w:r w:rsidRPr="003C1A1A">
        <w:rPr>
          <w:rStyle w:val="HideTWBExt"/>
        </w:rPr>
        <w:t>&lt;Article&gt;</w:t>
      </w:r>
      <w:r w:rsidRPr="003C1A1A">
        <w:t xml:space="preserve">Referirea 25 b (nouă) </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3C1A1A" w:rsidRDefault="00AB098C"/>
        </w:tc>
      </w:tr>
      <w:tr w:rsidR="00880ABB" w:rsidRPr="003C1A1A" w14:paraId="689BD4CC" w14:textId="77777777">
        <w:trPr>
          <w:trHeight w:val="240"/>
          <w:jc w:val="center"/>
        </w:trPr>
        <w:tc>
          <w:tcPr>
            <w:tcW w:w="4876" w:type="dxa"/>
            <w:tcBorders>
              <w:top w:val="nil"/>
              <w:left w:val="nil"/>
              <w:bottom w:val="nil"/>
              <w:right w:val="nil"/>
            </w:tcBorders>
          </w:tcPr>
          <w:p w14:paraId="7076EBB8"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1D3DD833" w14:textId="77777777" w:rsidR="00AB098C" w:rsidRPr="003C1A1A" w:rsidRDefault="00497CDE">
            <w:pPr>
              <w:pStyle w:val="AmColumnHeading"/>
            </w:pPr>
            <w:r w:rsidRPr="003C1A1A">
              <w:t>Amendamentul</w:t>
            </w:r>
          </w:p>
        </w:tc>
      </w:tr>
      <w:tr w:rsidR="00880ABB" w:rsidRPr="003C1A1A" w14:paraId="6BA02098" w14:textId="77777777">
        <w:trPr>
          <w:jc w:val="center"/>
        </w:trPr>
        <w:tc>
          <w:tcPr>
            <w:tcW w:w="4876" w:type="dxa"/>
            <w:tcBorders>
              <w:top w:val="nil"/>
              <w:left w:val="nil"/>
              <w:bottom w:val="nil"/>
              <w:right w:val="nil"/>
            </w:tcBorders>
          </w:tcPr>
          <w:p w14:paraId="3D3F7FC2" w14:textId="77777777" w:rsidR="00AB098C" w:rsidRPr="003C1A1A" w:rsidRDefault="00AB098C">
            <w:pPr>
              <w:pStyle w:val="Normal6a"/>
            </w:pPr>
          </w:p>
        </w:tc>
        <w:tc>
          <w:tcPr>
            <w:tcW w:w="4876" w:type="dxa"/>
            <w:tcBorders>
              <w:top w:val="nil"/>
              <w:left w:val="nil"/>
              <w:bottom w:val="nil"/>
              <w:right w:val="nil"/>
            </w:tcBorders>
          </w:tcPr>
          <w:p w14:paraId="481513A9" w14:textId="5E786CD9" w:rsidR="00AB098C" w:rsidRPr="003C1A1A" w:rsidRDefault="00497CDE">
            <w:pPr>
              <w:pStyle w:val="Normal6a"/>
            </w:pPr>
            <w:r w:rsidRPr="003C1A1A">
              <w:rPr>
                <w:b/>
                <w:i/>
              </w:rPr>
              <w:t>–</w:t>
            </w:r>
            <w:r w:rsidRPr="003C1A1A">
              <w:tab/>
            </w:r>
            <w:r w:rsidRPr="003C1A1A">
              <w:rPr>
                <w:b/>
                <w:i/>
              </w:rPr>
              <w:t>având în vedere ancheta în curs deschisă de EPPO în iulie 2025 cu privire la presupusa utilizare abuzivă a fondurilor Uniunii de către fostul grup politic Identitate și Democrație din Parlamentul European,</w:t>
            </w:r>
          </w:p>
        </w:tc>
      </w:tr>
    </w:tbl>
    <w:p w14:paraId="790F5E20"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5D9AFC04"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1DC3122D"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52</w:t>
      </w:r>
      <w:r w:rsidRPr="003C1A1A">
        <w:rPr>
          <w:rStyle w:val="HideTWBExt"/>
        </w:rPr>
        <w:t>&lt;/NumAm&gt;</w:t>
      </w:r>
    </w:p>
    <w:p w14:paraId="5F9D1154"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52</w:t>
      </w:r>
      <w:r w:rsidRPr="003C1A1A">
        <w:rPr>
          <w:rStyle w:val="HideTWBExt"/>
        </w:rPr>
        <w:t>&lt;/NumAm&gt;</w:t>
      </w:r>
    </w:p>
    <w:p w14:paraId="27AE9A36"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705EC329"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7E71E8E9" w14:textId="77777777" w:rsidR="00AB098C" w:rsidRPr="003C1A1A" w:rsidRDefault="00497CDE">
      <w:pPr>
        <w:pStyle w:val="NormalBold"/>
      </w:pPr>
      <w:r w:rsidRPr="003C1A1A">
        <w:rPr>
          <w:rStyle w:val="HideTWBExt"/>
          <w:b w:val="0"/>
        </w:rPr>
        <w:t>&lt;/By&gt;&lt;/RepeatBlock-By&gt;</w:t>
      </w:r>
    </w:p>
    <w:p w14:paraId="73013DEF"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11B1ED71"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71EEC604" w14:textId="4192E226"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702F699B"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65F35DB6"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445EF971" w14:textId="77777777" w:rsidR="00AB098C" w:rsidRPr="003C1A1A" w:rsidRDefault="00497CDE">
      <w:pPr>
        <w:pStyle w:val="NormalBold"/>
      </w:pPr>
      <w:r w:rsidRPr="003C1A1A">
        <w:rPr>
          <w:rStyle w:val="HideTWBExt"/>
        </w:rPr>
        <w:t>&lt;Article&gt;</w:t>
      </w:r>
      <w:r w:rsidRPr="003C1A1A">
        <w:t>Punctul 2 a (nou)</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3C1A1A" w:rsidRDefault="00AB098C"/>
        </w:tc>
      </w:tr>
      <w:tr w:rsidR="00880ABB" w:rsidRPr="003C1A1A" w14:paraId="1FB50B3E" w14:textId="77777777">
        <w:trPr>
          <w:trHeight w:val="240"/>
          <w:jc w:val="center"/>
        </w:trPr>
        <w:tc>
          <w:tcPr>
            <w:tcW w:w="4876" w:type="dxa"/>
            <w:tcBorders>
              <w:top w:val="nil"/>
              <w:left w:val="nil"/>
              <w:bottom w:val="nil"/>
              <w:right w:val="nil"/>
            </w:tcBorders>
          </w:tcPr>
          <w:p w14:paraId="258B1CFF"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64E426E5" w14:textId="77777777" w:rsidR="00AB098C" w:rsidRPr="003C1A1A" w:rsidRDefault="00497CDE">
            <w:pPr>
              <w:pStyle w:val="AmColumnHeading"/>
            </w:pPr>
            <w:r w:rsidRPr="003C1A1A">
              <w:t>Amendamentul</w:t>
            </w:r>
          </w:p>
        </w:tc>
      </w:tr>
      <w:tr w:rsidR="00880ABB" w:rsidRPr="003C1A1A" w14:paraId="1A4C7A08" w14:textId="77777777">
        <w:trPr>
          <w:jc w:val="center"/>
        </w:trPr>
        <w:tc>
          <w:tcPr>
            <w:tcW w:w="4876" w:type="dxa"/>
            <w:tcBorders>
              <w:top w:val="nil"/>
              <w:left w:val="nil"/>
              <w:bottom w:val="nil"/>
              <w:right w:val="nil"/>
            </w:tcBorders>
          </w:tcPr>
          <w:p w14:paraId="7F7CFA26" w14:textId="77777777" w:rsidR="00AB098C" w:rsidRPr="003C1A1A" w:rsidRDefault="00AB098C">
            <w:pPr>
              <w:pStyle w:val="Normal6a"/>
            </w:pPr>
          </w:p>
        </w:tc>
        <w:tc>
          <w:tcPr>
            <w:tcW w:w="4876" w:type="dxa"/>
            <w:tcBorders>
              <w:top w:val="nil"/>
              <w:left w:val="nil"/>
              <w:bottom w:val="nil"/>
              <w:right w:val="nil"/>
            </w:tcBorders>
          </w:tcPr>
          <w:p w14:paraId="78957F95" w14:textId="3A1F513C" w:rsidR="00AB098C" w:rsidRPr="003C1A1A" w:rsidRDefault="00497CDE">
            <w:pPr>
              <w:pStyle w:val="Normal6a"/>
            </w:pPr>
            <w:r w:rsidRPr="003C1A1A">
              <w:rPr>
                <w:b/>
                <w:i/>
              </w:rPr>
              <w:t>2a.</w:t>
            </w:r>
            <w:r w:rsidRPr="003C1A1A">
              <w:tab/>
            </w:r>
            <w:r w:rsidRPr="003C1A1A">
              <w:rPr>
                <w:b/>
                <w:i/>
              </w:rPr>
              <w:t xml:space="preserve">regretă că nu toate statele membre participă la EPPO, ceea ce creează lacune în materie de </w:t>
            </w:r>
            <w:r w:rsidRPr="003C1A1A">
              <w:rPr>
                <w:b/>
                <w:i/>
              </w:rPr>
              <w:t>asigurare a respectării legii, care slăbesc capacitatea UE de a-și proteja interesele financiare în mod uniform; constată că în 2024, EPPO a emis un număr ridicat de ordine europene de anchetă și de cereri de asistență judiciară reciprocă care vizează state membre neparticipante, ceea ce creează obstacole procedurale suplimentare și riscă să ducă la pierderea de probe; reiterează apelul adresat tuturor celorlalte state membre neparticipante de a adera fără întârziere la EPPO;</w:t>
            </w:r>
          </w:p>
        </w:tc>
      </w:tr>
    </w:tbl>
    <w:p w14:paraId="02F244F9"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234CC38C"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52F6A974"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53</w:t>
      </w:r>
      <w:r w:rsidRPr="003C1A1A">
        <w:rPr>
          <w:rStyle w:val="HideTWBExt"/>
        </w:rPr>
        <w:t>&lt;/NumAm&gt;</w:t>
      </w:r>
    </w:p>
    <w:p w14:paraId="5BCF9E95"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53</w:t>
      </w:r>
      <w:r w:rsidRPr="003C1A1A">
        <w:rPr>
          <w:rStyle w:val="HideTWBExt"/>
        </w:rPr>
        <w:t>&lt;/NumAm&gt;</w:t>
      </w:r>
    </w:p>
    <w:p w14:paraId="470392FE"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6F2B0472"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60567203" w14:textId="77777777" w:rsidR="00AB098C" w:rsidRPr="003C1A1A" w:rsidRDefault="00497CDE">
      <w:pPr>
        <w:pStyle w:val="NormalBold"/>
      </w:pPr>
      <w:r w:rsidRPr="003C1A1A">
        <w:rPr>
          <w:rStyle w:val="HideTWBExt"/>
          <w:b w:val="0"/>
        </w:rPr>
        <w:t>&lt;/By&gt;&lt;/RepeatBlock-By&gt;</w:t>
      </w:r>
    </w:p>
    <w:p w14:paraId="6F60CCCE"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6F9DF45E"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19B4ABF8" w14:textId="5CA79DD2"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4335F946"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08A8C468"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4D837251" w14:textId="77777777" w:rsidR="00AB098C" w:rsidRPr="003C1A1A" w:rsidRDefault="00497CDE">
      <w:pPr>
        <w:pStyle w:val="NormalBold"/>
      </w:pPr>
      <w:r w:rsidRPr="003C1A1A">
        <w:rPr>
          <w:rStyle w:val="HideTWBExt"/>
        </w:rPr>
        <w:t>&lt;Article&gt;</w:t>
      </w:r>
      <w:r w:rsidRPr="003C1A1A">
        <w:t>Punctul 3</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3C1A1A" w:rsidRDefault="00AB098C"/>
        </w:tc>
      </w:tr>
      <w:tr w:rsidR="00880ABB" w:rsidRPr="003C1A1A" w14:paraId="4A9D3AC4" w14:textId="77777777">
        <w:trPr>
          <w:trHeight w:val="240"/>
          <w:jc w:val="center"/>
        </w:trPr>
        <w:tc>
          <w:tcPr>
            <w:tcW w:w="4876" w:type="dxa"/>
            <w:tcBorders>
              <w:top w:val="nil"/>
              <w:left w:val="nil"/>
              <w:bottom w:val="nil"/>
              <w:right w:val="nil"/>
            </w:tcBorders>
          </w:tcPr>
          <w:p w14:paraId="077A804A"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01984BB6" w14:textId="77777777" w:rsidR="00AB098C" w:rsidRPr="003C1A1A" w:rsidRDefault="00497CDE">
            <w:pPr>
              <w:pStyle w:val="AmColumnHeading"/>
            </w:pPr>
            <w:r w:rsidRPr="003C1A1A">
              <w:t>Amendamentul</w:t>
            </w:r>
          </w:p>
        </w:tc>
      </w:tr>
      <w:tr w:rsidR="00880ABB" w:rsidRPr="003C1A1A" w14:paraId="461AF8AA" w14:textId="77777777">
        <w:trPr>
          <w:jc w:val="center"/>
        </w:trPr>
        <w:tc>
          <w:tcPr>
            <w:tcW w:w="4876" w:type="dxa"/>
            <w:tcBorders>
              <w:top w:val="nil"/>
              <w:left w:val="nil"/>
              <w:bottom w:val="nil"/>
              <w:right w:val="nil"/>
            </w:tcBorders>
          </w:tcPr>
          <w:p w14:paraId="0CE44D25" w14:textId="339AE777" w:rsidR="00AB098C" w:rsidRPr="003C1A1A" w:rsidRDefault="00497CDE">
            <w:pPr>
              <w:pStyle w:val="Normal6a"/>
            </w:pPr>
            <w:r w:rsidRPr="003C1A1A">
              <w:t>3.</w:t>
            </w:r>
            <w:r w:rsidRPr="003C1A1A">
              <w:tab/>
              <w:t xml:space="preserve">subliniază că statul de drept este o piatră de temelie a UE și este esențial pentru protejarea </w:t>
            </w:r>
            <w:r w:rsidRPr="003C1A1A">
              <w:t xml:space="preserve">intereselor financiare ale UE în toate statele membre; subliniază că mecanismul de condiționalitate privind statul de drept trebuie aplicat atunci când încălcările afectează </w:t>
            </w:r>
            <w:r w:rsidRPr="003C1A1A">
              <w:rPr>
                <w:b/>
                <w:i/>
              </w:rPr>
              <w:t>în mod direct bugetul</w:t>
            </w:r>
            <w:r w:rsidRPr="003C1A1A">
              <w:t xml:space="preserve"> UE; evidențiază că deciziile de protejare a intereselor financiare ale UE trebuie să se bazeze pe constatări tehnice și juridice; invită Comisia să asigure utilizarea consecventă și proporțională a mecanismului, respectând în același timp responsabilitatea principală a statelor membre de a respecta principiile stat</w:t>
            </w:r>
            <w:r w:rsidRPr="003C1A1A">
              <w:t>ului de drept și de a asigura coerența între instrumentele UE;</w:t>
            </w:r>
          </w:p>
        </w:tc>
        <w:tc>
          <w:tcPr>
            <w:tcW w:w="4876" w:type="dxa"/>
            <w:tcBorders>
              <w:top w:val="nil"/>
              <w:left w:val="nil"/>
              <w:bottom w:val="nil"/>
              <w:right w:val="nil"/>
            </w:tcBorders>
          </w:tcPr>
          <w:p w14:paraId="2D703E83" w14:textId="077BD94F" w:rsidR="00AB098C" w:rsidRPr="003C1A1A" w:rsidRDefault="00497CDE">
            <w:pPr>
              <w:pStyle w:val="Normal6a"/>
            </w:pPr>
            <w:r w:rsidRPr="003C1A1A">
              <w:t>3.</w:t>
            </w:r>
            <w:r w:rsidRPr="003C1A1A">
              <w:tab/>
              <w:t xml:space="preserve">subliniază că statul de drept este o piatră de temelie a UE și este esențial pentru protejarea intereselor financiare ale UE în toate statele membre; subliniază că mecanismul de condiționalitate privind statul de drept trebuie aplicat atunci când încălcările </w:t>
            </w:r>
            <w:r w:rsidRPr="003C1A1A">
              <w:rPr>
                <w:b/>
                <w:i/>
              </w:rPr>
              <w:t>independenței sistemului judiciar, ale capacității de urmărire penală, ale răspunderii sau ale transparenței</w:t>
            </w:r>
            <w:r w:rsidRPr="003C1A1A">
              <w:t xml:space="preserve"> afectează </w:t>
            </w:r>
            <w:r w:rsidRPr="003C1A1A">
              <w:rPr>
                <w:b/>
                <w:i/>
              </w:rPr>
              <w:t>sau riscă să afecteze buna gestiune financiară a bugetului</w:t>
            </w:r>
            <w:r w:rsidRPr="003C1A1A">
              <w:t xml:space="preserve"> UE</w:t>
            </w:r>
            <w:r w:rsidRPr="003C1A1A">
              <w:rPr>
                <w:b/>
                <w:i/>
              </w:rPr>
              <w:t>, în conformitate cu jurisprudența constantă a Curții de Justiție</w:t>
            </w:r>
            <w:r w:rsidRPr="003C1A1A">
              <w:t>; evide</w:t>
            </w:r>
            <w:r w:rsidRPr="003C1A1A">
              <w:t>nțiază că deciziile de protejare a intereselor financiare ale UE trebuie să se bazeze pe constatări tehnice și juridice; invită Comisia să asigure utilizarea consecventă și proporțională a mecanismului, respectând în același timp responsabilitatea principală a statelor membre de a respecta principiile statului de drept și de a asigura coerența între instrumentele UE;</w:t>
            </w:r>
          </w:p>
        </w:tc>
      </w:tr>
    </w:tbl>
    <w:p w14:paraId="13C259C4"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21FA7D09"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219B8B07"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54</w:t>
      </w:r>
      <w:r w:rsidRPr="003C1A1A">
        <w:rPr>
          <w:rStyle w:val="HideTWBExt"/>
        </w:rPr>
        <w:t>&lt;/NumAm&gt;</w:t>
      </w:r>
    </w:p>
    <w:p w14:paraId="67314D54"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54</w:t>
      </w:r>
      <w:r w:rsidRPr="003C1A1A">
        <w:rPr>
          <w:rStyle w:val="HideTWBExt"/>
        </w:rPr>
        <w:t>&lt;/NumAm&gt;</w:t>
      </w:r>
    </w:p>
    <w:p w14:paraId="69707BC9"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1B49B9EB"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766E356C" w14:textId="77777777" w:rsidR="00AB098C" w:rsidRPr="003C1A1A" w:rsidRDefault="00497CDE">
      <w:pPr>
        <w:pStyle w:val="NormalBold"/>
      </w:pPr>
      <w:r w:rsidRPr="003C1A1A">
        <w:rPr>
          <w:rStyle w:val="HideTWBExt"/>
          <w:b w:val="0"/>
        </w:rPr>
        <w:t>&lt;/By&gt;&lt;/RepeatBlock-By&gt;</w:t>
      </w:r>
    </w:p>
    <w:p w14:paraId="7D047441"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2EECE3EA"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50F05D0D" w14:textId="50C0726E"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302E9BC8"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071B1C41"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36179FDD" w14:textId="77777777" w:rsidR="00AB098C" w:rsidRPr="003C1A1A" w:rsidRDefault="00497CDE">
      <w:pPr>
        <w:pStyle w:val="NormalBold"/>
      </w:pPr>
      <w:r w:rsidRPr="003C1A1A">
        <w:rPr>
          <w:rStyle w:val="HideTWBExt"/>
        </w:rPr>
        <w:t>&lt;Article&gt;</w:t>
      </w:r>
      <w:r w:rsidRPr="003C1A1A">
        <w:t>Punctul 3 a (nou)</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3C1A1A" w:rsidRDefault="00AB098C"/>
        </w:tc>
      </w:tr>
      <w:tr w:rsidR="00880ABB" w:rsidRPr="003C1A1A" w14:paraId="5BFEF2D6" w14:textId="77777777">
        <w:trPr>
          <w:trHeight w:val="240"/>
          <w:jc w:val="center"/>
        </w:trPr>
        <w:tc>
          <w:tcPr>
            <w:tcW w:w="4876" w:type="dxa"/>
            <w:tcBorders>
              <w:top w:val="nil"/>
              <w:left w:val="nil"/>
              <w:bottom w:val="nil"/>
              <w:right w:val="nil"/>
            </w:tcBorders>
          </w:tcPr>
          <w:p w14:paraId="5F59DC8D"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156EF022" w14:textId="77777777" w:rsidR="00AB098C" w:rsidRPr="003C1A1A" w:rsidRDefault="00497CDE">
            <w:pPr>
              <w:pStyle w:val="AmColumnHeading"/>
            </w:pPr>
            <w:r w:rsidRPr="003C1A1A">
              <w:t>Amendamentul</w:t>
            </w:r>
          </w:p>
        </w:tc>
      </w:tr>
      <w:tr w:rsidR="00880ABB" w:rsidRPr="003C1A1A" w14:paraId="4ADC2E69" w14:textId="77777777">
        <w:trPr>
          <w:jc w:val="center"/>
        </w:trPr>
        <w:tc>
          <w:tcPr>
            <w:tcW w:w="4876" w:type="dxa"/>
            <w:tcBorders>
              <w:top w:val="nil"/>
              <w:left w:val="nil"/>
              <w:bottom w:val="nil"/>
              <w:right w:val="nil"/>
            </w:tcBorders>
          </w:tcPr>
          <w:p w14:paraId="5EB6D534" w14:textId="77777777" w:rsidR="00AB098C" w:rsidRPr="003C1A1A" w:rsidRDefault="00AB098C">
            <w:pPr>
              <w:pStyle w:val="Normal6a"/>
            </w:pPr>
          </w:p>
        </w:tc>
        <w:tc>
          <w:tcPr>
            <w:tcW w:w="4876" w:type="dxa"/>
            <w:tcBorders>
              <w:top w:val="nil"/>
              <w:left w:val="nil"/>
              <w:bottom w:val="nil"/>
              <w:right w:val="nil"/>
            </w:tcBorders>
          </w:tcPr>
          <w:p w14:paraId="271E2773" w14:textId="583C3293" w:rsidR="00AB098C" w:rsidRPr="003C1A1A" w:rsidRDefault="00497CDE">
            <w:pPr>
              <w:pStyle w:val="Normal6a"/>
            </w:pPr>
            <w:r w:rsidRPr="003C1A1A">
              <w:rPr>
                <w:b/>
                <w:i/>
              </w:rPr>
              <w:t>3a.</w:t>
            </w:r>
            <w:r w:rsidRPr="003C1A1A">
              <w:tab/>
            </w:r>
            <w:r w:rsidRPr="003C1A1A">
              <w:rPr>
                <w:b/>
                <w:i/>
              </w:rPr>
              <w:t xml:space="preserve">ia act cu profundă îngrijorare de deteriorarea continuă a statului de drept în anumite state membre, în special în Ungaria, unde au fost identificate în mod </w:t>
            </w:r>
            <w:r w:rsidRPr="003C1A1A">
              <w:rPr>
                <w:b/>
                <w:i/>
              </w:rPr>
              <w:t>repetat riscuri sistemice la adresa intereselor financiare ale Uniunii, inclusiv de către Curtea de Conturi Europeană, OLAF și EPPO; reamintește că, în decembrie 2022, Consiliul a suspendat fonduri de coeziune în valoare de 6,3 miliarde EUR pentru Ungaria în temeiul Regulamentului privind condiționalitatea și că sume substanțiale sunt în continuare înghețate din cauza îngrijorărilor nesoluționate cu privire la achizițiile publice și la cadrele anticorupție; accentuează că aceste constatări nu sunt de natură</w:t>
            </w:r>
            <w:r w:rsidRPr="003C1A1A">
              <w:rPr>
                <w:b/>
                <w:i/>
              </w:rPr>
              <w:t xml:space="preserve"> politică, ci se bazează pe probe obiective, documentate și verificate în mod repetat; reiterează că condiționalitatea privind statul de drept nu este un instrument politic, ci o garanție pentru bugetul Uniunii, care trebuie aplicată în mod consecvent ori de câte ori riscurile se materializează;</w:t>
            </w:r>
          </w:p>
        </w:tc>
      </w:tr>
    </w:tbl>
    <w:p w14:paraId="7BED3E7E"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57836B7F"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67BFCD90"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55</w:t>
      </w:r>
      <w:r w:rsidRPr="003C1A1A">
        <w:rPr>
          <w:rStyle w:val="HideTWBExt"/>
        </w:rPr>
        <w:t>&lt;/NumAm&gt;</w:t>
      </w:r>
    </w:p>
    <w:p w14:paraId="443DF2C4"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55</w:t>
      </w:r>
      <w:r w:rsidRPr="003C1A1A">
        <w:rPr>
          <w:rStyle w:val="HideTWBExt"/>
        </w:rPr>
        <w:t>&lt;/NumAm&gt;</w:t>
      </w:r>
    </w:p>
    <w:p w14:paraId="179720CC"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1BD1F28D"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6052C6CA" w14:textId="77777777" w:rsidR="00AB098C" w:rsidRPr="003C1A1A" w:rsidRDefault="00497CDE">
      <w:pPr>
        <w:pStyle w:val="NormalBold"/>
      </w:pPr>
      <w:r w:rsidRPr="003C1A1A">
        <w:rPr>
          <w:rStyle w:val="HideTWBExt"/>
          <w:b w:val="0"/>
        </w:rPr>
        <w:t>&lt;/By&gt;&lt;/RepeatBlock-By&gt;</w:t>
      </w:r>
    </w:p>
    <w:p w14:paraId="62A11CBB"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59D81A9B"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5281A2FF" w14:textId="2D351118" w:rsidR="00AB098C" w:rsidRPr="003C1A1A" w:rsidRDefault="00497CDE">
      <w:r w:rsidRPr="003C1A1A">
        <w:rPr>
          <w:rStyle w:val="HideTWBExt"/>
        </w:rPr>
        <w:t>&lt;Titre&gt;</w:t>
      </w:r>
      <w:r w:rsidRPr="003C1A1A">
        <w:t xml:space="preserve">Protecția </w:t>
      </w:r>
      <w:r w:rsidRPr="003C1A1A">
        <w:t>intereselor financiare ale Uniunii Europene – combaterea fraudelor – raportul anual pe 2024</w:t>
      </w:r>
      <w:r w:rsidRPr="003C1A1A">
        <w:rPr>
          <w:rStyle w:val="HideTWBExt"/>
        </w:rPr>
        <w:t>&lt;/Titre&gt;</w:t>
      </w:r>
    </w:p>
    <w:p w14:paraId="5256DFAF"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69D02E9D"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72992868" w14:textId="77777777" w:rsidR="00AB098C" w:rsidRPr="003C1A1A" w:rsidRDefault="00497CDE">
      <w:pPr>
        <w:pStyle w:val="NormalBold"/>
      </w:pPr>
      <w:r w:rsidRPr="003C1A1A">
        <w:rPr>
          <w:rStyle w:val="HideTWBExt"/>
        </w:rPr>
        <w:t>&lt;Article&gt;</w:t>
      </w:r>
      <w:r w:rsidRPr="003C1A1A">
        <w:t>Punctul 25 a (nou)</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3C1A1A" w:rsidRDefault="00AB098C"/>
        </w:tc>
      </w:tr>
      <w:tr w:rsidR="00880ABB" w:rsidRPr="003C1A1A" w14:paraId="69E23460" w14:textId="77777777">
        <w:trPr>
          <w:trHeight w:val="240"/>
          <w:jc w:val="center"/>
        </w:trPr>
        <w:tc>
          <w:tcPr>
            <w:tcW w:w="4876" w:type="dxa"/>
            <w:tcBorders>
              <w:top w:val="nil"/>
              <w:left w:val="nil"/>
              <w:bottom w:val="nil"/>
              <w:right w:val="nil"/>
            </w:tcBorders>
          </w:tcPr>
          <w:p w14:paraId="0B6AFD80"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228BD7CA" w14:textId="77777777" w:rsidR="00AB098C" w:rsidRPr="003C1A1A" w:rsidRDefault="00497CDE">
            <w:pPr>
              <w:pStyle w:val="AmColumnHeading"/>
            </w:pPr>
            <w:r w:rsidRPr="003C1A1A">
              <w:t>Amendamentul</w:t>
            </w:r>
          </w:p>
        </w:tc>
      </w:tr>
      <w:tr w:rsidR="00880ABB" w:rsidRPr="003C1A1A" w14:paraId="4CCF76E6" w14:textId="77777777">
        <w:trPr>
          <w:jc w:val="center"/>
        </w:trPr>
        <w:tc>
          <w:tcPr>
            <w:tcW w:w="4876" w:type="dxa"/>
            <w:tcBorders>
              <w:top w:val="nil"/>
              <w:left w:val="nil"/>
              <w:bottom w:val="nil"/>
              <w:right w:val="nil"/>
            </w:tcBorders>
          </w:tcPr>
          <w:p w14:paraId="26003878" w14:textId="77777777" w:rsidR="00AB098C" w:rsidRPr="003C1A1A" w:rsidRDefault="00AB098C">
            <w:pPr>
              <w:pStyle w:val="Normal6a"/>
            </w:pPr>
          </w:p>
        </w:tc>
        <w:tc>
          <w:tcPr>
            <w:tcW w:w="4876" w:type="dxa"/>
            <w:tcBorders>
              <w:top w:val="nil"/>
              <w:left w:val="nil"/>
              <w:bottom w:val="nil"/>
              <w:right w:val="nil"/>
            </w:tcBorders>
          </w:tcPr>
          <w:p w14:paraId="71831527" w14:textId="0CB06975" w:rsidR="00AB098C" w:rsidRPr="003C1A1A" w:rsidRDefault="00497CDE">
            <w:pPr>
              <w:pStyle w:val="Normal6a"/>
            </w:pPr>
            <w:r w:rsidRPr="003C1A1A">
              <w:rPr>
                <w:b/>
                <w:i/>
              </w:rPr>
              <w:t>25a.</w:t>
            </w:r>
            <w:r w:rsidRPr="003C1A1A">
              <w:tab/>
            </w:r>
            <w:r w:rsidRPr="003C1A1A">
              <w:rPr>
                <w:b/>
                <w:i/>
              </w:rPr>
              <w:t>recunoaște rolul esențial jucat de organizațiile societății civile, de organizațiile neguvernamentale și de sindicate în monitorizarea utilizării fondurilor Uniunii, în raportarea suspiciunilor de fraudă, în sprijinirea avertizorilor de integritate și în asigurarea unui control independent care să completeze activitatea organismelor antifraudă ale UE; respinge orice încercare de a instrumentaliza îngrijorările legate de utilizarea fondurilor Uniunii de către organizațiile neguvernamentale pentru a justific</w:t>
            </w:r>
            <w:r w:rsidRPr="003C1A1A">
              <w:rPr>
                <w:b/>
                <w:i/>
              </w:rPr>
              <w:t>a restricții generalizate asupra societății civile; reamintește că restricțiile disproporționate impuse organizațiilor societății civile reprezintă ele însele un semnal de alarmă privind deteriorarea statului de drept;</w:t>
            </w:r>
          </w:p>
        </w:tc>
      </w:tr>
    </w:tbl>
    <w:p w14:paraId="4E11279A"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032914D1"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5A104F8B"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56</w:t>
      </w:r>
      <w:r w:rsidRPr="003C1A1A">
        <w:rPr>
          <w:rStyle w:val="HideTWBExt"/>
        </w:rPr>
        <w:t>&lt;/NumAm&gt;</w:t>
      </w:r>
    </w:p>
    <w:p w14:paraId="3EC87B7D"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56</w:t>
      </w:r>
      <w:r w:rsidRPr="003C1A1A">
        <w:rPr>
          <w:rStyle w:val="HideTWBExt"/>
        </w:rPr>
        <w:t>&lt;/NumAm&gt;</w:t>
      </w:r>
    </w:p>
    <w:p w14:paraId="2C363BC9"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37A04B89"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1B7EA57B" w14:textId="77777777" w:rsidR="00AB098C" w:rsidRPr="003C1A1A" w:rsidRDefault="00497CDE">
      <w:pPr>
        <w:pStyle w:val="NormalBold"/>
      </w:pPr>
      <w:r w:rsidRPr="003C1A1A">
        <w:rPr>
          <w:rStyle w:val="HideTWBExt"/>
          <w:b w:val="0"/>
        </w:rPr>
        <w:t>&lt;/By&gt;&lt;/RepeatBlock-By&gt;</w:t>
      </w:r>
    </w:p>
    <w:p w14:paraId="649F29F0"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4918B640"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54149BD3" w14:textId="37F21427"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35AAE10B"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77883258"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3F004185" w14:textId="77777777" w:rsidR="00AB098C" w:rsidRPr="003C1A1A" w:rsidRDefault="00497CDE">
      <w:pPr>
        <w:pStyle w:val="NormalBold"/>
      </w:pPr>
      <w:r w:rsidRPr="003C1A1A">
        <w:rPr>
          <w:rStyle w:val="HideTWBExt"/>
        </w:rPr>
        <w:t>&lt;Article&gt;</w:t>
      </w:r>
      <w:r w:rsidRPr="003C1A1A">
        <w:t>Punctul 43 a (nou)</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3C1A1A" w:rsidRDefault="00AB098C"/>
        </w:tc>
      </w:tr>
      <w:tr w:rsidR="00880ABB" w:rsidRPr="003C1A1A" w14:paraId="6AA85220" w14:textId="77777777">
        <w:trPr>
          <w:trHeight w:val="240"/>
          <w:jc w:val="center"/>
        </w:trPr>
        <w:tc>
          <w:tcPr>
            <w:tcW w:w="4876" w:type="dxa"/>
            <w:tcBorders>
              <w:top w:val="nil"/>
              <w:left w:val="nil"/>
              <w:bottom w:val="nil"/>
              <w:right w:val="nil"/>
            </w:tcBorders>
          </w:tcPr>
          <w:p w14:paraId="595F1F88"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314978B4" w14:textId="77777777" w:rsidR="00AB098C" w:rsidRPr="003C1A1A" w:rsidRDefault="00497CDE">
            <w:pPr>
              <w:pStyle w:val="AmColumnHeading"/>
            </w:pPr>
            <w:r w:rsidRPr="003C1A1A">
              <w:t>Amendamentul</w:t>
            </w:r>
          </w:p>
        </w:tc>
      </w:tr>
      <w:tr w:rsidR="00880ABB" w:rsidRPr="003C1A1A" w14:paraId="540177D3" w14:textId="77777777">
        <w:trPr>
          <w:jc w:val="center"/>
        </w:trPr>
        <w:tc>
          <w:tcPr>
            <w:tcW w:w="4876" w:type="dxa"/>
            <w:tcBorders>
              <w:top w:val="nil"/>
              <w:left w:val="nil"/>
              <w:bottom w:val="nil"/>
              <w:right w:val="nil"/>
            </w:tcBorders>
          </w:tcPr>
          <w:p w14:paraId="5663936E" w14:textId="77777777" w:rsidR="00AB098C" w:rsidRPr="003C1A1A" w:rsidRDefault="00AB098C">
            <w:pPr>
              <w:pStyle w:val="Normal6a"/>
            </w:pPr>
          </w:p>
        </w:tc>
        <w:tc>
          <w:tcPr>
            <w:tcW w:w="4876" w:type="dxa"/>
            <w:tcBorders>
              <w:top w:val="nil"/>
              <w:left w:val="nil"/>
              <w:bottom w:val="nil"/>
              <w:right w:val="nil"/>
            </w:tcBorders>
          </w:tcPr>
          <w:p w14:paraId="451BBBD3" w14:textId="37E9973A" w:rsidR="00AB098C" w:rsidRPr="003C1A1A" w:rsidRDefault="00497CDE">
            <w:pPr>
              <w:pStyle w:val="Normal6a"/>
            </w:pPr>
            <w:r w:rsidRPr="003C1A1A">
              <w:rPr>
                <w:b/>
                <w:i/>
              </w:rPr>
              <w:t>43a.</w:t>
            </w:r>
            <w:r w:rsidRPr="003C1A1A">
              <w:tab/>
            </w:r>
            <w:r w:rsidRPr="003C1A1A">
              <w:rPr>
                <w:b/>
                <w:i/>
              </w:rPr>
              <w:t xml:space="preserve">accentuează că campaniile de dezinformare bazate pe IA care vizează instituțiile UE, inclusiv </w:t>
            </w:r>
            <w:r w:rsidRPr="003C1A1A">
              <w:rPr>
                <w:b/>
                <w:i/>
              </w:rPr>
              <w:t>conținutul coordonat conceput pentru a submina încrederea în organismele antifraudă, bugetul Uniunii și statul de drept, reprezintă un risc direct pentru interesele financiare ale Uniunii prin erodarea sprijinului public pentru mecanismele de protecție și oferind acoperire pentru practicile frauduloase; invită Comisia, în cooperare cu OLAF, EPPO și Europol, să dezvolte o capacitate la nivelul UE de detectare, documentare și combatere a campaniilor de dezinformare bazate pe IA care vizează guvernanța financi</w:t>
            </w:r>
            <w:r w:rsidRPr="003C1A1A">
              <w:rPr>
                <w:b/>
                <w:i/>
              </w:rPr>
              <w:t>ară a Uniunii;</w:t>
            </w:r>
          </w:p>
        </w:tc>
      </w:tr>
    </w:tbl>
    <w:p w14:paraId="575EC240"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694F00F7"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16E4FD44"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57</w:t>
      </w:r>
      <w:r w:rsidRPr="003C1A1A">
        <w:rPr>
          <w:rStyle w:val="HideTWBExt"/>
        </w:rPr>
        <w:t>&lt;/NumAm&gt;</w:t>
      </w:r>
    </w:p>
    <w:p w14:paraId="69D4E501"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57</w:t>
      </w:r>
      <w:r w:rsidRPr="003C1A1A">
        <w:rPr>
          <w:rStyle w:val="HideTWBExt"/>
        </w:rPr>
        <w:t>&lt;/NumAm&gt;</w:t>
      </w:r>
    </w:p>
    <w:p w14:paraId="27624642"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002E253A"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0556CDFB" w14:textId="77777777" w:rsidR="00AB098C" w:rsidRPr="003C1A1A" w:rsidRDefault="00497CDE">
      <w:pPr>
        <w:pStyle w:val="NormalBold"/>
      </w:pPr>
      <w:r w:rsidRPr="003C1A1A">
        <w:rPr>
          <w:rStyle w:val="HideTWBExt"/>
          <w:b w:val="0"/>
        </w:rPr>
        <w:t>&lt;/By&gt;&lt;/RepeatBlock-By&gt;</w:t>
      </w:r>
    </w:p>
    <w:p w14:paraId="6E28DA98"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3056DB36"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0F248029" w14:textId="2567AF97" w:rsidR="00AB098C" w:rsidRPr="003C1A1A" w:rsidRDefault="00497CDE">
      <w:r w:rsidRPr="003C1A1A">
        <w:rPr>
          <w:rStyle w:val="HideTWBExt"/>
        </w:rPr>
        <w:t>&lt;Titre&gt;</w:t>
      </w:r>
      <w:r w:rsidRPr="003C1A1A">
        <w:t xml:space="preserve">Protecția intereselor financiare ale Uniunii Europene – combaterea </w:t>
      </w:r>
      <w:r w:rsidRPr="003C1A1A">
        <w:t>fraudelor – raportul anual pe 2024</w:t>
      </w:r>
      <w:r w:rsidRPr="003C1A1A">
        <w:rPr>
          <w:rStyle w:val="HideTWBExt"/>
        </w:rPr>
        <w:t>&lt;/Titre&gt;</w:t>
      </w:r>
    </w:p>
    <w:p w14:paraId="06555AB2"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1385222D"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757CE512" w14:textId="77777777" w:rsidR="00AB098C" w:rsidRPr="003C1A1A" w:rsidRDefault="00497CDE">
      <w:pPr>
        <w:pStyle w:val="NormalBold"/>
      </w:pPr>
      <w:r w:rsidRPr="003C1A1A">
        <w:rPr>
          <w:rStyle w:val="HideTWBExt"/>
        </w:rPr>
        <w:t>&lt;Article&gt;</w:t>
      </w:r>
      <w:r w:rsidRPr="003C1A1A">
        <w:t>Punctul 53</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3C1A1A" w:rsidRDefault="00AB098C"/>
        </w:tc>
      </w:tr>
      <w:tr w:rsidR="00880ABB" w:rsidRPr="003C1A1A" w14:paraId="35E7FF05" w14:textId="77777777">
        <w:trPr>
          <w:trHeight w:val="240"/>
          <w:jc w:val="center"/>
        </w:trPr>
        <w:tc>
          <w:tcPr>
            <w:tcW w:w="4876" w:type="dxa"/>
            <w:tcBorders>
              <w:top w:val="nil"/>
              <w:left w:val="nil"/>
              <w:bottom w:val="nil"/>
              <w:right w:val="nil"/>
            </w:tcBorders>
          </w:tcPr>
          <w:p w14:paraId="5B3B82EC"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151A8834" w14:textId="77777777" w:rsidR="00AB098C" w:rsidRPr="003C1A1A" w:rsidRDefault="00497CDE">
            <w:pPr>
              <w:pStyle w:val="AmColumnHeading"/>
            </w:pPr>
            <w:r w:rsidRPr="003C1A1A">
              <w:t>Amendamentul</w:t>
            </w:r>
          </w:p>
        </w:tc>
      </w:tr>
      <w:tr w:rsidR="00880ABB" w:rsidRPr="003C1A1A" w14:paraId="143B3E26" w14:textId="77777777">
        <w:trPr>
          <w:jc w:val="center"/>
        </w:trPr>
        <w:tc>
          <w:tcPr>
            <w:tcW w:w="4876" w:type="dxa"/>
            <w:tcBorders>
              <w:top w:val="nil"/>
              <w:left w:val="nil"/>
              <w:bottom w:val="nil"/>
              <w:right w:val="nil"/>
            </w:tcBorders>
          </w:tcPr>
          <w:p w14:paraId="202F2B46" w14:textId="77777777" w:rsidR="00AB098C" w:rsidRPr="003C1A1A" w:rsidRDefault="00497CDE">
            <w:pPr>
              <w:pStyle w:val="Normal6a"/>
            </w:pPr>
            <w:r w:rsidRPr="003C1A1A">
              <w:t>53.</w:t>
            </w:r>
            <w:r w:rsidRPr="003C1A1A">
              <w:tab/>
              <w:t xml:space="preserve">reamintește că mecanismul de condiționalitate </w:t>
            </w:r>
            <w:r w:rsidRPr="003C1A1A">
              <w:t xml:space="preserve">bugetară instituit prin Regulamentul privind condiționalitatea este un instrument reglementat din punct de vedere juridic pentru a preveni riscurile la adresa bugetului UE; </w:t>
            </w:r>
            <w:r w:rsidRPr="003C1A1A">
              <w:rPr>
                <w:b/>
                <w:i/>
              </w:rPr>
              <w:t>constată, cu toate acestea, că aplicarea sa poate fi justificată numai</w:t>
            </w:r>
            <w:r w:rsidRPr="003C1A1A">
              <w:t xml:space="preserve"> în cazul în care </w:t>
            </w:r>
            <w:r w:rsidRPr="003C1A1A">
              <w:rPr>
                <w:b/>
                <w:i/>
              </w:rPr>
              <w:t>există o legătură directă, reală și demonstrată între deficiențele constatate și prejudiciul adus</w:t>
            </w:r>
            <w:r w:rsidRPr="003C1A1A">
              <w:t xml:space="preserve"> intereselor financiare ale </w:t>
            </w:r>
            <w:r w:rsidRPr="003C1A1A">
              <w:rPr>
                <w:b/>
                <w:i/>
              </w:rPr>
              <w:t>UE</w:t>
            </w:r>
            <w:r w:rsidRPr="003C1A1A">
              <w:t>;</w:t>
            </w:r>
            <w:r w:rsidRPr="003C1A1A">
              <w:rPr>
                <w:b/>
                <w:i/>
              </w:rPr>
              <w:t xml:space="preserve"> își exprimă îngrijorarea cu privire la faptul că orice extindere</w:t>
            </w:r>
            <w:r w:rsidRPr="003C1A1A">
              <w:t xml:space="preserve"> a </w:t>
            </w:r>
            <w:r w:rsidRPr="003C1A1A">
              <w:rPr>
                <w:b/>
                <w:i/>
              </w:rPr>
              <w:t>domeniului de aplicare a acestui instrument dincolo</w:t>
            </w:r>
            <w:r w:rsidRPr="003C1A1A">
              <w:t xml:space="preserve"> de </w:t>
            </w:r>
            <w:r w:rsidRPr="003C1A1A">
              <w:rPr>
                <w:b/>
                <w:i/>
              </w:rPr>
              <w:t>acest scop bugetar ar fi contrară spiritului tratatelor și principiului proporționalității</w:t>
            </w:r>
            <w:r w:rsidRPr="003C1A1A">
              <w:t xml:space="preserve">; reamintește că legitimitatea acestui mecanism se bazează pe o aplicare </w:t>
            </w:r>
            <w:r w:rsidRPr="003C1A1A">
              <w:rPr>
                <w:b/>
                <w:i/>
              </w:rPr>
              <w:t>strict</w:t>
            </w:r>
            <w:r w:rsidRPr="003C1A1A">
              <w:t xml:space="preserve"> obiectivă, </w:t>
            </w:r>
            <w:r w:rsidRPr="003C1A1A">
              <w:rPr>
                <w:b/>
                <w:i/>
              </w:rPr>
              <w:t>lipsită de orice considerente politice și care respectă egalit</w:t>
            </w:r>
            <w:r w:rsidRPr="003C1A1A">
              <w:rPr>
                <w:b/>
                <w:i/>
              </w:rPr>
              <w:t>atea de tratament între statele membre; observă că punerea sa în aplicare a generat provocări practice și operaționale,</w:t>
            </w:r>
            <w:r w:rsidRPr="003C1A1A">
              <w:t xml:space="preserve"> astfel </w:t>
            </w:r>
            <w:r w:rsidRPr="003C1A1A">
              <w:rPr>
                <w:b/>
                <w:i/>
              </w:rPr>
              <w:t>cum s-a subliniat în Raportul special 03/2024 al CCE privind statul de drept în UE</w:t>
            </w:r>
            <w:r w:rsidRPr="003C1A1A">
              <w:t xml:space="preserve">; invită Comisia să aplice </w:t>
            </w:r>
            <w:r w:rsidRPr="003C1A1A">
              <w:rPr>
                <w:b/>
                <w:i/>
              </w:rPr>
              <w:t>mecanismul</w:t>
            </w:r>
            <w:r w:rsidRPr="003C1A1A">
              <w:t xml:space="preserve"> în mod consecvent și </w:t>
            </w:r>
            <w:r w:rsidRPr="003C1A1A">
              <w:rPr>
                <w:b/>
                <w:i/>
              </w:rPr>
              <w:t>transparent, pe baza unor dovezi obiective</w:t>
            </w:r>
            <w:r w:rsidRPr="003C1A1A">
              <w:t>;</w:t>
            </w:r>
          </w:p>
        </w:tc>
        <w:tc>
          <w:tcPr>
            <w:tcW w:w="4876" w:type="dxa"/>
            <w:tcBorders>
              <w:top w:val="nil"/>
              <w:left w:val="nil"/>
              <w:bottom w:val="nil"/>
              <w:right w:val="nil"/>
            </w:tcBorders>
          </w:tcPr>
          <w:p w14:paraId="4C9BE8B5" w14:textId="33A03B6B" w:rsidR="00AB098C" w:rsidRPr="003C1A1A" w:rsidRDefault="00497CDE">
            <w:pPr>
              <w:pStyle w:val="Normal6a"/>
            </w:pPr>
            <w:r w:rsidRPr="003C1A1A">
              <w:t>53.</w:t>
            </w:r>
            <w:r w:rsidRPr="003C1A1A">
              <w:tab/>
              <w:t xml:space="preserve">reamintește că mecanismul de condiționalitate bugetară instituit prin Regulamentul privind condiționalitatea este un instrument reglementat din punct de vedere juridic pentru a preveni riscurile la adresa bugetului UE; </w:t>
            </w:r>
            <w:r w:rsidRPr="003C1A1A">
              <w:rPr>
                <w:b/>
                <w:i/>
              </w:rPr>
              <w:t>reamintește că Regulamentul privind condiționalitatea este o garanție bugetară menită să protejeze bugetul Uniunii</w:t>
            </w:r>
            <w:r w:rsidRPr="003C1A1A">
              <w:t xml:space="preserve"> în cazul în care </w:t>
            </w:r>
            <w:r w:rsidRPr="003C1A1A">
              <w:rPr>
                <w:b/>
                <w:i/>
              </w:rPr>
              <w:t>încălcările principiilor statului de drept afectează sau prezintă un risc substanțial de a afecta buna gestiune financiară a</w:t>
            </w:r>
            <w:r w:rsidRPr="003C1A1A">
              <w:t xml:space="preserve"> intereselor financiare ale </w:t>
            </w:r>
            <w:r w:rsidRPr="003C1A1A">
              <w:rPr>
                <w:b/>
                <w:i/>
              </w:rPr>
              <w:t>Uniunii</w:t>
            </w:r>
            <w:r w:rsidRPr="003C1A1A">
              <w:t>;</w:t>
            </w:r>
            <w:r w:rsidRPr="003C1A1A">
              <w:rPr>
                <w:b/>
                <w:i/>
              </w:rPr>
              <w:t xml:space="preserve"> reamintește că, în cauzele C-156/21 și C-157/21, Curtea de Justiție</w:t>
            </w:r>
            <w:r w:rsidRPr="003C1A1A">
              <w:t xml:space="preserve"> a </w:t>
            </w:r>
            <w:r w:rsidRPr="003C1A1A">
              <w:rPr>
                <w:b/>
                <w:i/>
              </w:rPr>
              <w:t>confirmat legalitatea Regulamentului privind condiționalitatea și domeniul larg</w:t>
            </w:r>
            <w:r w:rsidRPr="003C1A1A">
              <w:t xml:space="preserve"> de </w:t>
            </w:r>
            <w:r w:rsidRPr="003C1A1A">
              <w:rPr>
                <w:b/>
                <w:i/>
              </w:rPr>
              <w:t>aplicare a acestuia în ceea ce privește protejarea bugetului Uniunii împotriva încălcărilor statului de drept</w:t>
            </w:r>
            <w:r w:rsidRPr="003C1A1A">
              <w:t xml:space="preserve">; reamintește că legitimitatea acestui mecanism se bazează pe o aplicare obiectivă, </w:t>
            </w:r>
            <w:r w:rsidRPr="003C1A1A">
              <w:rPr>
                <w:b/>
                <w:i/>
              </w:rPr>
              <w:t>fără standarde duble; accentuează că deficiențele sistemice în ceea ce privește independența sistemului judiciar, cadrele anticorupție și capacitatea de urmărire pen</w:t>
            </w:r>
            <w:r w:rsidRPr="003C1A1A">
              <w:rPr>
                <w:b/>
                <w:i/>
              </w:rPr>
              <w:t>ală pot constitui un</w:t>
            </w:r>
            <w:r w:rsidRPr="003C1A1A">
              <w:t xml:space="preserve"> astfel </w:t>
            </w:r>
            <w:r w:rsidRPr="003C1A1A">
              <w:rPr>
                <w:b/>
                <w:i/>
              </w:rPr>
              <w:t>de risc chiar înainte de cuantificarea unei pierderi financiare directe și specifice</w:t>
            </w:r>
            <w:r w:rsidRPr="003C1A1A">
              <w:t xml:space="preserve">; invită Comisia să aplice </w:t>
            </w:r>
            <w:r w:rsidRPr="003C1A1A">
              <w:rPr>
                <w:b/>
                <w:i/>
              </w:rPr>
              <w:t>Regulamentul privind condiționalitatea în timp util și</w:t>
            </w:r>
            <w:r w:rsidRPr="003C1A1A">
              <w:t xml:space="preserve"> în mod consecvent </w:t>
            </w:r>
            <w:r w:rsidRPr="003C1A1A">
              <w:rPr>
                <w:b/>
                <w:i/>
              </w:rPr>
              <w:t>ori de câte ori sunt îndeplinite aceste criterii</w:t>
            </w:r>
            <w:r w:rsidRPr="003C1A1A">
              <w:t xml:space="preserve"> și </w:t>
            </w:r>
            <w:r w:rsidRPr="003C1A1A">
              <w:rPr>
                <w:b/>
                <w:i/>
              </w:rPr>
              <w:t>să raporteze anual Parlamentului cu privire la evaluarea sa privind riscurile legate de statul de drept care afectează bugetul Uniunii în fiecare stat membru</w:t>
            </w:r>
            <w:r w:rsidRPr="003C1A1A">
              <w:t>;</w:t>
            </w:r>
          </w:p>
        </w:tc>
      </w:tr>
    </w:tbl>
    <w:p w14:paraId="3FCBFBD7"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0F893E40"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1F25DA3E"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58</w:t>
      </w:r>
      <w:r w:rsidRPr="003C1A1A">
        <w:rPr>
          <w:rStyle w:val="HideTWBExt"/>
        </w:rPr>
        <w:t>&lt;/NumAm&gt;</w:t>
      </w:r>
    </w:p>
    <w:p w14:paraId="0A3250D2"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58</w:t>
      </w:r>
      <w:r w:rsidRPr="003C1A1A">
        <w:rPr>
          <w:rStyle w:val="HideTWBExt"/>
        </w:rPr>
        <w:t>&lt;/NumAm&gt;</w:t>
      </w:r>
    </w:p>
    <w:p w14:paraId="47534907"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612568FC"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73396469" w14:textId="77777777" w:rsidR="00AB098C" w:rsidRPr="003C1A1A" w:rsidRDefault="00497CDE">
      <w:pPr>
        <w:pStyle w:val="NormalBold"/>
      </w:pPr>
      <w:r w:rsidRPr="003C1A1A">
        <w:rPr>
          <w:rStyle w:val="HideTWBExt"/>
          <w:b w:val="0"/>
        </w:rPr>
        <w:t>&lt;/By&gt;&lt;/RepeatBlock-By&gt;</w:t>
      </w:r>
    </w:p>
    <w:p w14:paraId="7BCDFA51"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2808DE1A"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773D5BD7" w14:textId="17532782"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07F9437D"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009ED9F9"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691CC47A" w14:textId="77777777" w:rsidR="00AB098C" w:rsidRPr="003C1A1A" w:rsidRDefault="00497CDE">
      <w:pPr>
        <w:pStyle w:val="NormalBold"/>
      </w:pPr>
      <w:r w:rsidRPr="003C1A1A">
        <w:rPr>
          <w:rStyle w:val="HideTWBExt"/>
        </w:rPr>
        <w:t>&lt;Article&gt;</w:t>
      </w:r>
      <w:r w:rsidRPr="003C1A1A">
        <w:t>Punctul 54</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3C1A1A" w:rsidRDefault="00AB098C"/>
        </w:tc>
      </w:tr>
      <w:tr w:rsidR="00880ABB" w:rsidRPr="003C1A1A" w14:paraId="4160E3E8" w14:textId="77777777">
        <w:trPr>
          <w:trHeight w:val="240"/>
          <w:jc w:val="center"/>
        </w:trPr>
        <w:tc>
          <w:tcPr>
            <w:tcW w:w="4876" w:type="dxa"/>
            <w:tcBorders>
              <w:top w:val="nil"/>
              <w:left w:val="nil"/>
              <w:bottom w:val="nil"/>
              <w:right w:val="nil"/>
            </w:tcBorders>
          </w:tcPr>
          <w:p w14:paraId="6B8B7520"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6019305A" w14:textId="77777777" w:rsidR="00AB098C" w:rsidRPr="003C1A1A" w:rsidRDefault="00497CDE">
            <w:pPr>
              <w:pStyle w:val="AmColumnHeading"/>
            </w:pPr>
            <w:r w:rsidRPr="003C1A1A">
              <w:t>Amendamentul</w:t>
            </w:r>
          </w:p>
        </w:tc>
      </w:tr>
      <w:tr w:rsidR="00880ABB" w:rsidRPr="003C1A1A" w14:paraId="53F1F3C2" w14:textId="77777777">
        <w:trPr>
          <w:jc w:val="center"/>
        </w:trPr>
        <w:tc>
          <w:tcPr>
            <w:tcW w:w="4876" w:type="dxa"/>
            <w:tcBorders>
              <w:top w:val="nil"/>
              <w:left w:val="nil"/>
              <w:bottom w:val="nil"/>
              <w:right w:val="nil"/>
            </w:tcBorders>
          </w:tcPr>
          <w:p w14:paraId="3D1414BF" w14:textId="05D52C3B" w:rsidR="00AB098C" w:rsidRPr="003C1A1A" w:rsidRDefault="00497CDE">
            <w:pPr>
              <w:pStyle w:val="Normal6a"/>
            </w:pPr>
            <w:r w:rsidRPr="003C1A1A">
              <w:t>54.</w:t>
            </w:r>
            <w:r w:rsidRPr="003C1A1A">
              <w:tab/>
            </w:r>
            <w:r w:rsidRPr="003C1A1A">
              <w:rPr>
                <w:b/>
                <w:i/>
              </w:rPr>
              <w:t>susține</w:t>
            </w:r>
            <w:r w:rsidRPr="003C1A1A">
              <w:t xml:space="preserve"> că </w:t>
            </w:r>
            <w:r w:rsidRPr="003C1A1A">
              <w:rPr>
                <w:b/>
                <w:i/>
              </w:rPr>
              <w:t>integritatea și reputația instituțiilor, organelor</w:t>
            </w:r>
            <w:r w:rsidRPr="003C1A1A">
              <w:t xml:space="preserve">, </w:t>
            </w:r>
            <w:r w:rsidRPr="003C1A1A">
              <w:rPr>
                <w:b/>
                <w:i/>
              </w:rPr>
              <w:t xml:space="preserve">oficiilor și agențiilor UE reprezintă un </w:t>
            </w:r>
            <w:r w:rsidRPr="003C1A1A">
              <w:rPr>
                <w:b/>
                <w:i/>
              </w:rPr>
              <w:t>element central al încrederii cetățenilor</w:t>
            </w:r>
            <w:r w:rsidRPr="003C1A1A">
              <w:t>;</w:t>
            </w:r>
            <w:r w:rsidRPr="003C1A1A">
              <w:rPr>
                <w:b/>
                <w:i/>
              </w:rPr>
              <w:t xml:space="preserve"> consideră</w:t>
            </w:r>
            <w:r w:rsidRPr="003C1A1A">
              <w:t xml:space="preserve"> că </w:t>
            </w:r>
            <w:r w:rsidRPr="003C1A1A">
              <w:rPr>
                <w:b/>
                <w:i/>
              </w:rPr>
              <w:t>responsabilitatea în utilizarea resurselor bugetare ale UE este esențială pentru legitimitatea democratică</w:t>
            </w:r>
            <w:r w:rsidRPr="003C1A1A">
              <w:t xml:space="preserve"> și că </w:t>
            </w:r>
            <w:r w:rsidRPr="003C1A1A">
              <w:rPr>
                <w:b/>
                <w:i/>
              </w:rPr>
              <w:t>cerințele legate de transparență</w:t>
            </w:r>
            <w:r w:rsidRPr="003C1A1A">
              <w:t xml:space="preserve"> și de </w:t>
            </w:r>
            <w:r w:rsidRPr="003C1A1A">
              <w:rPr>
                <w:b/>
                <w:i/>
              </w:rPr>
              <w:t>protecția intereselor financiare ale UE trebuie</w:t>
            </w:r>
            <w:r w:rsidRPr="003C1A1A">
              <w:t xml:space="preserve"> să </w:t>
            </w:r>
            <w:r w:rsidRPr="003C1A1A">
              <w:rPr>
                <w:b/>
                <w:i/>
              </w:rPr>
              <w:t>se aplice în mod egal fiecărui beneficiar</w:t>
            </w:r>
            <w:r w:rsidRPr="003C1A1A">
              <w:t xml:space="preserve"> și </w:t>
            </w:r>
            <w:r w:rsidRPr="003C1A1A">
              <w:rPr>
                <w:b/>
                <w:i/>
              </w:rPr>
              <w:t>fără excepție în cadrul fiecărei instituții</w:t>
            </w:r>
            <w:r w:rsidRPr="003C1A1A">
              <w:t xml:space="preserve"> a UE</w:t>
            </w:r>
            <w:r w:rsidRPr="003C1A1A">
              <w:rPr>
                <w:b/>
                <w:i/>
              </w:rPr>
              <w:t>, inclusiv al Parlamentului, pentru a garanta buna gestiune financiară și controale eficace ale fondurilor publice</w:t>
            </w:r>
            <w:r w:rsidRPr="003C1A1A">
              <w:t>;</w:t>
            </w:r>
          </w:p>
        </w:tc>
        <w:tc>
          <w:tcPr>
            <w:tcW w:w="4876" w:type="dxa"/>
            <w:tcBorders>
              <w:top w:val="nil"/>
              <w:left w:val="nil"/>
              <w:bottom w:val="nil"/>
              <w:right w:val="nil"/>
            </w:tcBorders>
          </w:tcPr>
          <w:p w14:paraId="466CB895" w14:textId="76591249" w:rsidR="00AB098C" w:rsidRPr="003C1A1A" w:rsidRDefault="00497CDE">
            <w:pPr>
              <w:pStyle w:val="Normal6a"/>
            </w:pPr>
            <w:r w:rsidRPr="003C1A1A">
              <w:t>54.</w:t>
            </w:r>
            <w:r w:rsidRPr="003C1A1A">
              <w:tab/>
            </w:r>
            <w:r w:rsidRPr="003C1A1A">
              <w:rPr>
                <w:b/>
                <w:i/>
              </w:rPr>
              <w:t>reamintește</w:t>
            </w:r>
            <w:r w:rsidRPr="003C1A1A">
              <w:t xml:space="preserve"> că </w:t>
            </w:r>
            <w:r w:rsidRPr="003C1A1A">
              <w:rPr>
                <w:b/>
                <w:i/>
              </w:rPr>
              <w:t>datoria de a proteja interesele financiare ale Uniunii se aplică în mod egal tuturor beneficiarilor fondurilor Uniunii</w:t>
            </w:r>
            <w:r w:rsidRPr="003C1A1A">
              <w:t xml:space="preserve">, </w:t>
            </w:r>
            <w:r w:rsidRPr="003C1A1A">
              <w:rPr>
                <w:b/>
                <w:i/>
              </w:rPr>
              <w:t>inclusiv grupurilor politice care își desfășoară activitatea în Parlamentul European</w:t>
            </w:r>
            <w:r w:rsidRPr="003C1A1A">
              <w:t>;</w:t>
            </w:r>
            <w:r w:rsidRPr="003C1A1A">
              <w:rPr>
                <w:b/>
                <w:i/>
              </w:rPr>
              <w:t xml:space="preserve"> constată</w:t>
            </w:r>
            <w:r w:rsidRPr="003C1A1A">
              <w:t xml:space="preserve"> că </w:t>
            </w:r>
            <w:r w:rsidRPr="003C1A1A">
              <w:rPr>
                <w:b/>
                <w:i/>
              </w:rPr>
              <w:t>anchetele și acțiunile de recuperare care au vizat presupusa utilizare abuzivă a fondurilor Uniunii de către fostul grup politic Identitate</w:t>
            </w:r>
            <w:r w:rsidRPr="003C1A1A">
              <w:t xml:space="preserve"> și </w:t>
            </w:r>
            <w:r w:rsidRPr="003C1A1A">
              <w:rPr>
                <w:b/>
                <w:i/>
              </w:rPr>
              <w:t>Democrație pun în evidență</w:t>
            </w:r>
            <w:r w:rsidRPr="003C1A1A">
              <w:t xml:space="preserve"> că </w:t>
            </w:r>
            <w:r w:rsidRPr="003C1A1A">
              <w:rPr>
                <w:b/>
                <w:i/>
              </w:rPr>
              <w:t>este important ca administrația Parlamentului să poată realiza controale interne solide și verificări ex-</w:t>
            </w:r>
            <w:r w:rsidRPr="003C1A1A">
              <w:rPr>
                <w:b/>
                <w:i/>
              </w:rPr>
              <w:t>post eficace</w:t>
            </w:r>
            <w:r w:rsidRPr="003C1A1A">
              <w:t xml:space="preserve"> și </w:t>
            </w:r>
            <w:r w:rsidRPr="003C1A1A">
              <w:rPr>
                <w:b/>
                <w:i/>
              </w:rPr>
              <w:t>să dispună</w:t>
            </w:r>
            <w:r w:rsidRPr="003C1A1A">
              <w:t xml:space="preserve"> de </w:t>
            </w:r>
            <w:r w:rsidRPr="003C1A1A">
              <w:rPr>
                <w:b/>
                <w:i/>
              </w:rPr>
              <w:t>mecanisme rapide de recuperare;</w:t>
            </w:r>
            <w:r w:rsidRPr="003C1A1A">
              <w:t xml:space="preserve"> </w:t>
            </w:r>
            <w:r w:rsidRPr="003C1A1A">
              <w:rPr>
                <w:b/>
                <w:i/>
              </w:rPr>
              <w:t>invită administrația Parlamentului să finalizeze fără întârziere toate procedurile de recuperare restante și să transmită OLAF și EPPO toate dovezile de cheltuieli neconforme cu reglementările; accentuează că credibilitatea arhitecturii antifraudă a UE depinde de aplicarea sa consecventă în cazul tuturor beneficiarilor, inclusiv al celor din cadrul Parlamentului;</w:t>
            </w:r>
          </w:p>
        </w:tc>
      </w:tr>
    </w:tbl>
    <w:p w14:paraId="04214C32"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0C74D12A" w14:textId="77777777" w:rsidR="00AB098C" w:rsidRPr="003C1A1A" w:rsidRDefault="00497CDE">
      <w:pPr>
        <w:sectPr w:rsidR="00AB098C" w:rsidRPr="003C1A1A">
          <w:pgSz w:w="11909" w:h="16834"/>
          <w:pgMar w:top="1134" w:right="1417" w:bottom="1417" w:left="1417" w:header="1134" w:footer="567" w:gutter="0"/>
          <w:cols w:space="720"/>
        </w:sectPr>
      </w:pPr>
      <w:r w:rsidRPr="003C1A1A">
        <w:rPr>
          <w:rStyle w:val="HideTWBExt"/>
        </w:rPr>
        <w:t>&lt;/Amend&gt;</w:t>
      </w:r>
    </w:p>
    <w:p w14:paraId="7888F82B" w14:textId="77777777" w:rsidR="00AB098C" w:rsidRPr="003C1A1A" w:rsidRDefault="00497CDE">
      <w:pPr>
        <w:pStyle w:val="AmDateTab"/>
      </w:pPr>
      <w:r w:rsidRPr="003C1A1A">
        <w:rPr>
          <w:rStyle w:val="HideTWBExt"/>
        </w:rPr>
        <w:t>&lt;Amend&gt;&lt;Date&gt;</w:t>
      </w:r>
      <w:r w:rsidRPr="003C1A1A">
        <w:rPr>
          <w:rStyle w:val="HideTWBInt"/>
          <w:color w:val="auto"/>
        </w:rPr>
        <w:t>{22/04/2026}</w:t>
      </w:r>
      <w:r w:rsidRPr="003C1A1A">
        <w:t>22.4.2026</w:t>
      </w:r>
      <w:r w:rsidRPr="003C1A1A">
        <w:rPr>
          <w:rStyle w:val="HideTWBExt"/>
        </w:rPr>
        <w:t>&lt;/Date&gt;</w:t>
      </w:r>
      <w:r w:rsidRPr="003C1A1A">
        <w:tab/>
      </w:r>
      <w:r w:rsidRPr="003C1A1A">
        <w:rPr>
          <w:rStyle w:val="HideTWBExt"/>
        </w:rPr>
        <w:t>&lt;ANo&gt;</w:t>
      </w:r>
      <w:r w:rsidRPr="003C1A1A">
        <w:t>A10-0080</w:t>
      </w:r>
      <w:r w:rsidRPr="003C1A1A">
        <w:rPr>
          <w:rStyle w:val="HideTWBExt"/>
        </w:rPr>
        <w:t>&lt;/ANo&gt;</w:t>
      </w:r>
      <w:r w:rsidRPr="003C1A1A">
        <w:t>/</w:t>
      </w:r>
      <w:r w:rsidRPr="003C1A1A">
        <w:rPr>
          <w:rStyle w:val="HideTWBExt"/>
        </w:rPr>
        <w:t>&lt;NumAm&gt;</w:t>
      </w:r>
      <w:r w:rsidRPr="003C1A1A">
        <w:t>59</w:t>
      </w:r>
      <w:r w:rsidRPr="003C1A1A">
        <w:rPr>
          <w:rStyle w:val="HideTWBExt"/>
        </w:rPr>
        <w:t>&lt;/NumAm&gt;</w:t>
      </w:r>
    </w:p>
    <w:p w14:paraId="39A58780" w14:textId="77777777" w:rsidR="00AB098C" w:rsidRPr="003C1A1A" w:rsidRDefault="00497CDE">
      <w:pPr>
        <w:pStyle w:val="AmNumberTabs"/>
      </w:pPr>
      <w:r w:rsidRPr="003C1A1A">
        <w:t>Amendamentul</w:t>
      </w:r>
      <w:r w:rsidRPr="003C1A1A">
        <w:tab/>
      </w:r>
      <w:r w:rsidRPr="003C1A1A">
        <w:tab/>
      </w:r>
      <w:r w:rsidRPr="003C1A1A">
        <w:rPr>
          <w:rStyle w:val="HideTWBExt"/>
        </w:rPr>
        <w:t>&lt;NumAm&gt;</w:t>
      </w:r>
      <w:r w:rsidRPr="003C1A1A">
        <w:t>59</w:t>
      </w:r>
      <w:r w:rsidRPr="003C1A1A">
        <w:rPr>
          <w:rStyle w:val="HideTWBExt"/>
        </w:rPr>
        <w:t>&lt;/NumAm&gt;</w:t>
      </w:r>
    </w:p>
    <w:p w14:paraId="1E4C1956" w14:textId="77777777" w:rsidR="00AB098C" w:rsidRPr="003C1A1A" w:rsidRDefault="00497CDE">
      <w:pPr>
        <w:pStyle w:val="NormalBold"/>
      </w:pPr>
      <w:r w:rsidRPr="003C1A1A">
        <w:rPr>
          <w:rStyle w:val="HideTWBExt"/>
          <w:b w:val="0"/>
        </w:rPr>
        <w:t>&lt;RepeatBlock-By&gt;&lt;By&gt;&lt;Members&gt;</w:t>
      </w:r>
      <w:r w:rsidRPr="003C1A1A">
        <w:t xml:space="preserve">Daniel </w:t>
      </w:r>
      <w:proofErr w:type="spellStart"/>
      <w:r w:rsidRPr="003C1A1A">
        <w:t>Freund</w:t>
      </w:r>
      <w:proofErr w:type="spellEnd"/>
      <w:r w:rsidRPr="003C1A1A">
        <w:rPr>
          <w:rStyle w:val="HideTWBExt"/>
          <w:b w:val="0"/>
        </w:rPr>
        <w:t>&lt;/Members&gt;</w:t>
      </w:r>
    </w:p>
    <w:p w14:paraId="6874B7EE" w14:textId="77777777" w:rsidR="00AB098C" w:rsidRPr="003C1A1A" w:rsidRDefault="00497CDE">
      <w:r w:rsidRPr="003C1A1A">
        <w:rPr>
          <w:rStyle w:val="HideTWBExt"/>
        </w:rPr>
        <w:t>&lt;AuNomDe&gt;</w:t>
      </w:r>
      <w:r w:rsidRPr="003C1A1A">
        <w:rPr>
          <w:rStyle w:val="HideTWBInt"/>
          <w:color w:val="auto"/>
        </w:rPr>
        <w:t>{Verts/ALE}</w:t>
      </w:r>
      <w:r w:rsidRPr="003C1A1A">
        <w:t xml:space="preserve">în numele Grupului </w:t>
      </w:r>
      <w:proofErr w:type="spellStart"/>
      <w:r w:rsidRPr="003C1A1A">
        <w:t>Verts</w:t>
      </w:r>
      <w:proofErr w:type="spellEnd"/>
      <w:r w:rsidRPr="003C1A1A">
        <w:t>/ALE</w:t>
      </w:r>
      <w:r w:rsidRPr="003C1A1A">
        <w:rPr>
          <w:rStyle w:val="HideTWBExt"/>
        </w:rPr>
        <w:t>&lt;/AuNomDe&gt;</w:t>
      </w:r>
    </w:p>
    <w:p w14:paraId="60C10E6F" w14:textId="77777777" w:rsidR="00AB098C" w:rsidRPr="003C1A1A" w:rsidRDefault="00497CDE">
      <w:pPr>
        <w:pStyle w:val="NormalBold"/>
      </w:pPr>
      <w:r w:rsidRPr="003C1A1A">
        <w:rPr>
          <w:rStyle w:val="HideTWBExt"/>
          <w:b w:val="0"/>
        </w:rPr>
        <w:t>&lt;/By&gt;&lt;/RepeatBlock-By&gt;</w:t>
      </w:r>
    </w:p>
    <w:p w14:paraId="6953A485" w14:textId="77777777" w:rsidR="00AB098C" w:rsidRPr="003C1A1A" w:rsidRDefault="00497CDE">
      <w:pPr>
        <w:pStyle w:val="AmDocTypeTab"/>
      </w:pPr>
      <w:r w:rsidRPr="003C1A1A">
        <w:rPr>
          <w:rStyle w:val="HideTWBExt"/>
        </w:rPr>
        <w:t>&lt;TitreType&gt;</w:t>
      </w:r>
      <w:r w:rsidRPr="003C1A1A">
        <w:t>Raport</w:t>
      </w:r>
      <w:r w:rsidRPr="003C1A1A">
        <w:rPr>
          <w:rStyle w:val="HideTWBExt"/>
        </w:rPr>
        <w:t>&lt;/TitreType&gt;</w:t>
      </w:r>
      <w:r w:rsidRPr="003C1A1A">
        <w:tab/>
        <w:t>A10-0080/2026</w:t>
      </w:r>
    </w:p>
    <w:p w14:paraId="48DB673F" w14:textId="77777777" w:rsidR="00AB098C" w:rsidRPr="003C1A1A" w:rsidRDefault="00497CDE">
      <w:pPr>
        <w:pStyle w:val="NormalBold"/>
      </w:pPr>
      <w:r w:rsidRPr="003C1A1A">
        <w:rPr>
          <w:rStyle w:val="HideTWBExt"/>
        </w:rPr>
        <w:t>&lt;Rapporteur&gt;</w:t>
      </w:r>
      <w:r w:rsidRPr="003C1A1A">
        <w:t>Julien Sanchez</w:t>
      </w:r>
      <w:r w:rsidRPr="003C1A1A">
        <w:rPr>
          <w:rStyle w:val="HideTWBExt"/>
        </w:rPr>
        <w:t>&lt;/Rapporteur&gt;</w:t>
      </w:r>
    </w:p>
    <w:p w14:paraId="2414A911" w14:textId="193E84CA" w:rsidR="00AB098C" w:rsidRPr="003C1A1A" w:rsidRDefault="00497CDE">
      <w:r w:rsidRPr="003C1A1A">
        <w:rPr>
          <w:rStyle w:val="HideTWBExt"/>
        </w:rPr>
        <w:t>&lt;Titre&gt;</w:t>
      </w:r>
      <w:r w:rsidRPr="003C1A1A">
        <w:t>Protecția intereselor financiare ale Uniunii Europene – combaterea fraudelor – raportul anual pe 2024</w:t>
      </w:r>
      <w:r w:rsidRPr="003C1A1A">
        <w:rPr>
          <w:rStyle w:val="HideTWBExt"/>
        </w:rPr>
        <w:t>&lt;/Titre&gt;</w:t>
      </w:r>
    </w:p>
    <w:p w14:paraId="47A6A819" w14:textId="77777777" w:rsidR="00AB098C" w:rsidRPr="003C1A1A" w:rsidRDefault="00497CDE">
      <w:pPr>
        <w:pStyle w:val="Normal12a"/>
      </w:pPr>
      <w:r w:rsidRPr="003C1A1A">
        <w:rPr>
          <w:rStyle w:val="HideTWBExt"/>
        </w:rPr>
        <w:t>&lt;DocRef&gt;</w:t>
      </w:r>
      <w:r w:rsidRPr="003C1A1A">
        <w:t>(2025/2238(INI))</w:t>
      </w:r>
      <w:r w:rsidRPr="003C1A1A">
        <w:rPr>
          <w:rStyle w:val="HideTWBExt"/>
        </w:rPr>
        <w:t>&lt;/DocRef&gt;</w:t>
      </w:r>
    </w:p>
    <w:p w14:paraId="5F8BA664" w14:textId="77777777" w:rsidR="00AB098C" w:rsidRPr="003C1A1A" w:rsidRDefault="00497CDE">
      <w:pPr>
        <w:pStyle w:val="NormalBold"/>
      </w:pPr>
      <w:r w:rsidRPr="003C1A1A">
        <w:rPr>
          <w:rStyle w:val="HideTWBExt"/>
        </w:rPr>
        <w:t>&lt;DocAmend&gt;</w:t>
      </w:r>
      <w:r w:rsidRPr="003C1A1A">
        <w:t>Propunere de rezoluție</w:t>
      </w:r>
      <w:r w:rsidRPr="003C1A1A">
        <w:rPr>
          <w:rStyle w:val="HideTWBExt"/>
        </w:rPr>
        <w:t>&lt;/DocAmend&gt;</w:t>
      </w:r>
    </w:p>
    <w:p w14:paraId="0B7B25F8" w14:textId="77777777" w:rsidR="00AB098C" w:rsidRPr="003C1A1A" w:rsidRDefault="00497CDE">
      <w:pPr>
        <w:pStyle w:val="NormalBold"/>
      </w:pPr>
      <w:r w:rsidRPr="003C1A1A">
        <w:rPr>
          <w:rStyle w:val="HideTWBExt"/>
        </w:rPr>
        <w:t>&lt;Article&gt;</w:t>
      </w:r>
      <w:r w:rsidRPr="003C1A1A">
        <w:t>Punctul 54 a (nou)</w:t>
      </w:r>
      <w:r w:rsidRPr="003C1A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ABB" w:rsidRPr="003C1A1A"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3C1A1A" w:rsidRDefault="00AB098C"/>
        </w:tc>
      </w:tr>
      <w:tr w:rsidR="00880ABB" w:rsidRPr="003C1A1A" w14:paraId="36BC4A92" w14:textId="77777777">
        <w:trPr>
          <w:trHeight w:val="240"/>
          <w:jc w:val="center"/>
        </w:trPr>
        <w:tc>
          <w:tcPr>
            <w:tcW w:w="4876" w:type="dxa"/>
            <w:tcBorders>
              <w:top w:val="nil"/>
              <w:left w:val="nil"/>
              <w:bottom w:val="nil"/>
              <w:right w:val="nil"/>
            </w:tcBorders>
          </w:tcPr>
          <w:p w14:paraId="666F0D4E" w14:textId="77777777" w:rsidR="00AB098C" w:rsidRPr="003C1A1A" w:rsidRDefault="00497CDE">
            <w:pPr>
              <w:pStyle w:val="AmColumnHeading"/>
            </w:pPr>
            <w:r w:rsidRPr="003C1A1A">
              <w:t>Propunerea de rezoluție</w:t>
            </w:r>
          </w:p>
        </w:tc>
        <w:tc>
          <w:tcPr>
            <w:tcW w:w="4876" w:type="dxa"/>
            <w:tcBorders>
              <w:top w:val="nil"/>
              <w:left w:val="nil"/>
              <w:bottom w:val="nil"/>
              <w:right w:val="nil"/>
            </w:tcBorders>
          </w:tcPr>
          <w:p w14:paraId="4D5E53A9" w14:textId="77777777" w:rsidR="00AB098C" w:rsidRPr="003C1A1A" w:rsidRDefault="00497CDE">
            <w:pPr>
              <w:pStyle w:val="AmColumnHeading"/>
            </w:pPr>
            <w:r w:rsidRPr="003C1A1A">
              <w:t>Amendamentul</w:t>
            </w:r>
          </w:p>
        </w:tc>
      </w:tr>
      <w:tr w:rsidR="00880ABB" w:rsidRPr="003C1A1A" w14:paraId="1DA9569E" w14:textId="77777777">
        <w:trPr>
          <w:jc w:val="center"/>
        </w:trPr>
        <w:tc>
          <w:tcPr>
            <w:tcW w:w="4876" w:type="dxa"/>
            <w:tcBorders>
              <w:top w:val="nil"/>
              <w:left w:val="nil"/>
              <w:bottom w:val="nil"/>
              <w:right w:val="nil"/>
            </w:tcBorders>
          </w:tcPr>
          <w:p w14:paraId="70858426" w14:textId="77777777" w:rsidR="00AB098C" w:rsidRPr="003C1A1A" w:rsidRDefault="00AB098C">
            <w:pPr>
              <w:pStyle w:val="Normal6a"/>
            </w:pPr>
          </w:p>
        </w:tc>
        <w:tc>
          <w:tcPr>
            <w:tcW w:w="4876" w:type="dxa"/>
            <w:tcBorders>
              <w:top w:val="nil"/>
              <w:left w:val="nil"/>
              <w:bottom w:val="nil"/>
              <w:right w:val="nil"/>
            </w:tcBorders>
          </w:tcPr>
          <w:p w14:paraId="4D2BA016" w14:textId="31C58401" w:rsidR="00AB098C" w:rsidRPr="003C1A1A" w:rsidRDefault="00497CDE">
            <w:pPr>
              <w:pStyle w:val="Normal6a"/>
            </w:pPr>
            <w:r w:rsidRPr="003C1A1A">
              <w:rPr>
                <w:b/>
                <w:i/>
              </w:rPr>
              <w:t>54a.</w:t>
            </w:r>
            <w:r w:rsidRPr="003C1A1A">
              <w:tab/>
            </w:r>
            <w:r w:rsidRPr="003C1A1A">
              <w:rPr>
                <w:b/>
                <w:i/>
              </w:rPr>
              <w:t xml:space="preserve">observă că administrația Parlamentului a constatat că cel puțin 4 333 635,78 EUR din creditele de la postul bugetar 400 au fost cheltuite în mod necuvenit de fostul grup </w:t>
            </w:r>
            <w:r w:rsidRPr="003C1A1A">
              <w:rPr>
                <w:b/>
                <w:i/>
              </w:rPr>
              <w:t>politic Identitate și Democrație în cursul mandatului 2019-2024 și că EPPO a deschis o anchetă în iulie 2025 cu privire la presupusa utilizare abuzivă a fondurilor Uniunii de către grup; evidențiază că, pentru a asigura credibilitatea arhitecturii antifraudă a Uniunii, este necesar ca măsurile privind transparența, răspunderea și recuperarea să se aplice consecvent în cazul tuturor beneficiarilor, fără excepție; invită administrația Parlamentului să ia măsuri administrative provizorii de protecție a interes</w:t>
            </w:r>
            <w:r w:rsidRPr="003C1A1A">
              <w:rPr>
                <w:b/>
                <w:i/>
              </w:rPr>
              <w:t>elor financiare ale Uniunii, în paralel cu ancheta penală a EPPO; consideră că dizolvarea grupului politic Identitate și Democrație în 2024 și procedurile financiare rezultate au demonstrat că actualul cadru este inadecvat pentru a asigura detectarea, raportarea și recuperarea la timp; invită Biroul Parlamentului să revizuiască și să consolideze de urgență cadrul de control financiar intern aplicabil grupurilor politice din Parlamentul European;</w:t>
            </w:r>
          </w:p>
        </w:tc>
      </w:tr>
    </w:tbl>
    <w:p w14:paraId="046CB116" w14:textId="77777777" w:rsidR="00AB098C" w:rsidRPr="003C1A1A" w:rsidRDefault="00497CDE">
      <w:pPr>
        <w:pStyle w:val="AmOrLang"/>
      </w:pPr>
      <w:r w:rsidRPr="003C1A1A">
        <w:t xml:space="preserve">Or. </w:t>
      </w:r>
      <w:r w:rsidRPr="003C1A1A">
        <w:rPr>
          <w:rStyle w:val="HideTWBExt"/>
        </w:rPr>
        <w:t>&lt;Original&gt;</w:t>
      </w:r>
      <w:r w:rsidRPr="003C1A1A">
        <w:rPr>
          <w:rStyle w:val="HideTWBInt"/>
        </w:rPr>
        <w:t>{EN}</w:t>
      </w:r>
      <w:r w:rsidRPr="003C1A1A">
        <w:t>en</w:t>
      </w:r>
      <w:r w:rsidRPr="003C1A1A">
        <w:rPr>
          <w:rStyle w:val="HideTWBExt"/>
        </w:rPr>
        <w:t>&lt;/Original&gt;</w:t>
      </w:r>
    </w:p>
    <w:p w14:paraId="58D2499F" w14:textId="77777777" w:rsidR="00AB098C" w:rsidRPr="003C1A1A" w:rsidRDefault="00497CDE">
      <w:r w:rsidRPr="003C1A1A">
        <w:rPr>
          <w:rStyle w:val="HideTWBExt"/>
        </w:rPr>
        <w:t>&lt;/Amend&gt;</w:t>
      </w:r>
    </w:p>
    <w:p w14:paraId="165F2E2F" w14:textId="77777777" w:rsidR="00AB098C" w:rsidRPr="003C1A1A" w:rsidRDefault="00497CDE">
      <w:r w:rsidRPr="003C1A1A">
        <w:rPr>
          <w:rStyle w:val="HideTWBExt"/>
        </w:rPr>
        <w:t>&lt;/RepeatBlock-Amend&gt;</w:t>
      </w:r>
    </w:p>
    <w:sectPr w:rsidR="00AB098C" w:rsidRPr="003C1A1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E581" w14:textId="77777777" w:rsidR="00497CDE" w:rsidRPr="003C1A1A" w:rsidRDefault="00497CDE">
      <w:r w:rsidRPr="003C1A1A">
        <w:separator/>
      </w:r>
    </w:p>
  </w:endnote>
  <w:endnote w:type="continuationSeparator" w:id="0">
    <w:p w14:paraId="78FC94B1" w14:textId="77777777" w:rsidR="00497CDE" w:rsidRPr="003C1A1A" w:rsidRDefault="00497CDE">
      <w:r w:rsidRPr="003C1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3198" w14:textId="77777777" w:rsidR="00497CDE" w:rsidRDefault="00497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6726" w14:textId="77777777" w:rsidR="003C1A1A" w:rsidRPr="003C1A1A" w:rsidRDefault="003C1A1A" w:rsidP="003C1A1A">
    <w:pPr>
      <w:pStyle w:val="EPFooter"/>
    </w:pPr>
    <w:r w:rsidRPr="003C1A1A">
      <w:rPr>
        <w:rStyle w:val="HideTWBExt"/>
      </w:rPr>
      <w:t>&lt;PathFdR&gt;</w:t>
    </w:r>
    <w:r w:rsidRPr="003C1A1A">
      <w:t>AM\1342225RO.docx</w:t>
    </w:r>
    <w:r w:rsidRPr="003C1A1A">
      <w:rPr>
        <w:rStyle w:val="HideTWBExt"/>
      </w:rPr>
      <w:t>&lt;/PathFdR&gt;</w:t>
    </w:r>
    <w:r w:rsidRPr="003C1A1A">
      <w:tab/>
    </w:r>
    <w:r w:rsidRPr="003C1A1A">
      <w:tab/>
      <w:t>PE</w:t>
    </w:r>
    <w:r w:rsidRPr="003C1A1A">
      <w:rPr>
        <w:rStyle w:val="HideTWBExt"/>
      </w:rPr>
      <w:t>&lt;NoPE&gt;</w:t>
    </w:r>
    <w:r w:rsidRPr="003C1A1A">
      <w:t>783.022</w:t>
    </w:r>
    <w:r w:rsidRPr="003C1A1A">
      <w:rPr>
        <w:rStyle w:val="HideTWBExt"/>
      </w:rPr>
      <w:t>&lt;/NoPE&gt;&lt;Version&gt;</w:t>
    </w:r>
    <w:r w:rsidRPr="003C1A1A">
      <w:t>v01-00</w:t>
    </w:r>
    <w:r w:rsidRPr="003C1A1A">
      <w:rPr>
        <w:rStyle w:val="HideTWBExt"/>
      </w:rPr>
      <w:t>&lt;/Version&gt;</w:t>
    </w:r>
  </w:p>
  <w:p w14:paraId="7CDB53C2" w14:textId="574F5445" w:rsidR="00AB098C" w:rsidRPr="003C1A1A" w:rsidRDefault="003C1A1A" w:rsidP="003C1A1A">
    <w:pPr>
      <w:pStyle w:val="EPFooter2"/>
    </w:pPr>
    <w:r w:rsidRPr="003C1A1A">
      <w:t>RO</w:t>
    </w:r>
    <w:r w:rsidRPr="003C1A1A">
      <w:tab/>
    </w:r>
    <w:r w:rsidRPr="003C1A1A">
      <w:rPr>
        <w:b w:val="0"/>
        <w:i/>
        <w:color w:val="C0C0C0"/>
        <w:sz w:val="22"/>
      </w:rPr>
      <w:t>Unită în diversitate</w:t>
    </w:r>
    <w:r w:rsidRPr="003C1A1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DAEE9" w14:textId="77777777" w:rsidR="00497CDE" w:rsidRDefault="00497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A7BF0" w14:textId="77777777" w:rsidR="00497CDE" w:rsidRPr="003C1A1A" w:rsidRDefault="00497CDE">
      <w:r w:rsidRPr="003C1A1A">
        <w:separator/>
      </w:r>
    </w:p>
  </w:footnote>
  <w:footnote w:type="continuationSeparator" w:id="0">
    <w:p w14:paraId="34356128" w14:textId="77777777" w:rsidR="00497CDE" w:rsidRPr="003C1A1A" w:rsidRDefault="00497CDE">
      <w:r w:rsidRPr="003C1A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360C" w14:textId="77777777" w:rsidR="00497CDE" w:rsidRDefault="00497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FBA4" w14:textId="77777777" w:rsidR="00497CDE" w:rsidRDefault="00497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A28A" w14:textId="77777777" w:rsidR="00497CDE" w:rsidRDefault="00497C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2"/>
    <w:docVar w:name="TXTLANGUE" w:val="EN"/>
    <w:docVar w:name="TXTLANGUEMIN" w:val="en"/>
    <w:docVar w:name="TXTNRPE" w:val="783.022"/>
    <w:docVar w:name="TXTPEorAP" w:val="PE"/>
    <w:docVar w:name="TXTROUTE" w:val="AM\1342225EN.docx"/>
    <w:docVar w:name="TXTVERSION" w:val="01-00"/>
  </w:docVars>
  <w:rsids>
    <w:rsidRoot w:val="00A77B3E"/>
    <w:rsid w:val="001E6DCE"/>
    <w:rsid w:val="0022097A"/>
    <w:rsid w:val="002C4F66"/>
    <w:rsid w:val="0034105C"/>
    <w:rsid w:val="00380094"/>
    <w:rsid w:val="003C1A1A"/>
    <w:rsid w:val="0044003A"/>
    <w:rsid w:val="00440F4F"/>
    <w:rsid w:val="00497CDE"/>
    <w:rsid w:val="004A2B70"/>
    <w:rsid w:val="00566641"/>
    <w:rsid w:val="005744EE"/>
    <w:rsid w:val="005D1D4D"/>
    <w:rsid w:val="006447B6"/>
    <w:rsid w:val="006A13A9"/>
    <w:rsid w:val="006F1F54"/>
    <w:rsid w:val="00705A00"/>
    <w:rsid w:val="007B6BE6"/>
    <w:rsid w:val="00880ABB"/>
    <w:rsid w:val="009C0B53"/>
    <w:rsid w:val="009F6C83"/>
    <w:rsid w:val="00A77B3E"/>
    <w:rsid w:val="00AB098C"/>
    <w:rsid w:val="00C62949"/>
    <w:rsid w:val="00CA2A55"/>
    <w:rsid w:val="00F628DF"/>
    <w:rsid w:val="00FA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1820</Words>
  <Characters>11540</Characters>
  <Application>Microsoft Office Word</Application>
  <DocSecurity>0</DocSecurity>
  <Lines>445</Lines>
  <Paragraphs>144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OBADA Liliana</cp:lastModifiedBy>
  <cp:revision>2</cp:revision>
  <cp:lastPrinted>2026-04-22T17:39:00Z</cp:lastPrinted>
  <dcterms:created xsi:type="dcterms:W3CDTF">2026-04-27T11:27:00Z</dcterms:created>
  <dcterms:modified xsi:type="dcterms:W3CDTF">2026-04-27T11:27:00Z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- 2026/04/27 13:26</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AM\1342225RO.docx</vt:lpwstr>
  </property>
  <property fmtid="{D5CDD505-2E9C-101B-9397-08002B2CF9AE}" pid="10" name="LastEdited with">
    <vt:lpwstr>10.3.0 Build [20260401]</vt:lpwstr>
  </property>
  <property fmtid="{D5CDD505-2E9C-101B-9397-08002B2CF9AE}" pid="11" name="PE Number">
    <vt:lpwstr>783.022</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eu.europa.europarl-DIN1-2026-0000109521_01.00-en-01.00_text-xml</vt:lpwstr>
  </property>
</Properties>
</file>