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AE46A3" w:rsidRPr="00726AD1" w:rsidP="00AE46A3" w14:paraId="6E320687" w14:textId="4E7B8213">
      <w:pPr>
        <w:pStyle w:val="AmDateTab"/>
        <w:rPr>
          <w:lang w:val="pt-PT"/>
        </w:rPr>
      </w:pPr>
      <w:r w:rsidRPr="00726AD1">
        <w:rPr>
          <w:rStyle w:val="HideTWBExt"/>
          <w:noProof w:val="0"/>
          <w:lang w:val="pt-PT"/>
        </w:rPr>
        <w:t>&lt;Amend&gt;</w:t>
      </w:r>
      <w:r w:rsidRPr="00726AD1">
        <w:rPr>
          <w:rStyle w:val="HideTWBExt"/>
          <w:noProof w:val="0"/>
          <w:lang w:val="pt-PT"/>
        </w:rPr>
        <w:t>&lt;Date&gt;</w:t>
      </w:r>
      <w:r w:rsidRPr="00726AD1" w:rsidR="00BD1271">
        <w:rPr>
          <w:rStyle w:val="HideTWBInt"/>
          <w:lang w:val="pt-PT"/>
        </w:rPr>
        <w:t>{</w:t>
      </w:r>
      <w:r w:rsidRPr="00726AD1" w:rsidR="00667523">
        <w:rPr>
          <w:rStyle w:val="HideTWBInt"/>
          <w:lang w:val="pt-PT"/>
        </w:rPr>
        <w:t>30</w:t>
      </w:r>
      <w:r w:rsidRPr="00726AD1" w:rsidR="00BD1271">
        <w:rPr>
          <w:rStyle w:val="HideTWBInt"/>
          <w:lang w:val="pt-PT"/>
        </w:rPr>
        <w:t>/09/2026}</w:t>
      </w:r>
      <w:r w:rsidRPr="00726AD1" w:rsidR="00667523">
        <w:rPr>
          <w:lang w:val="pt-PT"/>
        </w:rPr>
        <w:t>30</w:t>
      </w:r>
      <w:r w:rsidRPr="00726AD1" w:rsidR="00BD1271">
        <w:rPr>
          <w:lang w:val="pt-PT"/>
        </w:rPr>
        <w:t>.9.2026</w:t>
      </w:r>
      <w:r w:rsidRPr="00726AD1">
        <w:rPr>
          <w:rStyle w:val="HideTWBExt"/>
          <w:noProof w:val="0"/>
          <w:lang w:val="pt-PT"/>
        </w:rPr>
        <w:t>&lt;/Date&gt;</w:t>
      </w:r>
      <w:r w:rsidRPr="00726AD1">
        <w:rPr>
          <w:lang w:val="pt-PT"/>
        </w:rPr>
        <w:tab/>
      </w:r>
      <w:r w:rsidRPr="00726AD1">
        <w:rPr>
          <w:rStyle w:val="HideTWBExt"/>
          <w:noProof w:val="0"/>
          <w:lang w:val="pt-PT"/>
        </w:rPr>
        <w:t>&lt;ANo&gt;</w:t>
      </w:r>
      <w:r w:rsidRPr="00726AD1" w:rsidR="00BD1271">
        <w:rPr>
          <w:lang w:val="pt-PT"/>
        </w:rPr>
        <w:t>A10-0095</w:t>
      </w:r>
      <w:r w:rsidRPr="00726AD1">
        <w:rPr>
          <w:rStyle w:val="HideTWBExt"/>
          <w:noProof w:val="0"/>
          <w:lang w:val="pt-PT"/>
        </w:rPr>
        <w:t>&lt;/ANo&gt;</w:t>
      </w:r>
      <w:r w:rsidRPr="00726AD1">
        <w:rPr>
          <w:lang w:val="pt-PT"/>
        </w:rPr>
        <w:t>/</w:t>
      </w:r>
      <w:r w:rsidRPr="00726AD1">
        <w:rPr>
          <w:rStyle w:val="HideTWBExt"/>
          <w:noProof w:val="0"/>
          <w:lang w:val="pt-PT"/>
        </w:rPr>
        <w:t>&lt;NumAm&gt;</w:t>
      </w:r>
      <w:r w:rsidRPr="00726AD1" w:rsidR="00667523">
        <w:rPr>
          <w:lang w:val="pt-PT"/>
        </w:rPr>
        <w:t>6</w:t>
      </w:r>
      <w:r w:rsidRPr="00726AD1">
        <w:rPr>
          <w:rStyle w:val="HideTWBExt"/>
          <w:noProof w:val="0"/>
          <w:lang w:val="pt-PT"/>
        </w:rPr>
        <w:t>&lt;/NumAm&gt;</w:t>
      </w:r>
    </w:p>
    <w:p w:rsidR="00AE46A3" w:rsidRPr="00EA7420" w:rsidP="00AE46A3" w14:paraId="10314E20" w14:textId="7CFDB9DF">
      <w:pPr>
        <w:pStyle w:val="AmNumberTabs"/>
      </w:pPr>
      <w:r w:rsidRPr="00EA7420">
        <w:t>Amendment</w:t>
      </w:r>
      <w:r w:rsidRPr="00EA7420">
        <w:tab/>
      </w:r>
      <w:r w:rsidRPr="00EA7420">
        <w:tab/>
      </w:r>
      <w:r w:rsidRPr="00EA7420">
        <w:rPr>
          <w:rStyle w:val="HideTWBExt"/>
          <w:b w:val="0"/>
          <w:noProof w:val="0"/>
        </w:rPr>
        <w:t>&lt;NumAm&gt;</w:t>
      </w:r>
      <w:r w:rsidRPr="00EA7420" w:rsidR="00667523">
        <w:t>6</w:t>
      </w:r>
      <w:r w:rsidRPr="00EA7420">
        <w:rPr>
          <w:rStyle w:val="HideTWBExt"/>
          <w:b w:val="0"/>
          <w:noProof w:val="0"/>
        </w:rPr>
        <w:t>&lt;/NumAm&gt;</w:t>
      </w:r>
    </w:p>
    <w:p w:rsidR="00AE46A3" w:rsidRPr="00EA7420" w:rsidP="00AE46A3" w14:paraId="4E8ED673" w14:textId="65F04EFB">
      <w:pPr>
        <w:pStyle w:val="NormalBold"/>
      </w:pPr>
      <w:r w:rsidRPr="00EA7420">
        <w:rPr>
          <w:rStyle w:val="HideTWBExt"/>
          <w:b w:val="0"/>
          <w:noProof w:val="0"/>
        </w:rPr>
        <w:t>&lt;RepeatBlock-By&gt;</w:t>
      </w:r>
      <w:bookmarkStart w:id="0" w:name="By"/>
      <w:r w:rsidRPr="00EA7420">
        <w:rPr>
          <w:rStyle w:val="HideTWBExt"/>
          <w:b w:val="0"/>
          <w:noProof w:val="0"/>
        </w:rPr>
        <w:t>&lt;</w:t>
      </w:r>
      <w:r w:rsidRPr="00EA7420" w:rsidR="00814526">
        <w:rPr>
          <w:rStyle w:val="HideTWBExt"/>
          <w:b w:val="0"/>
          <w:noProof w:val="0"/>
        </w:rPr>
        <w:t>By&gt;&lt;</w:t>
      </w:r>
      <w:r w:rsidRPr="00EA7420">
        <w:rPr>
          <w:rStyle w:val="HideTWBExt"/>
          <w:b w:val="0"/>
          <w:noProof w:val="0"/>
        </w:rPr>
        <w:t>Members&gt;</w:t>
      </w:r>
      <w:r w:rsidRPr="00EA7420" w:rsidR="00BD1271">
        <w:t>Pierfrancesco Maran</w:t>
      </w:r>
      <w:r w:rsidRPr="00EA7420">
        <w:rPr>
          <w:rStyle w:val="HideTWBExt"/>
          <w:b w:val="0"/>
          <w:noProof w:val="0"/>
        </w:rPr>
        <w:t>&lt;/Members&gt;</w:t>
      </w:r>
    </w:p>
    <w:p w:rsidR="00AE46A3" w:rsidRPr="00EA7420" w:rsidP="00AE46A3" w14:paraId="58C5D5CA" w14:textId="7A7705A2">
      <w:r w:rsidRPr="00EA7420">
        <w:rPr>
          <w:rStyle w:val="HideTWBExt"/>
          <w:noProof w:val="0"/>
        </w:rPr>
        <w:t>&lt;AuNomDe&gt;</w:t>
      </w:r>
      <w:r w:rsidRPr="00EA7420" w:rsidR="00BD1271">
        <w:rPr>
          <w:rStyle w:val="HideTWBInt"/>
        </w:rPr>
        <w:t>{ENVI}</w:t>
      </w:r>
      <w:r w:rsidRPr="00EA7420" w:rsidR="00BD1271">
        <w:t>on behalf of the Committee on the Environment, Climate and Food Safety</w:t>
      </w:r>
      <w:r w:rsidRPr="00EA7420">
        <w:rPr>
          <w:rStyle w:val="HideTWBExt"/>
          <w:noProof w:val="0"/>
        </w:rPr>
        <w:t>&lt;/AuNomDe&gt;</w:t>
      </w:r>
    </w:p>
    <w:p w:rsidR="00BD1271" w:rsidRPr="00EA7420" w:rsidP="00AE46A3" w14:paraId="7A81B21C" w14:textId="257AD97A">
      <w:pPr>
        <w:pStyle w:val="NormalBold"/>
      </w:pPr>
      <w:r w:rsidRPr="00EA7420">
        <w:rPr>
          <w:rStyle w:val="HideTWBExt"/>
          <w:noProof w:val="0"/>
        </w:rPr>
        <w:t>&lt;</w:t>
      </w:r>
      <w:r w:rsidRPr="00EA7420" w:rsidR="00510280">
        <w:rPr>
          <w:rStyle w:val="HideTWBExt"/>
          <w:noProof w:val="0"/>
        </w:rPr>
        <w:t>/</w:t>
      </w:r>
      <w:r w:rsidRPr="00EA7420">
        <w:rPr>
          <w:rStyle w:val="HideTWBExt"/>
          <w:noProof w:val="0"/>
        </w:rPr>
        <w:t>By&gt;</w:t>
      </w:r>
      <w:bookmarkEnd w:id="0"/>
      <w:r w:rsidRPr="00EA7420">
        <w:rPr>
          <w:rStyle w:val="HideTWBExt"/>
          <w:b w:val="0"/>
          <w:noProof w:val="0"/>
        </w:rPr>
        <w:t>&lt;By&gt;&lt;Members&gt;</w:t>
      </w:r>
      <w:r w:rsidRPr="00EA7420">
        <w:t>Carmen Crespo Díaz</w:t>
      </w:r>
      <w:r w:rsidRPr="00EA7420">
        <w:rPr>
          <w:rStyle w:val="HideTWBExt"/>
          <w:b w:val="0"/>
          <w:noProof w:val="0"/>
        </w:rPr>
        <w:t>&lt;/Members&gt;</w:t>
      </w:r>
    </w:p>
    <w:p w:rsidR="00BD1271" w:rsidRPr="00EA7420" w:rsidP="00AE46A3" w14:paraId="5C9AC824" w14:textId="5F3C020B">
      <w:r w:rsidRPr="00EA7420">
        <w:rPr>
          <w:rStyle w:val="HideTWBExt"/>
          <w:noProof w:val="0"/>
        </w:rPr>
        <w:t>&lt;AuNomDe&gt;</w:t>
      </w:r>
      <w:r w:rsidRPr="00EA7420">
        <w:rPr>
          <w:rStyle w:val="HideTWBInt"/>
        </w:rPr>
        <w:t>{PECH}</w:t>
      </w:r>
      <w:r w:rsidRPr="00EA7420">
        <w:t>on behalf of the Committee on Fisheries</w:t>
      </w:r>
      <w:r w:rsidRPr="00EA7420">
        <w:rPr>
          <w:rStyle w:val="HideTWBExt"/>
          <w:noProof w:val="0"/>
        </w:rPr>
        <w:t>&lt;/AuNomDe&gt;</w:t>
      </w:r>
    </w:p>
    <w:p w:rsidR="00AE46A3" w:rsidRPr="00EA7420" w:rsidP="00BD1271" w14:paraId="38A78252" w14:textId="1BD56E7F">
      <w:r w:rsidRPr="00EA7420">
        <w:rPr>
          <w:rStyle w:val="HideTWBExt"/>
          <w:noProof w:val="0"/>
        </w:rPr>
        <w:t>&lt;/By&gt;</w:t>
      </w:r>
      <w:r w:rsidRPr="00EA7420">
        <w:rPr>
          <w:rStyle w:val="HideTWBExt"/>
          <w:noProof w:val="0"/>
        </w:rPr>
        <w:t>&lt;/RepeatBlock-By&gt;</w:t>
      </w:r>
    </w:p>
    <w:p w:rsidR="00AE46A3" w:rsidRPr="00EA7420" w:rsidP="00AE46A3" w14:paraId="0D3F58C3" w14:textId="6215435A">
      <w:pPr>
        <w:pStyle w:val="AmDocTypeTab"/>
      </w:pPr>
      <w:r w:rsidRPr="00EA7420">
        <w:rPr>
          <w:rStyle w:val="HideTWBExt"/>
          <w:b w:val="0"/>
          <w:noProof w:val="0"/>
        </w:rPr>
        <w:t>&lt;TitreType&gt;</w:t>
      </w:r>
      <w:r w:rsidRPr="00EA7420" w:rsidR="00BD1271">
        <w:t>Report</w:t>
      </w:r>
      <w:r w:rsidRPr="00EA7420">
        <w:rPr>
          <w:rStyle w:val="HideTWBExt"/>
          <w:b w:val="0"/>
          <w:noProof w:val="0"/>
        </w:rPr>
        <w:t>&lt;/TitreType&gt;</w:t>
      </w:r>
      <w:r w:rsidRPr="00EA7420">
        <w:tab/>
      </w:r>
      <w:r w:rsidRPr="00EA7420" w:rsidR="00BD1271">
        <w:t>A10-0095</w:t>
      </w:r>
      <w:r w:rsidRPr="00EA7420">
        <w:t>/</w:t>
      </w:r>
      <w:r w:rsidRPr="00EA7420" w:rsidR="00BD1271">
        <w:t>2026</w:t>
      </w:r>
    </w:p>
    <w:p w:rsidR="00AE46A3" w:rsidRPr="00726AD1" w:rsidP="00AE46A3" w14:paraId="523CE391" w14:textId="10AD3AC7">
      <w:pPr>
        <w:pStyle w:val="NormalBold"/>
        <w:rPr>
          <w:lang w:val="fr-BE"/>
        </w:rPr>
      </w:pPr>
      <w:r w:rsidRPr="00726AD1">
        <w:rPr>
          <w:rStyle w:val="HideTWBExt"/>
          <w:b w:val="0"/>
          <w:noProof w:val="0"/>
          <w:lang w:val="fr-BE"/>
        </w:rPr>
        <w:t>&lt;Rapporteur&gt;</w:t>
      </w:r>
      <w:r w:rsidRPr="00726AD1" w:rsidR="00BD1271">
        <w:rPr>
          <w:lang w:val="fr-BE"/>
        </w:rPr>
        <w:t>Pierfrancesco</w:t>
      </w:r>
      <w:r w:rsidRPr="00726AD1" w:rsidR="00BD1271">
        <w:rPr>
          <w:lang w:val="fr-BE"/>
        </w:rPr>
        <w:t xml:space="preserve"> Maran, Mélissa Camara</w:t>
      </w:r>
      <w:r w:rsidRPr="00726AD1">
        <w:rPr>
          <w:rStyle w:val="HideTWBExt"/>
          <w:b w:val="0"/>
          <w:noProof w:val="0"/>
          <w:lang w:val="fr-BE"/>
        </w:rPr>
        <w:t>&lt;/Rapporteur&gt;</w:t>
      </w:r>
    </w:p>
    <w:p w:rsidR="00AE46A3" w:rsidRPr="00EA7420" w:rsidP="00AE46A3" w14:paraId="04F30A65" w14:textId="0D14FC63">
      <w:r w:rsidRPr="00EA7420">
        <w:rPr>
          <w:rStyle w:val="HideTWBExt"/>
          <w:noProof w:val="0"/>
        </w:rPr>
        <w:t>&lt;Titre&gt;</w:t>
      </w:r>
      <w:r w:rsidRPr="00EA7420" w:rsidR="00BD1271">
        <w:t>Empowering France to accede to the Inter-American Convention for the Protection and Conservation of Sea Turtles</w:t>
      </w:r>
      <w:r w:rsidRPr="00EA7420">
        <w:rPr>
          <w:rStyle w:val="HideTWBExt"/>
          <w:noProof w:val="0"/>
        </w:rPr>
        <w:t>&lt;/Titre&gt;</w:t>
      </w:r>
    </w:p>
    <w:p w:rsidR="00AE46A3" w:rsidRPr="00127E51" w:rsidP="00AE46A3" w14:paraId="7AE27A90" w14:textId="51060CB7">
      <w:pPr>
        <w:pStyle w:val="Normal12a"/>
      </w:pPr>
      <w:r w:rsidRPr="00127E51">
        <w:rPr>
          <w:rStyle w:val="HideTWBExt"/>
          <w:noProof w:val="0"/>
        </w:rPr>
        <w:t>&lt;</w:t>
      </w:r>
      <w:r w:rsidRPr="00127E51">
        <w:rPr>
          <w:rStyle w:val="HideTWBExt"/>
          <w:noProof w:val="0"/>
        </w:rPr>
        <w:t>DocRef</w:t>
      </w:r>
      <w:r w:rsidRPr="00127E51">
        <w:rPr>
          <w:rStyle w:val="HideTWBExt"/>
          <w:noProof w:val="0"/>
        </w:rPr>
        <w:t>&gt;</w:t>
      </w:r>
      <w:r w:rsidRPr="00127E51" w:rsidR="00CD2543">
        <w:t>(</w:t>
      </w:r>
      <w:r w:rsidRPr="00127E51" w:rsidR="00BD1271">
        <w:t>COM(</w:t>
      </w:r>
      <w:r w:rsidRPr="00127E51" w:rsidR="00BD1271">
        <w:t>2025)0689 – C10-0300/2025 – 2025/0349(COD</w:t>
      </w:r>
      <w:r w:rsidRPr="00127E51" w:rsidR="00BD1271">
        <w:t>)</w:t>
      </w:r>
      <w:r w:rsidRPr="00127E51" w:rsidR="00CD2543">
        <w:t>)</w:t>
      </w:r>
      <w:r w:rsidRPr="00127E51">
        <w:rPr>
          <w:rStyle w:val="HideTWBExt"/>
          <w:noProof w:val="0"/>
        </w:rPr>
        <w:t>&lt;</w:t>
      </w:r>
      <w:r w:rsidRPr="00127E51">
        <w:rPr>
          <w:rStyle w:val="HideTWBExt"/>
          <w:noProof w:val="0"/>
        </w:rPr>
        <w:t>/</w:t>
      </w:r>
      <w:r w:rsidRPr="00127E51">
        <w:rPr>
          <w:rStyle w:val="HideTWBExt"/>
          <w:noProof w:val="0"/>
        </w:rPr>
        <w:t>DocRef</w:t>
      </w:r>
      <w:r w:rsidRPr="00127E51">
        <w:rPr>
          <w:rStyle w:val="HideTWBExt"/>
          <w:noProof w:val="0"/>
        </w:rPr>
        <w:t>&gt;</w:t>
      </w:r>
    </w:p>
    <w:p w:rsidR="00AE46A3" w:rsidRPr="00EA7420" w:rsidP="00AE46A3" w14:paraId="5D84D727" w14:textId="031AEFC7">
      <w:pPr>
        <w:pStyle w:val="NormalBold"/>
      </w:pPr>
      <w:r w:rsidRPr="00EA7420">
        <w:rPr>
          <w:rStyle w:val="HideTWBExt"/>
          <w:b w:val="0"/>
          <w:noProof w:val="0"/>
        </w:rPr>
        <w:t>&lt;</w:t>
      </w:r>
      <w:r w:rsidRPr="00EA7420">
        <w:rPr>
          <w:rStyle w:val="HideTWBExt"/>
          <w:b w:val="0"/>
          <w:noProof w:val="0"/>
        </w:rPr>
        <w:t>DocAmend</w:t>
      </w:r>
      <w:r w:rsidRPr="00EA7420">
        <w:rPr>
          <w:rStyle w:val="HideTWBExt"/>
          <w:b w:val="0"/>
          <w:noProof w:val="0"/>
        </w:rPr>
        <w:t>&gt;</w:t>
      </w:r>
      <w:r w:rsidRPr="00EA7420" w:rsidR="00BD1271">
        <w:t>Proposal for a decision</w:t>
      </w:r>
      <w:r w:rsidRPr="00EA7420">
        <w:rPr>
          <w:rStyle w:val="HideTWBExt"/>
          <w:b w:val="0"/>
          <w:noProof w:val="0"/>
        </w:rPr>
        <w:t>&lt;/</w:t>
      </w:r>
      <w:r w:rsidRPr="00EA7420">
        <w:rPr>
          <w:rStyle w:val="HideTWBExt"/>
          <w:b w:val="0"/>
          <w:noProof w:val="0"/>
        </w:rPr>
        <w:t>DocAmend</w:t>
      </w:r>
      <w:r w:rsidRPr="00EA7420">
        <w:rPr>
          <w:rStyle w:val="HideTWBExt"/>
          <w:b w:val="0"/>
          <w:noProof w:val="0"/>
        </w:rPr>
        <w:t>&gt;</w:t>
      </w:r>
    </w:p>
    <w:p w:rsidR="00AE46A3" w:rsidRPr="00EA7420" w:rsidP="00AE46A3" w14:paraId="4C3EE249" w14:textId="77777777">
      <w:pPr>
        <w:pStyle w:val="NormalBold"/>
      </w:pPr>
      <w:r w:rsidRPr="00EA7420">
        <w:rPr>
          <w:rStyle w:val="HideTWBExt"/>
          <w:b w:val="0"/>
          <w:noProof w:val="0"/>
        </w:rPr>
        <w:t>&lt;Article&gt;</w:t>
      </w:r>
      <w:r w:rsidRPr="00EA7420" w:rsidR="00E5087F">
        <w:t>–</w:t>
      </w:r>
      <w:r w:rsidRPr="00EA7420">
        <w:rPr>
          <w:rStyle w:val="HideTWBExt"/>
          <w:b w:val="0"/>
          <w:noProof w:val="0"/>
        </w:rPr>
        <w:t>&lt;/Article&gt;</w:t>
      </w:r>
    </w:p>
    <w:p w:rsidR="00FF2CB3" w:rsidRPr="00EA7420" w:rsidP="006339AB" w14:paraId="237BF2AC" w14:textId="77777777">
      <w:pPr>
        <w:pStyle w:val="AmHeadingConsam"/>
      </w:pPr>
      <w:r w:rsidRPr="00EA7420">
        <w:t>AMENDMENTS BY THE EUROPEAN PARLIAMENT</w:t>
      </w:r>
      <w:r>
        <w:rPr>
          <w:rStyle w:val="FootnoteReference"/>
        </w:rPr>
        <w:footnoteReference w:customMarkFollows="1" w:id="2"/>
        <w:t xml:space="preserve">*</w:t>
      </w:r>
    </w:p>
    <w:p w:rsidR="00892C85" w:rsidRPr="00EA7420" w:rsidP="006C0168" w14:paraId="65197664" w14:textId="1302AC68">
      <w:pPr>
        <w:pStyle w:val="NormalCenter12a"/>
      </w:pPr>
      <w:r w:rsidRPr="00EA7420">
        <w:t>to the Commission proposal</w:t>
      </w:r>
    </w:p>
    <w:p w:rsidR="00525DC0" w:rsidRPr="00EA7420" w:rsidP="006C0168" w14:paraId="1CDFC63A" w14:textId="77777777">
      <w:pPr>
        <w:pStyle w:val="NormalCenter12a"/>
      </w:pPr>
      <w:r w:rsidRPr="00EA7420">
        <w:t>---------------------------------------------------------</w:t>
      </w:r>
    </w:p>
    <w:p w:rsidR="00BD1271" w:rsidRPr="00EA7420" w:rsidP="00BD1271" w14:paraId="56D246B2" w14:textId="77777777">
      <w:pPr>
        <w:widowControl/>
        <w:spacing w:before="360" w:after="120" w:line="360" w:lineRule="auto"/>
        <w:jc w:val="center"/>
        <w:rPr>
          <w:rFonts w:eastAsia="Aptos"/>
          <w:b/>
          <w:kern w:val="2"/>
          <w:szCs w:val="24"/>
          <w:lang w:eastAsia="en-US"/>
          <w14:ligatures w14:val="standardContextual"/>
        </w:rPr>
      </w:pPr>
      <w:r w:rsidRPr="00EA7420">
        <w:rPr>
          <w:rFonts w:eastAsia="Aptos"/>
          <w:b/>
          <w:kern w:val="2"/>
          <w:szCs w:val="24"/>
          <w:lang w:eastAsia="en-US"/>
          <w14:ligatures w14:val="standardContextual"/>
        </w:rPr>
        <w:t xml:space="preserve">DECISION (EU) 2026/…. </w:t>
      </w:r>
    </w:p>
    <w:p w:rsidR="00BD1271" w:rsidRPr="00EA7420" w:rsidP="00BD1271" w14:paraId="5BEEF64D" w14:textId="77777777">
      <w:pPr>
        <w:widowControl/>
        <w:spacing w:before="360" w:after="120" w:line="360" w:lineRule="auto"/>
        <w:jc w:val="center"/>
        <w:rPr>
          <w:rFonts w:eastAsia="Aptos"/>
          <w:b/>
          <w:kern w:val="2"/>
          <w:szCs w:val="24"/>
          <w:lang w:eastAsia="en-US"/>
          <w14:ligatures w14:val="standardContextual"/>
        </w:rPr>
      </w:pPr>
      <w:r w:rsidRPr="00EA7420">
        <w:rPr>
          <w:rFonts w:eastAsia="Aptos"/>
          <w:b/>
          <w:kern w:val="2"/>
          <w:szCs w:val="24"/>
          <w:lang w:eastAsia="en-US"/>
          <w14:ligatures w14:val="standardContextual"/>
        </w:rPr>
        <w:t>OF THE EUROPEAN PARLIAMENT AND OF THE COUNCIL</w:t>
      </w:r>
    </w:p>
    <w:p w:rsidR="00BD1271" w:rsidRPr="00EA7420" w:rsidP="00BD1271" w14:paraId="796BC76E" w14:textId="77777777">
      <w:pPr>
        <w:widowControl/>
        <w:spacing w:before="360" w:after="120" w:line="360" w:lineRule="auto"/>
        <w:jc w:val="center"/>
        <w:rPr>
          <w:rFonts w:eastAsia="Aptos"/>
          <w:b/>
          <w:kern w:val="2"/>
          <w:szCs w:val="24"/>
          <w:lang w:eastAsia="en-US"/>
          <w14:ligatures w14:val="standardContextual"/>
        </w:rPr>
      </w:pPr>
      <w:r w:rsidRPr="00EA7420">
        <w:rPr>
          <w:rFonts w:eastAsia="Aptos"/>
          <w:b/>
          <w:kern w:val="2"/>
          <w:szCs w:val="24"/>
          <w:lang w:eastAsia="en-US"/>
          <w14:ligatures w14:val="standardContextual"/>
        </w:rPr>
        <w:t>of …</w:t>
      </w:r>
    </w:p>
    <w:p w:rsidR="00BD1271" w:rsidRPr="00EA7420" w:rsidP="00BD1271" w14:paraId="36CEB089" w14:textId="77777777">
      <w:pPr>
        <w:widowControl/>
        <w:spacing w:before="360" w:after="120" w:line="360" w:lineRule="auto"/>
        <w:jc w:val="center"/>
        <w:rPr>
          <w:rFonts w:eastAsia="Aptos"/>
          <w:b/>
          <w:kern w:val="2"/>
          <w:szCs w:val="24"/>
          <w:lang w:eastAsia="en-US"/>
          <w14:ligatures w14:val="standardContextual"/>
        </w:rPr>
      </w:pPr>
      <w:r w:rsidRPr="00EA7420">
        <w:rPr>
          <w:rFonts w:eastAsia="Aptos"/>
          <w:b/>
          <w:kern w:val="2"/>
          <w:szCs w:val="24"/>
          <w:lang w:eastAsia="en-US"/>
          <w14:ligatures w14:val="standardContextual"/>
        </w:rPr>
        <w:t xml:space="preserve">empowering France to accede to the Inter-American Convention </w:t>
      </w:r>
      <w:r w:rsidRPr="00EA7420">
        <w:rPr>
          <w:rFonts w:eastAsia="Aptos"/>
          <w:b/>
          <w:kern w:val="2"/>
          <w:szCs w:val="24"/>
          <w:lang w:eastAsia="en-US"/>
          <w14:ligatures w14:val="standardContextual"/>
        </w:rPr>
        <w:br/>
        <w:t>for the Protection and Conservation of Sea Turtles</w:t>
      </w:r>
    </w:p>
    <w:p w:rsidR="00BD1271" w:rsidRPr="00EA7420" w:rsidP="00BD1271" w14:paraId="32574F10" w14:textId="77777777">
      <w:pPr>
        <w:widowControl/>
        <w:spacing w:before="360"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t>THE EUROPEAN PARLIAMENT AND THE COUNCIL OF THE EUROPEAN UNION,</w:t>
      </w:r>
    </w:p>
    <w:p w:rsidR="00BD1271" w:rsidRPr="00EA7420" w:rsidP="00BD1271" w14:paraId="5A80E3BD" w14:textId="77777777">
      <w:pPr>
        <w:widowControl/>
        <w:spacing w:before="120"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t>Having regard to the Treaty on the Functioning of the European Union, and in particular Article </w:t>
      </w:r>
      <w:r w:rsidRPr="00EA7420">
        <w:rPr>
          <w:rFonts w:eastAsia="Aptos"/>
          <w:b/>
          <w:i/>
          <w:kern w:val="2"/>
          <w:szCs w:val="24"/>
          <w:lang w:eastAsia="en-US"/>
          <w14:ligatures w14:val="standardContextual"/>
        </w:rPr>
        <w:t>43(2)</w:t>
      </w:r>
      <w:r w:rsidRPr="00EA7420">
        <w:rPr>
          <w:rFonts w:eastAsia="Aptos"/>
          <w:kern w:val="2"/>
          <w:szCs w:val="24"/>
          <w:lang w:eastAsia="en-US"/>
          <w14:ligatures w14:val="standardContextual"/>
        </w:rPr>
        <w:t xml:space="preserve"> thereof,</w:t>
      </w:r>
    </w:p>
    <w:p w:rsidR="00BD1271" w:rsidRPr="00EA7420" w:rsidP="00BD1271" w14:paraId="1DADBC14" w14:textId="77777777">
      <w:pPr>
        <w:widowControl/>
        <w:spacing w:before="120"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t>Having regard to the proposal from the European Commission,</w:t>
      </w:r>
    </w:p>
    <w:p w:rsidR="00BD1271" w:rsidRPr="00EA7420" w:rsidP="00BD1271" w14:paraId="2D150CC1" w14:textId="77777777">
      <w:pPr>
        <w:widowControl/>
        <w:spacing w:before="120"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t>Having regard to the opinion of the European Economic and Social Committee</w:t>
      </w:r>
      <w:r>
        <w:rPr>
          <w:rFonts w:eastAsia="Aptos" w:cs="Arial"/>
          <w:b/>
          <w:noProof/>
          <w:kern w:val="2"/>
          <w:szCs w:val="24"/>
          <w:bdr w:val="none" w:sz="0" w:space="0" w:color="auto" w:frame="1"/>
          <w:vertAlign w:val="superscript"/>
          <w:lang w:eastAsia="en-US"/>
          <w14:ligatures w14:val="standardContextual"/>
        </w:rPr>
        <w:footnoteReference w:id="3"/>
      </w:r>
      <w:r w:rsidRPr="00EA7420">
        <w:rPr>
          <w:rFonts w:eastAsia="Aptos"/>
          <w:kern w:val="2"/>
          <w:szCs w:val="24"/>
          <w:lang w:eastAsia="en-US"/>
          <w14:ligatures w14:val="standardContextual"/>
        </w:rPr>
        <w:t>,</w:t>
      </w:r>
    </w:p>
    <w:p w:rsidR="00BD1271" w:rsidRPr="00EA7420" w:rsidP="00BD1271" w14:paraId="1B971884" w14:textId="77777777">
      <w:pPr>
        <w:widowControl/>
        <w:spacing w:before="120"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t>Acting in accordance with the ordinary legislative procedure,</w:t>
      </w:r>
    </w:p>
    <w:p w:rsidR="00BD1271" w:rsidRPr="00EA7420" w:rsidP="00BD1271" w14:paraId="0E942F9C" w14:textId="77777777">
      <w:pPr>
        <w:widowControl/>
        <w:spacing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br w:type="page"/>
      </w:r>
    </w:p>
    <w:p w:rsidR="00BD1271" w:rsidRPr="00EA7420" w:rsidP="00BD1271" w14:paraId="65F33B3A" w14:textId="77777777">
      <w:pPr>
        <w:widowControl/>
        <w:spacing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t>Whereas:</w:t>
      </w:r>
    </w:p>
    <w:p w:rsidR="00BD1271" w:rsidRPr="00EA7420" w:rsidP="00BD1271" w14:paraId="3F340BD1" w14:textId="77777777">
      <w:pPr>
        <w:widowControl/>
        <w:spacing w:before="120" w:after="120" w:line="360" w:lineRule="auto"/>
        <w:ind w:left="851" w:hanging="851"/>
        <w:rPr>
          <w:rFonts w:eastAsia="Aptos"/>
          <w:kern w:val="2"/>
          <w:szCs w:val="24"/>
          <w:lang w:eastAsia="en-US"/>
          <w14:ligatures w14:val="standardContextual"/>
        </w:rPr>
      </w:pPr>
      <w:r w:rsidRPr="00EA7420">
        <w:rPr>
          <w:rFonts w:eastAsia="Aptos"/>
          <w:kern w:val="2"/>
          <w:szCs w:val="24"/>
          <w:lang w:eastAsia="en-US"/>
          <w14:ligatures w14:val="standardContextual"/>
        </w:rPr>
        <w:t>(1)</w:t>
      </w:r>
      <w:r w:rsidRPr="00EA7420">
        <w:rPr>
          <w:rFonts w:eastAsia="Aptos"/>
          <w:kern w:val="2"/>
          <w:szCs w:val="24"/>
          <w:lang w:eastAsia="en-US"/>
          <w14:ligatures w14:val="standardContextual"/>
        </w:rPr>
        <w:tab/>
      </w:r>
      <w:r w:rsidRPr="00EA7420">
        <w:rPr>
          <w:rFonts w:eastAsia="Aptos"/>
          <w:b/>
          <w:i/>
          <w:kern w:val="2"/>
          <w:szCs w:val="24"/>
          <w:lang w:eastAsia="en-US"/>
          <w14:ligatures w14:val="standardContextual"/>
        </w:rPr>
        <w:t>On</w:t>
      </w:r>
      <w:r w:rsidRPr="00EA7420">
        <w:rPr>
          <w:rFonts w:eastAsia="Aptos"/>
          <w:kern w:val="2"/>
          <w:szCs w:val="24"/>
          <w:lang w:eastAsia="en-US"/>
          <w14:ligatures w14:val="standardContextual"/>
        </w:rPr>
        <w:t xml:space="preserve"> 4 February 2025, France requested </w:t>
      </w:r>
      <w:r w:rsidRPr="00EA7420">
        <w:rPr>
          <w:rFonts w:eastAsia="Aptos"/>
          <w:b/>
          <w:i/>
          <w:kern w:val="2"/>
          <w:szCs w:val="24"/>
          <w:lang w:eastAsia="en-US"/>
          <w14:ligatures w14:val="standardContextual"/>
        </w:rPr>
        <w:t>an empowerment from the Union</w:t>
      </w:r>
      <w:r w:rsidRPr="00EA7420">
        <w:rPr>
          <w:rFonts w:eastAsia="Aptos"/>
          <w:kern w:val="2"/>
          <w:szCs w:val="24"/>
          <w:lang w:eastAsia="en-US"/>
          <w14:ligatures w14:val="standardContextual"/>
        </w:rPr>
        <w:t xml:space="preserve"> to accede to the Inter-American Convention for the Protection and Conservation of Sea Turtles</w:t>
      </w:r>
      <w:r w:rsidRPr="00EA7420">
        <w:rPr>
          <w:rFonts w:eastAsia="Aptos" w:cs="Arial"/>
          <w:noProof/>
          <w:kern w:val="2"/>
          <w:szCs w:val="24"/>
          <w:lang w:eastAsia="en-US"/>
          <w14:ligatures w14:val="standardContextual"/>
        </w:rPr>
        <w:t>, done at Caracas on 1 December 1996 (the ‘Convention</w:t>
      </w:r>
      <w:bookmarkStart w:id="1" w:name="_Hlk230261508"/>
      <w:r w:rsidRPr="00EA7420">
        <w:rPr>
          <w:rFonts w:eastAsia="Aptos" w:cs="Arial"/>
          <w:noProof/>
          <w:kern w:val="2"/>
          <w:szCs w:val="24"/>
          <w:lang w:eastAsia="en-US"/>
          <w14:ligatures w14:val="standardContextual"/>
        </w:rPr>
        <w:t>’</w:t>
      </w:r>
      <w:bookmarkEnd w:id="1"/>
      <w:r w:rsidRPr="00EA7420">
        <w:rPr>
          <w:rFonts w:eastAsia="Aptos" w:cs="Arial"/>
          <w:noProof/>
          <w:kern w:val="2"/>
          <w:szCs w:val="24"/>
          <w:lang w:eastAsia="en-US"/>
          <w14:ligatures w14:val="standardContextual"/>
        </w:rPr>
        <w:t xml:space="preserve">), </w:t>
      </w:r>
      <w:r w:rsidRPr="00EA7420">
        <w:rPr>
          <w:rFonts w:eastAsia="Aptos"/>
          <w:kern w:val="2"/>
          <w:szCs w:val="24"/>
          <w:lang w:eastAsia="en-US"/>
          <w14:ligatures w14:val="standardContextual"/>
        </w:rPr>
        <w:t xml:space="preserve">in order to strengthen its cooperation with the countries bordering its territories on the American continents in the area of </w:t>
      </w:r>
      <w:bookmarkStart w:id="2" w:name="_Hlk230261557"/>
      <w:r w:rsidRPr="00EA7420">
        <w:rPr>
          <w:rFonts w:eastAsia="Aptos" w:cs="Arial"/>
          <w:noProof/>
          <w:kern w:val="2"/>
          <w:szCs w:val="24"/>
          <w:lang w:eastAsia="en-US"/>
          <w14:ligatures w14:val="standardContextual"/>
        </w:rPr>
        <w:t>the</w:t>
      </w:r>
      <w:bookmarkEnd w:id="2"/>
      <w:r w:rsidRPr="00EA7420">
        <w:rPr>
          <w:rFonts w:eastAsia="Aptos" w:cs="Arial"/>
          <w:noProof/>
          <w:kern w:val="2"/>
          <w:szCs w:val="24"/>
          <w:lang w:eastAsia="en-US"/>
          <w14:ligatures w14:val="standardContextual"/>
        </w:rPr>
        <w:t xml:space="preserve"> </w:t>
      </w:r>
      <w:r w:rsidRPr="00EA7420">
        <w:rPr>
          <w:rFonts w:eastAsia="Aptos"/>
          <w:kern w:val="2"/>
          <w:szCs w:val="24"/>
          <w:lang w:eastAsia="en-US"/>
          <w14:ligatures w14:val="standardContextual"/>
        </w:rPr>
        <w:t xml:space="preserve">protection of marine turtle species occurring in seas adjacent to the American </w:t>
      </w:r>
      <w:r w:rsidRPr="00EA7420">
        <w:rPr>
          <w:rFonts w:eastAsia="Aptos" w:cs="Arial"/>
          <w:noProof/>
          <w:kern w:val="2"/>
          <w:szCs w:val="24"/>
          <w:lang w:eastAsia="en-US"/>
          <w14:ligatures w14:val="standardContextual"/>
        </w:rPr>
        <w:t xml:space="preserve">continents </w:t>
      </w:r>
      <w:r w:rsidRPr="00EA7420">
        <w:rPr>
          <w:rFonts w:eastAsia="Aptos"/>
          <w:kern w:val="2"/>
          <w:szCs w:val="24"/>
          <w:lang w:eastAsia="en-US"/>
          <w14:ligatures w14:val="standardContextual"/>
        </w:rPr>
        <w:t>and the Caribbean.</w:t>
      </w:r>
    </w:p>
    <w:p w:rsidR="00BD1271" w:rsidRPr="00EA7420" w:rsidP="00BD1271" w14:paraId="4AB63268" w14:textId="77777777">
      <w:pPr>
        <w:widowControl/>
        <w:spacing w:before="120" w:after="120" w:line="360" w:lineRule="auto"/>
        <w:ind w:left="851" w:hanging="851"/>
        <w:rPr>
          <w:rFonts w:eastAsia="Aptos"/>
          <w:kern w:val="2"/>
          <w:szCs w:val="24"/>
          <w:lang w:eastAsia="en-US"/>
          <w14:ligatures w14:val="standardContextual"/>
        </w:rPr>
      </w:pPr>
      <w:r w:rsidRPr="00EA7420">
        <w:rPr>
          <w:rFonts w:eastAsia="Aptos"/>
          <w:kern w:val="2"/>
          <w:szCs w:val="24"/>
          <w:lang w:eastAsia="en-US"/>
          <w14:ligatures w14:val="standardContextual"/>
        </w:rPr>
        <w:t>(2)</w:t>
      </w:r>
      <w:r w:rsidRPr="00EA7420">
        <w:rPr>
          <w:rFonts w:eastAsia="Aptos"/>
          <w:kern w:val="2"/>
          <w:szCs w:val="24"/>
          <w:lang w:eastAsia="en-US"/>
          <w14:ligatures w14:val="standardContextual"/>
        </w:rPr>
        <w:tab/>
      </w:r>
      <w:bookmarkStart w:id="3" w:name="_Hlk234519265"/>
      <w:r w:rsidRPr="00EA7420">
        <w:rPr>
          <w:rFonts w:eastAsia="Aptos"/>
          <w:b/>
          <w:i/>
          <w:kern w:val="2"/>
          <w:szCs w:val="24"/>
          <w:lang w:eastAsia="en-US"/>
          <w14:ligatures w14:val="standardContextual"/>
        </w:rPr>
        <w:t>Certain</w:t>
      </w:r>
      <w:r w:rsidRPr="00EA7420">
        <w:rPr>
          <w:rFonts w:eastAsia="Aptos"/>
          <w:kern w:val="2"/>
          <w:szCs w:val="24"/>
          <w:lang w:eastAsia="en-US"/>
          <w14:ligatures w14:val="standardContextual"/>
        </w:rPr>
        <w:t xml:space="preserve"> matters covered by the Convention fall within the Union's exclusive competence. </w:t>
      </w:r>
      <w:bookmarkEnd w:id="3"/>
      <w:r w:rsidRPr="00EA7420">
        <w:rPr>
          <w:rFonts w:eastAsia="Aptos" w:cs="Arial"/>
          <w:noProof/>
          <w:kern w:val="2"/>
          <w:szCs w:val="24"/>
          <w:lang w:eastAsia="en-US"/>
          <w14:ligatures w14:val="standardContextual"/>
        </w:rPr>
        <w:t>In order to accede to the Convention, therefore, France is required to be</w:t>
      </w:r>
      <w:r w:rsidRPr="00EA7420">
        <w:rPr>
          <w:rFonts w:eastAsia="Aptos"/>
          <w:kern w:val="2"/>
          <w:szCs w:val="24"/>
          <w:lang w:eastAsia="en-US"/>
          <w14:ligatures w14:val="standardContextual"/>
        </w:rPr>
        <w:t xml:space="preserve"> empowered by the Union pursuant to Article 2(1) of the Treaty on the Functioning of the European Union (TFEU)</w:t>
      </w:r>
      <w:r w:rsidRPr="00EA7420">
        <w:rPr>
          <w:rFonts w:eastAsia="Aptos"/>
          <w:b/>
          <w:i/>
          <w:kern w:val="2"/>
          <w:szCs w:val="24"/>
          <w:lang w:eastAsia="en-US"/>
          <w14:ligatures w14:val="standardContextual"/>
        </w:rPr>
        <w:t xml:space="preserve"> for matters falling under the Union's exclusive competence</w:t>
      </w:r>
      <w:r w:rsidRPr="00EA7420">
        <w:rPr>
          <w:rFonts w:eastAsia="Aptos"/>
          <w:kern w:val="2"/>
          <w:szCs w:val="24"/>
          <w:lang w:eastAsia="en-US"/>
          <w14:ligatures w14:val="standardContextual"/>
        </w:rPr>
        <w:t>.</w:t>
      </w:r>
      <w:r w:rsidRPr="00EA7420">
        <w:rPr>
          <w:rFonts w:eastAsia="Aptos"/>
          <w:b/>
          <w:i/>
          <w:kern w:val="2"/>
          <w:szCs w:val="24"/>
          <w:lang w:eastAsia="en-US"/>
          <w14:ligatures w14:val="standardContextual"/>
        </w:rPr>
        <w:t xml:space="preserve"> This Decision does not constitute an exercise of external competence by the Union as regards matters covered by the Convention that do not relate to an exclusive competence.</w:t>
      </w:r>
    </w:p>
    <w:p w:rsidR="00BD1271" w:rsidRPr="00EA7420" w:rsidP="00BD1271" w14:paraId="4AB8A5AF" w14:textId="77777777">
      <w:pPr>
        <w:widowControl/>
        <w:spacing w:before="120" w:after="120" w:line="360" w:lineRule="auto"/>
        <w:ind w:left="851" w:hanging="851"/>
        <w:rPr>
          <w:rFonts w:eastAsia="Aptos"/>
          <w:kern w:val="2"/>
          <w:szCs w:val="24"/>
          <w:lang w:eastAsia="en-US"/>
          <w14:ligatures w14:val="standardContextual"/>
        </w:rPr>
      </w:pPr>
      <w:bookmarkStart w:id="4" w:name="_Hlk234231303"/>
      <w:r w:rsidRPr="00EA7420">
        <w:rPr>
          <w:rFonts w:eastAsia="Aptos"/>
          <w:kern w:val="2"/>
          <w:szCs w:val="24"/>
          <w:lang w:eastAsia="en-US"/>
          <w14:ligatures w14:val="standardContextual"/>
        </w:rPr>
        <w:t>(3)</w:t>
      </w:r>
      <w:r w:rsidRPr="00EA7420">
        <w:rPr>
          <w:rFonts w:eastAsia="Aptos"/>
          <w:kern w:val="2"/>
          <w:szCs w:val="24"/>
          <w:lang w:eastAsia="en-US"/>
          <w14:ligatures w14:val="standardContextual"/>
        </w:rPr>
        <w:tab/>
        <w:t>The Convention is in line with the Union’s</w:t>
      </w:r>
      <w:r w:rsidRPr="00EA7420">
        <w:rPr>
          <w:rFonts w:eastAsia="Aptos"/>
          <w:b/>
          <w:i/>
          <w:kern w:val="2"/>
          <w:szCs w:val="24"/>
          <w:lang w:eastAsia="en-US"/>
          <w14:ligatures w14:val="standardContextual"/>
        </w:rPr>
        <w:t xml:space="preserve"> policies in the fields of the protection of</w:t>
      </w:r>
      <w:r w:rsidRPr="00EA7420">
        <w:rPr>
          <w:rFonts w:eastAsia="Aptos"/>
          <w:kern w:val="2"/>
          <w:szCs w:val="24"/>
          <w:lang w:eastAsia="en-US"/>
          <w14:ligatures w14:val="standardContextual"/>
        </w:rPr>
        <w:t xml:space="preserve"> marine biological resources </w:t>
      </w:r>
      <w:r w:rsidRPr="00EA7420">
        <w:rPr>
          <w:rFonts w:eastAsia="Aptos"/>
          <w:b/>
          <w:i/>
          <w:kern w:val="2"/>
          <w:szCs w:val="24"/>
          <w:lang w:eastAsia="en-US"/>
          <w14:ligatures w14:val="standardContextual"/>
        </w:rPr>
        <w:t>and the environment</w:t>
      </w:r>
      <w:r w:rsidRPr="00EA7420">
        <w:rPr>
          <w:rFonts w:eastAsia="Aptos" w:cs="Arial"/>
          <w:noProof/>
          <w:kern w:val="2"/>
          <w:szCs w:val="24"/>
          <w:lang w:eastAsia="en-US"/>
          <w14:ligatures w14:val="standardContextual"/>
        </w:rPr>
        <w:t xml:space="preserve">, in particular </w:t>
      </w:r>
      <w:r w:rsidRPr="00EA7420">
        <w:rPr>
          <w:rFonts w:eastAsia="Aptos"/>
          <w:b/>
          <w:i/>
          <w:kern w:val="2"/>
          <w:szCs w:val="24"/>
          <w:lang w:eastAsia="en-US"/>
          <w14:ligatures w14:val="standardContextual"/>
        </w:rPr>
        <w:t>as regards</w:t>
      </w:r>
      <w:r w:rsidRPr="00EA7420">
        <w:rPr>
          <w:rFonts w:eastAsia="Aptos"/>
          <w:kern w:val="2"/>
          <w:szCs w:val="24"/>
          <w:lang w:eastAsia="en-US"/>
          <w14:ligatures w14:val="standardContextual"/>
        </w:rPr>
        <w:t xml:space="preserve"> measures</w:t>
      </w:r>
      <w:r w:rsidRPr="00EA7420">
        <w:rPr>
          <w:rFonts w:eastAsia="Aptos"/>
          <w:b/>
          <w:i/>
          <w:kern w:val="2"/>
          <w:szCs w:val="24"/>
          <w:lang w:eastAsia="en-US"/>
          <w14:ligatures w14:val="standardContextual"/>
        </w:rPr>
        <w:t xml:space="preserve"> for the protection and conservation of</w:t>
      </w:r>
      <w:r w:rsidRPr="00EA7420">
        <w:rPr>
          <w:rFonts w:eastAsia="Aptos"/>
          <w:kern w:val="2"/>
          <w:szCs w:val="24"/>
          <w:lang w:eastAsia="en-US"/>
          <w14:ligatures w14:val="standardContextual"/>
        </w:rPr>
        <w:t xml:space="preserve"> sea turtles</w:t>
      </w:r>
      <w:r w:rsidRPr="00EA7420">
        <w:rPr>
          <w:rFonts w:eastAsia="Aptos"/>
          <w:b/>
          <w:i/>
          <w:kern w:val="2"/>
          <w:szCs w:val="24"/>
          <w:lang w:eastAsia="en-US"/>
          <w14:ligatures w14:val="standardContextual"/>
        </w:rPr>
        <w:t>. Since the Convention</w:t>
      </w:r>
      <w:r w:rsidRPr="00EA7420">
        <w:rPr>
          <w:rFonts w:eastAsia="Aptos"/>
          <w:kern w:val="2"/>
          <w:szCs w:val="24"/>
          <w:lang w:eastAsia="en-US"/>
          <w14:ligatures w14:val="standardContextual"/>
        </w:rPr>
        <w:t xml:space="preserve"> is open for accession to States on the American continents and in the Caribbean </w:t>
      </w:r>
      <w:r w:rsidRPr="00EA7420">
        <w:rPr>
          <w:rFonts w:eastAsia="Aptos" w:cs="Arial"/>
          <w:noProof/>
          <w:color w:val="000000"/>
          <w:kern w:val="2"/>
          <w:szCs w:val="24"/>
          <w:u w:color="000000"/>
          <w:lang w:eastAsia="en-US"/>
          <w14:ligatures w14:val="standardContextual"/>
        </w:rPr>
        <w:t>▌</w:t>
      </w:r>
      <w:r w:rsidRPr="00EA7420">
        <w:rPr>
          <w:rFonts w:eastAsia="Aptos"/>
          <w:kern w:val="2"/>
          <w:szCs w:val="24"/>
          <w:lang w:eastAsia="en-US"/>
          <w14:ligatures w14:val="standardContextual"/>
        </w:rPr>
        <w:t>, it is appropriate</w:t>
      </w:r>
      <w:r w:rsidRPr="00EA7420">
        <w:rPr>
          <w:rFonts w:eastAsia="Aptos" w:cs="Arial"/>
          <w:noProof/>
          <w:kern w:val="2"/>
          <w:szCs w:val="24"/>
          <w:lang w:eastAsia="en-US"/>
          <w14:ligatures w14:val="standardContextual"/>
        </w:rPr>
        <w:t xml:space="preserve"> for </w:t>
      </w:r>
      <w:r w:rsidRPr="00EA7420">
        <w:rPr>
          <w:rFonts w:eastAsia="Aptos"/>
          <w:kern w:val="2"/>
          <w:szCs w:val="24"/>
          <w:lang w:eastAsia="en-US"/>
          <w14:ligatures w14:val="standardContextual"/>
        </w:rPr>
        <w:t xml:space="preserve">the Union </w:t>
      </w:r>
      <w:r w:rsidRPr="00EA7420">
        <w:rPr>
          <w:rFonts w:eastAsia="Aptos" w:cs="Arial"/>
          <w:noProof/>
          <w:kern w:val="2"/>
          <w:szCs w:val="24"/>
          <w:lang w:eastAsia="en-US"/>
          <w14:ligatures w14:val="standardContextual"/>
        </w:rPr>
        <w:t xml:space="preserve">to empower </w:t>
      </w:r>
      <w:r w:rsidRPr="00EA7420">
        <w:rPr>
          <w:rFonts w:eastAsia="Aptos"/>
          <w:kern w:val="2"/>
          <w:szCs w:val="24"/>
          <w:lang w:eastAsia="en-US"/>
          <w14:ligatures w14:val="standardContextual"/>
        </w:rPr>
        <w:t xml:space="preserve">France to accede to </w:t>
      </w:r>
      <w:r w:rsidRPr="00EA7420">
        <w:rPr>
          <w:rFonts w:eastAsia="Aptos"/>
          <w:b/>
          <w:i/>
          <w:kern w:val="2"/>
          <w:szCs w:val="24"/>
          <w:lang w:eastAsia="en-US"/>
          <w14:ligatures w14:val="standardContextual"/>
        </w:rPr>
        <w:t>it</w:t>
      </w:r>
      <w:r w:rsidRPr="00EA7420">
        <w:rPr>
          <w:rFonts w:eastAsia="Aptos"/>
          <w:kern w:val="2"/>
          <w:szCs w:val="24"/>
          <w:lang w:eastAsia="en-US"/>
          <w14:ligatures w14:val="standardContextual"/>
        </w:rPr>
        <w:t xml:space="preserve">. </w:t>
      </w:r>
    </w:p>
    <w:bookmarkEnd w:id="4"/>
    <w:p w:rsidR="00BD1271" w:rsidRPr="00EA7420" w:rsidP="00BD1271" w14:paraId="28B9059D" w14:textId="77777777">
      <w:pPr>
        <w:widowControl/>
        <w:spacing w:after="160" w:line="278" w:lineRule="auto"/>
        <w:rPr>
          <w:rFonts w:eastAsia="Aptos"/>
          <w:b/>
          <w:i/>
          <w:kern w:val="2"/>
          <w:szCs w:val="24"/>
          <w:lang w:eastAsia="en-US"/>
          <w14:ligatures w14:val="standardContextual"/>
        </w:rPr>
      </w:pPr>
      <w:r w:rsidRPr="00EA7420">
        <w:rPr>
          <w:rFonts w:eastAsia="Aptos"/>
          <w:b/>
          <w:i/>
          <w:kern w:val="2"/>
          <w:szCs w:val="24"/>
          <w:lang w:eastAsia="en-US"/>
          <w14:ligatures w14:val="standardContextual"/>
        </w:rPr>
        <w:br w:type="page"/>
      </w:r>
    </w:p>
    <w:p w:rsidR="00BD1271" w:rsidRPr="00EA7420" w:rsidP="00BD1271" w14:paraId="5D19261C" w14:textId="2773EDCC">
      <w:pPr>
        <w:widowControl/>
        <w:spacing w:before="120" w:after="120" w:line="360" w:lineRule="auto"/>
        <w:ind w:left="851" w:hanging="851"/>
        <w:rPr>
          <w:rFonts w:eastAsia="Aptos"/>
          <w:kern w:val="2"/>
          <w:szCs w:val="24"/>
          <w:lang w:eastAsia="en-US"/>
          <w14:ligatures w14:val="standardContextual"/>
        </w:rPr>
      </w:pPr>
      <w:r w:rsidRPr="00EA7420">
        <w:rPr>
          <w:rFonts w:eastAsia="Aptos"/>
          <w:b/>
          <w:i/>
          <w:kern w:val="2"/>
          <w:szCs w:val="24"/>
          <w:lang w:eastAsia="en-US"/>
          <w14:ligatures w14:val="standardContextual"/>
        </w:rPr>
        <w:t>(4)</w:t>
      </w:r>
      <w:r w:rsidRPr="00EA7420">
        <w:rPr>
          <w:rFonts w:eastAsia="Aptos"/>
          <w:kern w:val="2"/>
          <w:szCs w:val="24"/>
          <w:lang w:eastAsia="en-US"/>
          <w14:ligatures w14:val="standardContextual"/>
        </w:rPr>
        <w:tab/>
      </w:r>
      <w:r w:rsidRPr="00EA7420">
        <w:rPr>
          <w:rFonts w:eastAsia="Aptos"/>
          <w:b/>
          <w:i/>
          <w:kern w:val="2"/>
          <w:szCs w:val="24"/>
          <w:lang w:eastAsia="en-US"/>
          <w14:ligatures w14:val="standardContextual"/>
        </w:rPr>
        <w:t>French overseas countries and territories listed in Annex II to the TFEU, and their waters, are outside the territorial scope of the Treaties as regards, inter alia, the matters covered by the Convention for which the Union has exclusive competence. Therefore, this Decision is without prejudice to any rights or obligations of France that arise from the accession to the Convention in respect of those countries and territories, and their waters.</w:t>
      </w:r>
    </w:p>
    <w:p w:rsidR="00BD1271" w:rsidRPr="00EA7420" w:rsidP="00BD1271" w14:paraId="28D7E45A" w14:textId="77777777">
      <w:pPr>
        <w:widowControl/>
        <w:spacing w:before="120" w:after="120" w:line="360" w:lineRule="auto"/>
        <w:ind w:left="851" w:hanging="851"/>
        <w:rPr>
          <w:rFonts w:eastAsia="Aptos"/>
          <w:kern w:val="2"/>
          <w:szCs w:val="24"/>
          <w:lang w:eastAsia="en-US"/>
          <w14:ligatures w14:val="standardContextual"/>
        </w:rPr>
      </w:pPr>
      <w:r w:rsidRPr="00EA7420">
        <w:rPr>
          <w:rFonts w:eastAsia="Aptos"/>
          <w:b/>
          <w:i/>
          <w:kern w:val="2"/>
          <w:szCs w:val="24"/>
          <w:lang w:eastAsia="en-US"/>
          <w14:ligatures w14:val="standardContextual"/>
        </w:rPr>
        <w:t>(5)</w:t>
      </w:r>
      <w:r w:rsidRPr="00EA7420">
        <w:rPr>
          <w:rFonts w:eastAsia="Aptos"/>
          <w:kern w:val="2"/>
          <w:szCs w:val="24"/>
          <w:lang w:eastAsia="en-US"/>
          <w14:ligatures w14:val="standardContextual"/>
        </w:rPr>
        <w:tab/>
      </w:r>
      <w:r w:rsidRPr="00EA7420">
        <w:rPr>
          <w:rFonts w:eastAsia="Aptos"/>
          <w:b/>
          <w:i/>
          <w:kern w:val="2"/>
          <w:szCs w:val="24"/>
          <w:lang w:eastAsia="en-US"/>
          <w14:ligatures w14:val="standardContextual"/>
        </w:rPr>
        <w:t>Certain French outermost regions that are situated within the area of application of the Convention, such as French Guiana, are exposed to illegal fishing activities which result in the incidental capture of large numbers of sea turtles. Cooperation with neighbouring countries is required in order to safeguard these protected species and to ensure the integrity of their habitats. Such cooperation would be facilitated by joining the Convention.</w:t>
      </w:r>
    </w:p>
    <w:p w:rsidR="00BD1271" w:rsidRPr="00EA7420" w:rsidP="00BD1271" w14:paraId="7D6024E9" w14:textId="5F4EE85F">
      <w:pPr>
        <w:widowControl/>
        <w:spacing w:before="120" w:after="120" w:line="360" w:lineRule="auto"/>
        <w:ind w:left="851" w:hanging="851"/>
        <w:rPr>
          <w:rFonts w:eastAsia="Aptos"/>
          <w:kern w:val="2"/>
          <w:szCs w:val="24"/>
          <w:lang w:eastAsia="en-US"/>
          <w14:ligatures w14:val="standardContextual"/>
        </w:rPr>
      </w:pPr>
      <w:r w:rsidRPr="00EA7420">
        <w:rPr>
          <w:rFonts w:eastAsia="Aptos"/>
          <w:kern w:val="2"/>
          <w:szCs w:val="24"/>
          <w:lang w:eastAsia="en-US"/>
          <w14:ligatures w14:val="standardContextual"/>
        </w:rPr>
        <w:t>(6)</w:t>
      </w:r>
      <w:r w:rsidRPr="00EA7420">
        <w:rPr>
          <w:rFonts w:eastAsia="Aptos"/>
          <w:kern w:val="2"/>
          <w:szCs w:val="24"/>
          <w:lang w:eastAsia="en-US"/>
          <w14:ligatures w14:val="standardContextual"/>
        </w:rPr>
        <w:tab/>
        <w:t xml:space="preserve">France should </w:t>
      </w:r>
      <w:r w:rsidRPr="00EA7420">
        <w:rPr>
          <w:rFonts w:eastAsia="Aptos"/>
          <w:b/>
          <w:i/>
          <w:kern w:val="2"/>
          <w:szCs w:val="24"/>
          <w:lang w:eastAsia="en-US"/>
          <w14:ligatures w14:val="standardContextual"/>
        </w:rPr>
        <w:t>inform</w:t>
      </w:r>
      <w:r w:rsidRPr="00EA7420">
        <w:rPr>
          <w:rFonts w:eastAsia="Aptos"/>
          <w:kern w:val="2"/>
          <w:szCs w:val="24"/>
          <w:lang w:eastAsia="en-US"/>
          <w14:ligatures w14:val="standardContextual"/>
        </w:rPr>
        <w:t xml:space="preserve"> the European Parliament, the Council and the Commission of </w:t>
      </w:r>
      <w:r w:rsidRPr="00EA7420">
        <w:rPr>
          <w:rFonts w:eastAsia="Aptos" w:cs="Arial"/>
          <w:noProof/>
          <w:kern w:val="2"/>
          <w:szCs w:val="24"/>
          <w:lang w:eastAsia="en-US"/>
          <w14:ligatures w14:val="standardContextual"/>
        </w:rPr>
        <w:t xml:space="preserve">its accession </w:t>
      </w:r>
      <w:r w:rsidRPr="00EA7420">
        <w:rPr>
          <w:rFonts w:eastAsia="Aptos"/>
          <w:kern w:val="2"/>
          <w:szCs w:val="24"/>
          <w:lang w:eastAsia="en-US"/>
          <w14:ligatures w14:val="standardContextual"/>
        </w:rPr>
        <w:t xml:space="preserve">to the Convention. France should </w:t>
      </w:r>
      <w:r w:rsidRPr="00EA7420">
        <w:rPr>
          <w:rFonts w:eastAsia="Aptos"/>
          <w:b/>
          <w:i/>
          <w:kern w:val="2"/>
          <w:szCs w:val="24"/>
          <w:lang w:eastAsia="en-US"/>
          <w14:ligatures w14:val="standardContextual"/>
        </w:rPr>
        <w:t>consult</w:t>
      </w:r>
      <w:r w:rsidRPr="00EA7420">
        <w:rPr>
          <w:rFonts w:eastAsia="Aptos"/>
          <w:kern w:val="2"/>
          <w:szCs w:val="24"/>
          <w:lang w:eastAsia="en-US"/>
          <w14:ligatures w14:val="standardContextual"/>
        </w:rPr>
        <w:t xml:space="preserve"> the Commission</w:t>
      </w:r>
      <w:r w:rsidRPr="00EA7420">
        <w:rPr>
          <w:rFonts w:eastAsia="Aptos"/>
          <w:b/>
          <w:i/>
          <w:kern w:val="2"/>
          <w:szCs w:val="24"/>
          <w:lang w:eastAsia="en-US"/>
          <w14:ligatures w14:val="standardContextual"/>
        </w:rPr>
        <w:t xml:space="preserve"> and relevant stakeholders, in particular local stakeholders,</w:t>
      </w:r>
      <w:r w:rsidRPr="00EA7420">
        <w:rPr>
          <w:rFonts w:eastAsia="Aptos"/>
          <w:kern w:val="2"/>
          <w:szCs w:val="24"/>
          <w:lang w:eastAsia="en-US"/>
          <w14:ligatures w14:val="standardContextual"/>
        </w:rPr>
        <w:t xml:space="preserve"> on positions related to decisions, measures and recommendations taken under the Convention and regularly </w:t>
      </w:r>
      <w:r w:rsidRPr="00EA7420">
        <w:rPr>
          <w:rFonts w:eastAsia="Aptos" w:cs="Arial"/>
          <w:noProof/>
          <w:kern w:val="2"/>
          <w:szCs w:val="24"/>
          <w:lang w:eastAsia="en-US"/>
          <w14:ligatures w14:val="standardContextual"/>
        </w:rPr>
        <w:t xml:space="preserve">inform the Commission </w:t>
      </w:r>
      <w:r w:rsidRPr="00EA7420">
        <w:rPr>
          <w:rFonts w:eastAsia="Aptos"/>
          <w:kern w:val="2"/>
          <w:szCs w:val="24"/>
          <w:lang w:eastAsia="en-US"/>
          <w14:ligatures w14:val="standardContextual"/>
        </w:rPr>
        <w:t xml:space="preserve">of the adoption of </w:t>
      </w:r>
      <w:r w:rsidRPr="00EA7420">
        <w:rPr>
          <w:rFonts w:eastAsia="Aptos"/>
          <w:b/>
          <w:i/>
          <w:kern w:val="2"/>
          <w:szCs w:val="24"/>
          <w:lang w:eastAsia="en-US"/>
          <w14:ligatures w14:val="standardContextual"/>
        </w:rPr>
        <w:t>such</w:t>
      </w:r>
      <w:r w:rsidRPr="00EA7420">
        <w:rPr>
          <w:rFonts w:eastAsia="Aptos"/>
          <w:kern w:val="2"/>
          <w:szCs w:val="24"/>
          <w:lang w:eastAsia="en-US"/>
          <w14:ligatures w14:val="standardContextual"/>
        </w:rPr>
        <w:t xml:space="preserve"> decisions</w:t>
      </w:r>
      <w:r w:rsidRPr="00EA7420">
        <w:rPr>
          <w:rFonts w:eastAsia="Aptos"/>
          <w:b/>
          <w:i/>
          <w:kern w:val="2"/>
          <w:szCs w:val="24"/>
          <w:lang w:eastAsia="en-US"/>
          <w14:ligatures w14:val="standardContextual"/>
        </w:rPr>
        <w:t xml:space="preserve">, </w:t>
      </w:r>
      <w:r w:rsidRPr="00EA7420">
        <w:rPr>
          <w:rFonts w:eastAsia="Aptos"/>
          <w:kern w:val="2"/>
          <w:szCs w:val="24"/>
          <w:lang w:eastAsia="en-US"/>
          <w14:ligatures w14:val="standardContextual"/>
        </w:rPr>
        <w:t>measures and recommendations.</w:t>
      </w:r>
      <w:r w:rsidRPr="00EA7420">
        <w:rPr>
          <w:rFonts w:eastAsia="Aptos"/>
          <w:b/>
          <w:i/>
          <w:kern w:val="2"/>
          <w:szCs w:val="24"/>
          <w:lang w:eastAsia="en-US"/>
          <w14:ligatures w14:val="standardContextual"/>
        </w:rPr>
        <w:t xml:space="preserve"> The European Parliament can invite the Commission to keep it informed of the decisions, measures and recommendations taken under the Convention. France should also make its annual report referred to in Article XI of the Convention available to the European Parliament, the Council and the Commission,</w:t>
      </w:r>
    </w:p>
    <w:p w:rsidR="00BD1271" w:rsidRPr="00EA7420" w:rsidP="00BD1271" w14:paraId="6C750523" w14:textId="77777777">
      <w:pPr>
        <w:widowControl/>
        <w:spacing w:before="120"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t>HAVE ADOPTED THIS DECISION:</w:t>
      </w:r>
    </w:p>
    <w:p w:rsidR="00BD1271" w:rsidRPr="00EA7420" w:rsidP="00BD1271" w14:paraId="605311B7" w14:textId="77777777">
      <w:pPr>
        <w:widowControl/>
        <w:spacing w:after="160" w:line="278" w:lineRule="auto"/>
        <w:rPr>
          <w:rFonts w:eastAsia="Aptos"/>
          <w:i/>
          <w:kern w:val="2"/>
          <w:szCs w:val="24"/>
          <w:lang w:eastAsia="en-US"/>
          <w14:ligatures w14:val="standardContextual"/>
        </w:rPr>
      </w:pPr>
      <w:r w:rsidRPr="00EA7420">
        <w:rPr>
          <w:rFonts w:eastAsia="Aptos"/>
          <w:i/>
          <w:kern w:val="2"/>
          <w:szCs w:val="24"/>
          <w:lang w:eastAsia="en-US"/>
          <w14:ligatures w14:val="standardContextual"/>
        </w:rPr>
        <w:br w:type="page"/>
      </w:r>
    </w:p>
    <w:p w:rsidR="00BD1271" w:rsidRPr="00EA7420" w:rsidP="00BD1271" w14:paraId="6DDB7903" w14:textId="77777777">
      <w:pPr>
        <w:widowControl/>
        <w:spacing w:before="240" w:after="120" w:line="360" w:lineRule="auto"/>
        <w:jc w:val="center"/>
        <w:rPr>
          <w:rFonts w:eastAsia="Aptos"/>
          <w:i/>
          <w:kern w:val="2"/>
          <w:szCs w:val="24"/>
          <w:lang w:eastAsia="en-US"/>
          <w14:ligatures w14:val="standardContextual"/>
        </w:rPr>
      </w:pPr>
      <w:r w:rsidRPr="00EA7420">
        <w:rPr>
          <w:rFonts w:eastAsia="Aptos"/>
          <w:i/>
          <w:kern w:val="2"/>
          <w:szCs w:val="24"/>
          <w:lang w:eastAsia="en-US"/>
          <w14:ligatures w14:val="standardContextual"/>
        </w:rPr>
        <w:t>Article 1</w:t>
      </w:r>
    </w:p>
    <w:p w:rsidR="00BD1271" w:rsidRPr="00EA7420" w:rsidP="00BD1271" w14:paraId="17BE58A3" w14:textId="77777777">
      <w:pPr>
        <w:widowControl/>
        <w:spacing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t>France is hereby empowered to accede to the Inter-American Convention for the Protection and Conservation of Sea Turtles</w:t>
      </w:r>
      <w:r w:rsidRPr="00EA7420">
        <w:rPr>
          <w:rFonts w:eastAsia="Aptos" w:cs="Arial"/>
          <w:noProof/>
          <w:kern w:val="2"/>
          <w:szCs w:val="24"/>
          <w:lang w:eastAsia="en-US"/>
          <w14:ligatures w14:val="standardContextual"/>
        </w:rPr>
        <w:t>, done at Caracas on 1 December 1996 (the ‘Convention’)</w:t>
      </w:r>
      <w:r w:rsidRPr="00EA7420">
        <w:rPr>
          <w:rFonts w:eastAsia="Aptos"/>
          <w:kern w:val="2"/>
          <w:szCs w:val="24"/>
          <w:lang w:eastAsia="en-US"/>
          <w14:ligatures w14:val="standardContextual"/>
        </w:rPr>
        <w:t>.</w:t>
      </w:r>
    </w:p>
    <w:p w:rsidR="00BD1271" w:rsidRPr="00EA7420" w:rsidP="00BD1271" w14:paraId="7C5B1218" w14:textId="77777777">
      <w:pPr>
        <w:widowControl/>
        <w:spacing w:before="360" w:after="120" w:line="360" w:lineRule="auto"/>
        <w:jc w:val="center"/>
        <w:rPr>
          <w:rFonts w:eastAsia="Aptos"/>
          <w:i/>
          <w:kern w:val="2"/>
          <w:szCs w:val="24"/>
          <w:lang w:eastAsia="en-US"/>
          <w14:ligatures w14:val="standardContextual"/>
        </w:rPr>
      </w:pPr>
      <w:r w:rsidRPr="00EA7420">
        <w:rPr>
          <w:rFonts w:eastAsia="Aptos"/>
          <w:i/>
          <w:kern w:val="2"/>
          <w:szCs w:val="24"/>
          <w:lang w:eastAsia="en-US"/>
          <w14:ligatures w14:val="standardContextual"/>
        </w:rPr>
        <w:t>Article 2</w:t>
      </w:r>
    </w:p>
    <w:p w:rsidR="00BD1271" w:rsidRPr="00EA7420" w:rsidP="00BD1271" w14:paraId="4CD21B5A" w14:textId="77777777">
      <w:pPr>
        <w:widowControl/>
        <w:spacing w:before="120"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t xml:space="preserve">France </w:t>
      </w:r>
      <w:r w:rsidRPr="00EA7420">
        <w:rPr>
          <w:rFonts w:eastAsia="Aptos"/>
          <w:b/>
          <w:i/>
          <w:kern w:val="2"/>
          <w:szCs w:val="24"/>
          <w:lang w:eastAsia="en-US"/>
          <w14:ligatures w14:val="standardContextual"/>
        </w:rPr>
        <w:t>shall</w:t>
      </w:r>
      <w:r w:rsidRPr="00EA7420">
        <w:rPr>
          <w:rFonts w:eastAsia="Aptos"/>
          <w:kern w:val="2"/>
          <w:szCs w:val="24"/>
          <w:lang w:eastAsia="en-US"/>
          <w14:ligatures w14:val="standardContextual"/>
        </w:rPr>
        <w:t xml:space="preserve"> inform the European Parliament</w:t>
      </w:r>
      <w:r w:rsidRPr="00EA7420">
        <w:rPr>
          <w:rFonts w:eastAsia="Aptos"/>
          <w:b/>
          <w:i/>
          <w:kern w:val="2"/>
          <w:szCs w:val="24"/>
          <w:lang w:eastAsia="en-US"/>
          <w14:ligatures w14:val="standardContextual"/>
        </w:rPr>
        <w:t>,</w:t>
      </w:r>
      <w:r w:rsidRPr="00EA7420">
        <w:rPr>
          <w:rFonts w:eastAsia="Aptos"/>
          <w:kern w:val="2"/>
          <w:szCs w:val="24"/>
          <w:lang w:eastAsia="en-US"/>
          <w14:ligatures w14:val="standardContextual"/>
        </w:rPr>
        <w:t xml:space="preserve"> the Council</w:t>
      </w:r>
      <w:r w:rsidRPr="00EA7420">
        <w:rPr>
          <w:rFonts w:eastAsia="Aptos"/>
          <w:b/>
          <w:i/>
          <w:kern w:val="2"/>
          <w:szCs w:val="24"/>
          <w:lang w:eastAsia="en-US"/>
          <w14:ligatures w14:val="standardContextual"/>
        </w:rPr>
        <w:t xml:space="preserve"> and the Commission</w:t>
      </w:r>
      <w:r w:rsidRPr="00EA7420">
        <w:rPr>
          <w:rFonts w:eastAsia="Aptos"/>
          <w:kern w:val="2"/>
          <w:szCs w:val="24"/>
          <w:lang w:eastAsia="en-US"/>
          <w14:ligatures w14:val="standardContextual"/>
        </w:rPr>
        <w:t xml:space="preserve"> of its accession to the Convention. </w:t>
      </w:r>
    </w:p>
    <w:p w:rsidR="00BD1271" w:rsidRPr="00EA7420" w:rsidP="00BD1271" w14:paraId="3370369E" w14:textId="77777777">
      <w:pPr>
        <w:widowControl/>
        <w:spacing w:before="120"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t>France shall consult the Commission</w:t>
      </w:r>
      <w:r w:rsidRPr="00EA7420">
        <w:rPr>
          <w:rFonts w:eastAsia="Aptos"/>
          <w:b/>
          <w:i/>
          <w:kern w:val="2"/>
          <w:szCs w:val="24"/>
          <w:lang w:eastAsia="en-US"/>
          <w14:ligatures w14:val="standardContextual"/>
        </w:rPr>
        <w:t xml:space="preserve"> and relevant stakeholders, in particular local stakeholders,</w:t>
      </w:r>
      <w:r w:rsidRPr="00EA7420">
        <w:rPr>
          <w:rFonts w:eastAsia="Aptos"/>
          <w:kern w:val="2"/>
          <w:szCs w:val="24"/>
          <w:lang w:eastAsia="en-US"/>
          <w14:ligatures w14:val="standardContextual"/>
        </w:rPr>
        <w:t xml:space="preserve"> on positions related to decisions, measures and recommendations taken under the Convention and </w:t>
      </w:r>
      <w:r w:rsidRPr="00EA7420">
        <w:rPr>
          <w:rFonts w:eastAsia="Aptos" w:cs="Arial"/>
          <w:noProof/>
          <w:kern w:val="2"/>
          <w:szCs w:val="24"/>
          <w:lang w:eastAsia="en-US"/>
          <w14:ligatures w14:val="standardContextual"/>
        </w:rPr>
        <w:t xml:space="preserve">regularly inform </w:t>
      </w:r>
      <w:r w:rsidRPr="00EA7420">
        <w:rPr>
          <w:rFonts w:eastAsia="Aptos"/>
          <w:kern w:val="2"/>
          <w:szCs w:val="24"/>
          <w:lang w:eastAsia="en-US"/>
          <w14:ligatures w14:val="standardContextual"/>
        </w:rPr>
        <w:t>the Commission</w:t>
      </w:r>
      <w:r w:rsidRPr="00EA7420">
        <w:rPr>
          <w:rFonts w:eastAsia="Aptos" w:cs="Arial"/>
          <w:noProof/>
          <w:kern w:val="2"/>
          <w:szCs w:val="24"/>
          <w:lang w:eastAsia="en-US"/>
          <w14:ligatures w14:val="standardContextual"/>
        </w:rPr>
        <w:t xml:space="preserve"> </w:t>
      </w:r>
      <w:r w:rsidRPr="00EA7420">
        <w:rPr>
          <w:rFonts w:eastAsia="Aptos"/>
          <w:kern w:val="2"/>
          <w:szCs w:val="24"/>
          <w:lang w:eastAsia="en-US"/>
          <w14:ligatures w14:val="standardContextual"/>
        </w:rPr>
        <w:t xml:space="preserve">of the adoption of </w:t>
      </w:r>
      <w:r w:rsidRPr="00EA7420">
        <w:rPr>
          <w:rFonts w:eastAsia="Aptos"/>
          <w:b/>
          <w:i/>
          <w:kern w:val="2"/>
          <w:szCs w:val="24"/>
          <w:lang w:eastAsia="en-US"/>
          <w14:ligatures w14:val="standardContextual"/>
        </w:rPr>
        <w:t xml:space="preserve">such </w:t>
      </w:r>
      <w:r w:rsidRPr="00EA7420">
        <w:rPr>
          <w:rFonts w:eastAsia="Aptos"/>
          <w:kern w:val="2"/>
          <w:szCs w:val="24"/>
          <w:lang w:eastAsia="en-US"/>
          <w14:ligatures w14:val="standardContextual"/>
        </w:rPr>
        <w:t>decisions, measures and recommendations.</w:t>
      </w:r>
    </w:p>
    <w:p w:rsidR="00BD1271" w:rsidRPr="00EA7420" w:rsidP="00BD1271" w14:paraId="72EC2CF4" w14:textId="77777777">
      <w:pPr>
        <w:widowControl/>
        <w:spacing w:before="120" w:after="120" w:line="360" w:lineRule="auto"/>
        <w:rPr>
          <w:rFonts w:eastAsia="Aptos"/>
          <w:kern w:val="2"/>
          <w:szCs w:val="24"/>
          <w:lang w:eastAsia="en-US"/>
          <w14:ligatures w14:val="standardContextual"/>
        </w:rPr>
      </w:pPr>
      <w:r w:rsidRPr="00EA7420">
        <w:rPr>
          <w:rFonts w:eastAsia="Aptos"/>
          <w:b/>
          <w:i/>
          <w:kern w:val="2"/>
          <w:szCs w:val="24"/>
          <w:lang w:eastAsia="en-US"/>
          <w14:ligatures w14:val="standardContextual"/>
        </w:rPr>
        <w:t>France shall make its annual report referred to in Article XI of the Convention available to the European Parliament, the Council and the Commission.</w:t>
      </w:r>
    </w:p>
    <w:p w:rsidR="00BD1271" w:rsidRPr="00EA7420" w:rsidP="00BD1271" w14:paraId="69857982" w14:textId="77777777">
      <w:pPr>
        <w:widowControl/>
        <w:spacing w:before="360" w:after="120" w:line="360" w:lineRule="auto"/>
        <w:jc w:val="center"/>
        <w:rPr>
          <w:rFonts w:eastAsia="Aptos"/>
          <w:i/>
          <w:kern w:val="2"/>
          <w:szCs w:val="24"/>
          <w:lang w:eastAsia="en-US"/>
          <w14:ligatures w14:val="standardContextual"/>
        </w:rPr>
      </w:pPr>
      <w:r w:rsidRPr="00EA7420">
        <w:rPr>
          <w:rFonts w:eastAsia="Aptos"/>
          <w:i/>
          <w:kern w:val="2"/>
          <w:szCs w:val="24"/>
          <w:lang w:eastAsia="en-US"/>
          <w14:ligatures w14:val="standardContextual"/>
        </w:rPr>
        <w:t>Article 3</w:t>
      </w:r>
    </w:p>
    <w:p w:rsidR="00BD1271" w:rsidRPr="00EA7420" w:rsidP="00BD1271" w14:paraId="40936D95" w14:textId="77777777">
      <w:pPr>
        <w:widowControl/>
        <w:spacing w:before="120"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t>This Decision is addressed to France.</w:t>
      </w:r>
    </w:p>
    <w:p w:rsidR="00BD1271" w:rsidRPr="00EA7420" w:rsidP="00BD1271" w14:paraId="72DFC28B" w14:textId="77777777">
      <w:pPr>
        <w:widowControl/>
        <w:spacing w:before="120" w:after="120" w:line="360" w:lineRule="auto"/>
        <w:rPr>
          <w:rFonts w:eastAsia="Aptos"/>
          <w:kern w:val="2"/>
          <w:szCs w:val="24"/>
          <w:lang w:eastAsia="en-US"/>
          <w14:ligatures w14:val="standardContextual"/>
        </w:rPr>
      </w:pPr>
      <w:r w:rsidRPr="00EA7420">
        <w:rPr>
          <w:rFonts w:eastAsia="Aptos"/>
          <w:kern w:val="2"/>
          <w:szCs w:val="24"/>
          <w:lang w:eastAsia="en-US"/>
          <w14:ligatures w14:val="standardContextual"/>
        </w:rPr>
        <w:t>Done at…,</w:t>
      </w:r>
    </w:p>
    <w:p w:rsidR="00BD1271" w:rsidRPr="00EA7420" w:rsidP="00BD1271" w14:paraId="0D375166" w14:textId="77777777">
      <w:pPr>
        <w:widowControl/>
        <w:tabs>
          <w:tab w:val="left" w:pos="5670"/>
        </w:tabs>
        <w:spacing w:before="480" w:after="120" w:line="360" w:lineRule="auto"/>
        <w:rPr>
          <w:rFonts w:eastAsia="Aptos"/>
          <w:i/>
          <w:kern w:val="2"/>
          <w:szCs w:val="24"/>
          <w:lang w:eastAsia="en-US"/>
          <w14:ligatures w14:val="standardContextual"/>
        </w:rPr>
      </w:pPr>
      <w:r w:rsidRPr="00EA7420">
        <w:rPr>
          <w:rFonts w:eastAsia="Aptos"/>
          <w:i/>
          <w:kern w:val="2"/>
          <w:szCs w:val="24"/>
          <w:lang w:eastAsia="en-US"/>
          <w14:ligatures w14:val="standardContextual"/>
        </w:rPr>
        <w:t>For the European Parliament</w:t>
      </w:r>
      <w:r w:rsidRPr="00EA7420">
        <w:rPr>
          <w:rFonts w:eastAsia="Aptos"/>
          <w:i/>
          <w:kern w:val="2"/>
          <w:szCs w:val="24"/>
          <w:lang w:eastAsia="en-US"/>
          <w14:ligatures w14:val="standardContextual"/>
        </w:rPr>
        <w:tab/>
      </w:r>
      <w:r w:rsidRPr="00EA7420">
        <w:rPr>
          <w:rFonts w:eastAsia="Aptos"/>
          <w:i/>
          <w:kern w:val="2"/>
          <w:szCs w:val="24"/>
          <w:lang w:eastAsia="en-US"/>
          <w14:ligatures w14:val="standardContextual"/>
        </w:rPr>
        <w:t>For</w:t>
      </w:r>
      <w:r w:rsidRPr="00EA7420">
        <w:rPr>
          <w:rFonts w:eastAsia="Aptos"/>
          <w:i/>
          <w:kern w:val="2"/>
          <w:szCs w:val="24"/>
          <w:lang w:eastAsia="en-US"/>
          <w14:ligatures w14:val="standardContextual"/>
        </w:rPr>
        <w:t xml:space="preserve"> the Council</w:t>
      </w:r>
    </w:p>
    <w:p w:rsidR="00BD1271" w:rsidRPr="00EA7420" w:rsidP="00BD1271" w14:paraId="1E3A761F" w14:textId="77777777">
      <w:pPr>
        <w:widowControl/>
        <w:tabs>
          <w:tab w:val="left" w:pos="5670"/>
        </w:tabs>
        <w:spacing w:after="120" w:line="360" w:lineRule="auto"/>
        <w:rPr>
          <w:rFonts w:eastAsia="Aptos"/>
          <w:i/>
          <w:kern w:val="2"/>
          <w:szCs w:val="24"/>
          <w:lang w:eastAsia="en-US"/>
          <w14:ligatures w14:val="standardContextual"/>
        </w:rPr>
      </w:pPr>
      <w:r w:rsidRPr="00EA7420">
        <w:rPr>
          <w:rFonts w:eastAsia="Aptos"/>
          <w:i/>
          <w:kern w:val="2"/>
          <w:szCs w:val="24"/>
          <w:lang w:eastAsia="en-US"/>
          <w14:ligatures w14:val="standardContextual"/>
        </w:rPr>
        <w:t>The President</w:t>
      </w:r>
      <w:r w:rsidRPr="00EA7420">
        <w:rPr>
          <w:rFonts w:eastAsia="Aptos"/>
          <w:i/>
          <w:kern w:val="2"/>
          <w:szCs w:val="24"/>
          <w:lang w:eastAsia="en-US"/>
          <w14:ligatures w14:val="standardContextual"/>
        </w:rPr>
        <w:tab/>
      </w:r>
      <w:r w:rsidRPr="00EA7420">
        <w:rPr>
          <w:rFonts w:eastAsia="Aptos"/>
          <w:i/>
          <w:kern w:val="2"/>
          <w:szCs w:val="24"/>
          <w:lang w:eastAsia="en-US"/>
          <w14:ligatures w14:val="standardContextual"/>
        </w:rPr>
        <w:t>The</w:t>
      </w:r>
      <w:r w:rsidRPr="00EA7420">
        <w:rPr>
          <w:rFonts w:eastAsia="Aptos"/>
          <w:i/>
          <w:kern w:val="2"/>
          <w:szCs w:val="24"/>
          <w:lang w:eastAsia="en-US"/>
          <w14:ligatures w14:val="standardContextual"/>
        </w:rPr>
        <w:t xml:space="preserve"> President</w:t>
      </w:r>
    </w:p>
    <w:p w:rsidR="00AE46A3" w:rsidRPr="00EA7420" w:rsidP="00AE46A3" w14:paraId="3CDB7149" w14:textId="63D0C833">
      <w:pPr>
        <w:pStyle w:val="AmOrLang"/>
      </w:pPr>
      <w:r w:rsidRPr="00EA7420">
        <w:t xml:space="preserve">Or. </w:t>
      </w:r>
      <w:r w:rsidRPr="00EA7420">
        <w:rPr>
          <w:rStyle w:val="HideTWBExt"/>
          <w:noProof w:val="0"/>
        </w:rPr>
        <w:t>&lt;Original&gt;</w:t>
      </w:r>
      <w:r w:rsidRPr="00EA7420" w:rsidR="00BD1271">
        <w:rPr>
          <w:rStyle w:val="HideTWBInt"/>
        </w:rPr>
        <w:t>{EN}</w:t>
      </w:r>
      <w:r w:rsidRPr="00EA7420" w:rsidR="00BD1271">
        <w:t>en</w:t>
      </w:r>
      <w:r w:rsidRPr="00EA7420">
        <w:rPr>
          <w:rStyle w:val="HideTWBExt"/>
          <w:noProof w:val="0"/>
        </w:rPr>
        <w:t>&lt;/Original&gt;</w:t>
      </w:r>
    </w:p>
    <w:p w:rsidR="0004541F" w:rsidRPr="00EA7420" w14:paraId="4995D94E" w14:textId="77777777">
      <w:r w:rsidRPr="00EA7420">
        <w:rPr>
          <w:rStyle w:val="HideTWBExt"/>
          <w:noProof w:val="0"/>
        </w:rPr>
        <w:t>&lt;/Amend&gt;</w:t>
      </w:r>
    </w:p>
    <w:sectPr w:rsidSect="00563A8E">
      <w:footerReference w:type="default" r:id="rId6"/>
      <w:footnotePr>
        <w:numRestart w:val="eachSect"/>
      </w:footnotePr>
      <w:endnotePr>
        <w:numFmt w:val="decimal"/>
      </w:endnotePr>
      <w:type w:val="continuous"/>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7523" w:rsidRPr="00EA7420" w:rsidP="00667523" w14:paraId="3B6FDBF7" w14:textId="77777777">
    <w:pPr>
      <w:pStyle w:val="EPFooter"/>
    </w:pPr>
    <w:r w:rsidRPr="00EA7420">
      <w:rPr>
        <w:rStyle w:val="HideTWBExt"/>
      </w:rPr>
      <w:t>&lt;PathFdR&gt;</w:t>
    </w:r>
    <w:r w:rsidRPr="00EA7420">
      <w:t>AM\P10_</w:t>
    </w:r>
    <w:r w:rsidRPr="00EA7420">
      <w:t>AMA(</w:t>
    </w:r>
    <w:r w:rsidRPr="00EA7420">
      <w:t>2026)0095(006-</w:t>
    </w:r>
    <w:r w:rsidRPr="00EA7420">
      <w:t>006)_EN.docx</w:t>
    </w:r>
    <w:r w:rsidRPr="00EA7420">
      <w:rPr>
        <w:rStyle w:val="HideTWBExt"/>
      </w:rPr>
      <w:t>&lt;/PathFdR&gt;</w:t>
    </w:r>
    <w:r w:rsidRPr="00EA7420">
      <w:tab/>
    </w:r>
    <w:r w:rsidRPr="00EA7420">
      <w:fldChar w:fldCharType="begin"/>
    </w:r>
    <w:r w:rsidRPr="00EA7420">
      <w:instrText xml:space="preserve"> PAGE  \* MERGEFORMAT </w:instrText>
    </w:r>
    <w:r w:rsidRPr="00EA7420">
      <w:fldChar w:fldCharType="separate"/>
    </w:r>
    <w:r w:rsidRPr="00EA7420">
      <w:rPr>
        <w:noProof/>
      </w:rPr>
      <w:t>3</w:t>
    </w:r>
    <w:r w:rsidRPr="00EA7420">
      <w:fldChar w:fldCharType="end"/>
    </w:r>
    <w:r w:rsidRPr="00EA7420">
      <w:t>/</w:t>
    </w:r>
    <w:r>
      <w:fldChar w:fldCharType="begin"/>
    </w:r>
    <w:r>
      <w:instrText xml:space="preserve"> NUMPAGES  \* MERGEFORMAT </w:instrText>
    </w:r>
    <w:r>
      <w:fldChar w:fldCharType="separate"/>
    </w:r>
    <w:r w:rsidRPr="00EA7420">
      <w:rPr>
        <w:noProof/>
      </w:rPr>
      <w:t>5</w:t>
    </w:r>
    <w:r w:rsidRPr="00EA7420">
      <w:rPr>
        <w:noProof/>
      </w:rPr>
      <w:fldChar w:fldCharType="end"/>
    </w:r>
    <w:r w:rsidRPr="00EA7420">
      <w:tab/>
      <w:t>PE</w:t>
    </w:r>
    <w:r w:rsidRPr="00EA7420">
      <w:rPr>
        <w:rStyle w:val="HideTWBExt"/>
      </w:rPr>
      <w:t>&lt;NoPE&gt;</w:t>
    </w:r>
    <w:r w:rsidRPr="00EA7420">
      <w:t>788.281</w:t>
    </w:r>
    <w:r w:rsidRPr="00EA7420">
      <w:rPr>
        <w:rStyle w:val="HideTWBExt"/>
      </w:rPr>
      <w:t>&lt;/NoPE&gt;&lt;Version&gt;</w:t>
    </w:r>
    <w:r w:rsidRPr="00EA7420">
      <w:t>v01-00</w:t>
    </w:r>
    <w:r w:rsidRPr="00EA7420">
      <w:rPr>
        <w:rStyle w:val="HideTWBExt"/>
      </w:rPr>
      <w:t>&lt;/Version&gt;</w:t>
    </w:r>
  </w:p>
  <w:p w:rsidR="00B92ABC" w:rsidRPr="00EA7420" w:rsidP="00667523" w14:paraId="0D20CB03" w14:textId="298C2253">
    <w:pPr>
      <w:pStyle w:val="EPFooter2"/>
    </w:pPr>
    <w:r w:rsidRPr="00EA7420">
      <w:t>EN</w:t>
    </w:r>
    <w:r w:rsidRPr="00EA7420">
      <w:tab/>
    </w:r>
    <w:r w:rsidRPr="00EA7420">
      <w:rPr>
        <w:b w:val="0"/>
        <w:i/>
        <w:color w:val="C0C0C0"/>
        <w:sz w:val="22"/>
      </w:rPr>
      <w:t>United in diversity</w:t>
    </w:r>
    <w:r w:rsidRPr="00EA742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15C09" w:rsidRPr="00EA7420" w14:paraId="03F11A8A" w14:textId="77777777">
      <w:r w:rsidRPr="00EA7420">
        <w:separator/>
      </w:r>
    </w:p>
  </w:footnote>
  <w:footnote w:type="continuationSeparator" w:id="1">
    <w:p w:rsidR="00B15C09" w:rsidRPr="00EA7420" w14:paraId="696636A0" w14:textId="77777777">
      <w:r w:rsidRPr="00EA7420">
        <w:continuationSeparator/>
      </w:r>
    </w:p>
  </w:footnote>
  <w:footnote w:id="2">
    <w:p w:rsidR="00B92ABC" w:rsidRPr="00EA7420" w:rsidP="00BD1271" w14:paraId="189B66A3" w14:textId="3C02FE9F">
      <w:pPr>
        <w:pStyle w:val="FootnoteText"/>
        <w:ind w:left="720" w:hanging="720"/>
        <w:rPr>
          <w:sz w:val="24"/>
          <w:szCs w:val="24"/>
        </w:rPr>
      </w:pPr>
      <w:r w:rsidRPr="00EA7420">
        <w:rPr>
          <w:rStyle w:val="FootnoteReference"/>
          <w:sz w:val="24"/>
          <w:szCs w:val="24"/>
        </w:rPr>
        <w:t>*</w:t>
      </w:r>
      <w:r w:rsidRPr="00EA7420">
        <w:rPr>
          <w:sz w:val="24"/>
          <w:szCs w:val="24"/>
        </w:rPr>
        <w:t xml:space="preserve"> </w:t>
      </w:r>
      <w:r w:rsidRPr="00EA7420" w:rsidR="00BD1271">
        <w:rPr>
          <w:sz w:val="24"/>
          <w:szCs w:val="24"/>
        </w:rPr>
        <w:tab/>
      </w:r>
      <w:r w:rsidRPr="00EA7420" w:rsidR="00CD2543">
        <w:rPr>
          <w:sz w:val="24"/>
          <w:szCs w:val="24"/>
        </w:rPr>
        <w:t>Amendments: new or amended text is highlighted in bold italics; deletions are indicated by the symbol ▌.</w:t>
      </w:r>
    </w:p>
  </w:footnote>
  <w:footnote w:id="3">
    <w:p w:rsidR="00BD1271" w:rsidRPr="00EA7420" w:rsidP="00BD1271" w14:paraId="43D2425A" w14:textId="0B119161">
      <w:pPr>
        <w:pStyle w:val="FootnoteText"/>
        <w:ind w:left="720" w:hanging="720"/>
        <w:rPr>
          <w:sz w:val="24"/>
          <w:szCs w:val="24"/>
        </w:rPr>
      </w:pPr>
      <w:r w:rsidRPr="00EA7420">
        <w:rPr>
          <w:rStyle w:val="FootnoteReference"/>
          <w:sz w:val="24"/>
          <w:szCs w:val="24"/>
        </w:rPr>
        <w:footnoteRef/>
      </w:r>
      <w:r w:rsidRPr="00EA7420">
        <w:rPr>
          <w:sz w:val="24"/>
          <w:szCs w:val="24"/>
        </w:rPr>
        <w:t xml:space="preserve"> </w:t>
      </w:r>
      <w:r w:rsidRPr="00EA7420">
        <w:rPr>
          <w:sz w:val="24"/>
          <w:szCs w:val="24"/>
        </w:rPr>
        <w:tab/>
        <w:t xml:space="preserve">Opinion of 21 January 2026 (OJ C, C/2026/1967, 28.4.2026, ELI: </w:t>
      </w:r>
      <w:hyperlink r:id="rId1" w:history="1">
        <w:r w:rsidRPr="00EA7420">
          <w:rPr>
            <w:rStyle w:val="Hyperlink1"/>
            <w:sz w:val="24"/>
            <w:szCs w:val="24"/>
          </w:rPr>
          <w:t>http://data.europa.eu/eli/C/2026/1967/oj</w:t>
        </w:r>
      </w:hyperlink>
      <w:r w:rsidRPr="00EA7420">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543"/>
    <w:rsid w:val="0004541F"/>
    <w:rsid w:val="00064426"/>
    <w:rsid w:val="000C7D90"/>
    <w:rsid w:val="000F508C"/>
    <w:rsid w:val="00107B4F"/>
    <w:rsid w:val="00120E12"/>
    <w:rsid w:val="00127E51"/>
    <w:rsid w:val="001A106A"/>
    <w:rsid w:val="001A2045"/>
    <w:rsid w:val="001A71DA"/>
    <w:rsid w:val="001A7FD0"/>
    <w:rsid w:val="001D0D96"/>
    <w:rsid w:val="001F11C0"/>
    <w:rsid w:val="00256F8E"/>
    <w:rsid w:val="00294C91"/>
    <w:rsid w:val="002B1367"/>
    <w:rsid w:val="002B3AF1"/>
    <w:rsid w:val="003A097A"/>
    <w:rsid w:val="003A4945"/>
    <w:rsid w:val="003B249A"/>
    <w:rsid w:val="003B7E48"/>
    <w:rsid w:val="003E71B1"/>
    <w:rsid w:val="0042245F"/>
    <w:rsid w:val="004731D6"/>
    <w:rsid w:val="00481E81"/>
    <w:rsid w:val="00484716"/>
    <w:rsid w:val="004959CE"/>
    <w:rsid w:val="004D5D8B"/>
    <w:rsid w:val="00510280"/>
    <w:rsid w:val="00525DC0"/>
    <w:rsid w:val="00563A8E"/>
    <w:rsid w:val="005968DA"/>
    <w:rsid w:val="005E6C7D"/>
    <w:rsid w:val="006145A2"/>
    <w:rsid w:val="00623133"/>
    <w:rsid w:val="00625EDF"/>
    <w:rsid w:val="006339AB"/>
    <w:rsid w:val="0063427F"/>
    <w:rsid w:val="00660F58"/>
    <w:rsid w:val="00667523"/>
    <w:rsid w:val="006A5C2D"/>
    <w:rsid w:val="006C0168"/>
    <w:rsid w:val="00725EC4"/>
    <w:rsid w:val="00726AD1"/>
    <w:rsid w:val="00766A75"/>
    <w:rsid w:val="00786D10"/>
    <w:rsid w:val="007A605C"/>
    <w:rsid w:val="007D70E9"/>
    <w:rsid w:val="00814526"/>
    <w:rsid w:val="00840C9F"/>
    <w:rsid w:val="0086033A"/>
    <w:rsid w:val="00874E6B"/>
    <w:rsid w:val="00875510"/>
    <w:rsid w:val="00892C85"/>
    <w:rsid w:val="00893ABA"/>
    <w:rsid w:val="008D64F0"/>
    <w:rsid w:val="008F566E"/>
    <w:rsid w:val="00905977"/>
    <w:rsid w:val="00907D63"/>
    <w:rsid w:val="00907F1D"/>
    <w:rsid w:val="009231DA"/>
    <w:rsid w:val="00927249"/>
    <w:rsid w:val="0093649F"/>
    <w:rsid w:val="009532D1"/>
    <w:rsid w:val="00967DD0"/>
    <w:rsid w:val="0097051C"/>
    <w:rsid w:val="00970A99"/>
    <w:rsid w:val="009731C5"/>
    <w:rsid w:val="00985F3C"/>
    <w:rsid w:val="009A17A9"/>
    <w:rsid w:val="009F439F"/>
    <w:rsid w:val="00A31124"/>
    <w:rsid w:val="00A437A9"/>
    <w:rsid w:val="00AC5062"/>
    <w:rsid w:val="00AD4980"/>
    <w:rsid w:val="00AE0F71"/>
    <w:rsid w:val="00AE46A3"/>
    <w:rsid w:val="00B15C09"/>
    <w:rsid w:val="00B447A7"/>
    <w:rsid w:val="00B9229C"/>
    <w:rsid w:val="00B92ABC"/>
    <w:rsid w:val="00BD1271"/>
    <w:rsid w:val="00BD4891"/>
    <w:rsid w:val="00C20374"/>
    <w:rsid w:val="00C2106C"/>
    <w:rsid w:val="00C23925"/>
    <w:rsid w:val="00C329DD"/>
    <w:rsid w:val="00C60300"/>
    <w:rsid w:val="00C7254A"/>
    <w:rsid w:val="00CA2685"/>
    <w:rsid w:val="00CD2543"/>
    <w:rsid w:val="00D06E90"/>
    <w:rsid w:val="00D13D6F"/>
    <w:rsid w:val="00D26680"/>
    <w:rsid w:val="00D2771D"/>
    <w:rsid w:val="00D31DB0"/>
    <w:rsid w:val="00D336F8"/>
    <w:rsid w:val="00D67496"/>
    <w:rsid w:val="00D86834"/>
    <w:rsid w:val="00D926D4"/>
    <w:rsid w:val="00DB439C"/>
    <w:rsid w:val="00DC4F83"/>
    <w:rsid w:val="00DE1D7F"/>
    <w:rsid w:val="00E205FD"/>
    <w:rsid w:val="00E32431"/>
    <w:rsid w:val="00E5087F"/>
    <w:rsid w:val="00E52E7D"/>
    <w:rsid w:val="00E71388"/>
    <w:rsid w:val="00E8102F"/>
    <w:rsid w:val="00E865CD"/>
    <w:rsid w:val="00EA7420"/>
    <w:rsid w:val="00ED650D"/>
    <w:rsid w:val="00EF563A"/>
    <w:rsid w:val="00F3017E"/>
    <w:rsid w:val="00F35700"/>
    <w:rsid w:val="00F5686B"/>
    <w:rsid w:val="00F6456F"/>
    <w:rsid w:val="00FB235E"/>
    <w:rsid w:val="00FD68C2"/>
    <w:rsid w:val="00FD7BD7"/>
    <w:rsid w:val="00FF2CB3"/>
  </w:rsids>
  <w:docVars>
    <w:docVar w:name="AMENDDOCTYPEMNU" w:val=" 1"/>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787885 HideTWBExt;}{\s16\ql \li0\ri0\nowidctlpar\wrapdefault\aspalpha\aspnum\faauto\adjustright\rin0\lin0\itap0 \rtlch\fcs1 \af0\afs20\alang1025 \ltrch\fcs0 &#13;_x000a_\b\fs24\lang2057\langfe2057\cgrid\langnp2057\langfenp2057 \sbasedon0 \snext16 \spriority0 \styrsid1787885 NormalBold;}}{\*\rsidtbl \rsid24658\rsid358857\rsid735077\rsid787282\rsid1787885\rsid2892074\rsid3622648\rsid4666813\rsid52073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21}{\revtim\yr2019\mo6\dy26\hr20\min21}&#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7878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5207313 &#13;_x000a_\chftnsep &#13;_x000a_\par }}{\*\ftnsepc \ltrpar \pard\plain \ltrpar\ql \li0\ri0\widctlpar\wrapdefault\aspalpha\aspnum\faauto\adjustright\rin0\lin0\itap0 \rtlch\fcs1 \af0\afs20\alang1025 \ltrch\fcs0 \fs24\lang2057\langfe2057\cgrid\langnp2057\langfenp2057 {\rtlch\fcs1 \af0 &#13;_x000a_\ltrch\fcs0 \insrsid5207313 \chftnsepc &#13;_x000a_\par }}{\*\aftnsep \ltrpar \pard\plain \ltrpar\ql \li0\ri0\widctlpar\wrapdefault\aspalpha\aspnum\faauto\adjustright\rin0\lin0\itap0 \rtlch\fcs1 \af0\afs20\alang1025 \ltrch\fcs0 \fs24\lang2057\langfe2057\cgrid\langnp2057\langfenp2057 {\rtlch\fcs1 \af0 &#13;_x000a_\ltrch\fcs0 \insrsid5207313 \chftnsep &#13;_x000a_\par }}{\*\aftnsepc \ltrpar \pard\plain \ltrpar\ql \li0\ri0\widctlpar\wrapdefault\aspalpha\aspnum\faauto\adjustright\rin0\lin0\itap0 \rtlch\fcs1 \af0\afs20\alang1025 \ltrch\fcs0 \fs24\lang2057\langfe2057\cgrid\langnp2057\langfenp2057 {\rtlch\fcs1 \af0 &#13;_x000a_\ltrch\fcs0 \insrsid520731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787885 \rtlch\fcs1 \af0\afs20\alang1025 \ltrch\fcs0 \b\fs24\lang2057\langfe2057\cgrid\langnp2057\langfenp2057 {\rtlch\fcs1 \af0 \ltrch\fcs0 &#13;_x000a_\cs15\b0\v\f1\fs20\cf9\insrsid1787885\charrsid8869136 {\*\bkmkstart By}&lt;}{\rtlch\fcs1 \af0 \ltrch\fcs0 \cs15\b0\v\f1\fs20\cf9\insrsid1787885 By&gt;&lt;}{\rtlch\fcs1 \af0 \ltrch\fcs0 \cs15\b0\v\f1\fs20\cf9\insrsid1787885\charrsid8869136 Members&gt;}{\rtlch\fcs1 &#13;_x000a_\af0 \ltrch\fcs0 \insrsid1787885\charrsid8869136 [ZMEMBERS]}{\rtlch\fcs1 \af0 \ltrch\fcs0 \cs15\b0\v\f1\fs20\cf9\insrsid1787885\charrsid8869136 &lt;/Members&gt;}{\rtlch\fcs1 \af0 \ltrch\fcs0 \insrsid1787885\charrsid8869136 &#13;_x000a_\par }\pard\plain \ltrpar\ql \li0\ri0\widctlpar\wrapdefault\aspalpha\aspnum\faauto\adjustright\rin0\lin0\itap0\pararsid1787885 \rtlch\fcs1 \af0\afs20\alang1025 \ltrch\fcs0 \fs24\lang2057\langfe2057\cgrid\langnp2057\langfenp2057 {\rtlch\fcs1 \af0 \ltrch\fcs0 &#13;_x000a_\cs15\v\f1\fs20\cf9\lang1043\langfe2057\langnp1043\insrsid1787885\charrsid5651086 &lt;AuNomDe&gt;&lt;OptDel&gt;}{\rtlch\fcs1 \af0 \ltrch\fcs0 \lang1043\langfe2057\langnp1043\insrsid1787885\charrsid5651086 [ZONBEHALF]}{\rtlch\fcs1 \af0 \ltrch\fcs0 &#13;_x000a_\cs15\v\f1\fs20\cf9\lang1043\langfe2057\langnp1043\insrsid1787885\charrsid5651086 &lt;/OptDel&gt;&lt;/AuNomDe&gt;}{\rtlch\fcs1 \af0 \ltrch\fcs0 \lang1043\langfe2057\langnp1043\insrsid1787885\charrsid5651086 &#13;_x000a_\par }{\rtlch\fcs1 \af0 \ltrch\fcs0 \cs15\v\f1\fs20\cf9\insrsid1787885\charrsid8471846 &lt;}{\rtlch\fcs1 \af0 \ltrch\fcs0 \cs15\v\f1\fs20\cf9\insrsid1787885 /}{\rtlch\fcs1 \af0 \ltrch\fcs0 \cs15\v\f1\fs20\cf9\insrsid1787885\charrsid8471846 By&gt;}{\rtlch\fcs1 \af0 &#13;_x000a_\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3f&#13;_x000a_89fc4b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ByVar" w:val="1"/>
    <w:docVar w:name="CopyToNetwork" w:val="0"/>
    <w:docVar w:name="CVAR" w:val="1"/>
    <w:docVar w:name="DOCDT" w:val="29/09/2026"/>
    <w:docVar w:name="DOCMNU" w:val=" 3"/>
    <w:docVar w:name="FromTORIS" w:val="False"/>
    <w:docVar w:name="iNoAmend" w:val="1"/>
    <w:docVar w:name="InsideLoop" w:val="2"/>
    <w:docVar w:name="LastEditedSection" w:val=" 1"/>
    <w:docVar w:name="NRAKEY" w:val="0095"/>
    <w:docVar w:name="ONBEHALFKEY1" w:val="ENVI"/>
    <w:docVar w:name="ONBEHALFKEY2" w:val="PECH"/>
    <w:docVar w:name="ORLANGKEY" w:val="EN"/>
    <w:docVar w:name="PROPOSAL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473347 HideTWBExt;}}{\*\rsidtbl \rsid24658\rsid223860\rsid404428\rsid735077&#13;_x000a_\rsid1718133\rsid2892074\rsid3565327\rsid4666813\rsid6641733\rsid7473347\rsid7823322\rsid9636012\rsid10377208\rsid11215221\rsid11549030\rsid12065355\rsid12154954\rsid14382809\rsid14424199\rsid15204470\rsid15285974\rsid15950462\rsid16324206\rsid16662270}&#13;_x000a_{\mmathPr\mmathFont34\mbrkBin0\mbrkBinSub0\msmallFrac0\mdispDef1\mlMargin0\mrMargin0\mdefJc1\mwrapIndent1440\mintLim0\mnaryLim1}{\info{\author VENNARD Ronan}{\operator VENNARD Ronan}{\creatim\yr2026\mo9\dy28\hr16\min48}{\revtim\yr2026\mo9\dy28\hr16\min48}&#13;_x000a_{\version1}{\edmins0}{\nofpages1}{\nofwords1}{\nofchars7}{\nofcharsws7}{\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473347\newtblstyruls\nogrowautofit\usenormstyforlist\noindnmbrts\felnbrelev\nocxsptable\indrlsweleven\noafcnsttbl\afelev\utinl\hwelev\spltpgpar\notcvasp\notbrkcnstfrctbl\notvatxbx\krnprsnet\cachedcolbal &#13;_x000a_\nouicompat \fet0{\*\wgrffmtfilter 013f}\nofeaturethrottle1\ilfomacatclnup0{\*\template C:\\Users\\rvennard\\AppData\\Local\\Temp\\Blank1.dotx}{\*\ftnsep \ltrpar \pard\plain \ltrpar&#13;_x000a_\ql \li0\ri0\widctlpar\wrapdefault\aspalpha\aspnum\faauto\adjustright\rin0\lin0\itap0 \rtlch\fcs1 \af0\afs20\alang1025 \ltrch\fcs0 \fs24\lang2057\langfe2057\cgrid\langnp2057\langfenp2057 {\rtlch\fcs1 \af0 \ltrch\fcs0 \insrsid12065355 \chftnsep &#13;_x000a_\par }}{\*\ftnsepc \ltrpar \pard\plain \ltrpar\ql \li0\ri0\widctlpar\wrapdefault\aspalpha\aspnum\faauto\adjustright\rin0\lin0\itap0 \rtlch\fcs1 \af0\afs20\alang1025 \ltrch\fcs0 \fs24\lang2057\langfe2057\cgrid\langnp2057\langfenp2057 {\rtlch\fcs1 \af0 &#13;_x000a_\ltrch\fcs0 \insrsid12065355 \chftnsepc &#13;_x000a_\par }}{\*\aftnsep \ltrpar \pard\plain \ltrpar\ql \li0\ri0\widctlpar\wrapdefault\aspalpha\aspnum\faauto\adjustright\rin0\lin0\itap0 \rtlch\fcs1 \af0\afs20\alang1025 \ltrch\fcs0 \fs24\lang2057\langfe2057\cgrid\langnp2057\langfenp2057 {\rtlch\fcs1 \af0 &#13;_x000a_\ltrch\fcs0 \insrsid12065355 \chftnsep &#13;_x000a_\par }}{\*\aftnsepc \ltrpar \pard\plain \ltrpar\ql \li0\ri0\widctlpar\wrapdefault\aspalpha\aspnum\faauto\adjustright\rin0\lin0\itap0 \rtlch\fcs1 \af0\afs20\alang1025 \ltrch\fcs0 \fs24\lang2057\langfe2057\cgrid\langnp2057\langfenp2057 {\rtlch\fcs1 \af0 &#13;_x000a_\ltrch\fcs0 \insrsid1206535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cs17\v\f1\fs20\cf9\insrsid7473347\charrsid6246281 &lt;Amend&gt;}{\rtlch\fcs1 \af0 \ltrch\fcs0 \insrsid24658\charrsid16324206 &#13;_x000a_&#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56&#13;_x000a_cb7c584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066618 HideTWBExt;}{\*\cs18 \additive \v\f1\fs20\cf15 &#13;_x000a_\spriority0 \styrsid12066618 HideTWBInt;}{\s19\ql \li0\ri0\nowidctlpar\wrapdefault\aspalpha\aspnum\faauto\adjustright\rin0\lin0\itap0 \rtlch\fcs1 \af0\afs20\alang1025 \ltrch\fcs0 \b\fs24\lang2057\langfe2057\cgrid\langnp2057\langfenp2057 &#13;_x000a_\sbasedon0 \snext19 \spriority0 \styrsid12066618 NormalBold;}}{\*\rsidtbl \rsid24658\rsid223860\rsid404428\rsid735077\rsid1718133\rsid2892074\rsid3565327\rsid4666813\rsid6641733\rsid7823322\rsid9636012\rsid10377208\rsid10387016\rsid11215221\rsid11549030&#13;_x000a_\rsid12066618\rsid12154954\rsid14382809\rsid14424199\rsid15204470\rsid15285974\rsid15950462\rsid16324206\rsid16662270}{\mmathPr\mmathFont34\mbrkBin0\mbrkBinSub0\msmallFrac0\mdispDef1\mlMargin0\mrMargin0\mdefJc1\mwrapIndent1440\mintLim0\mnaryLim1}{\info&#13;_x000a_{\author VENNARD Ronan}{\operator VENNARD Ronan}{\creatim\yr2026\mo9\dy28\hr16\min52}{\revtim\yr2026\mo9\dy28\hr16\min52}{\version1}{\edmins0}{\nofpages1}{\nofwords31}{\nofchars182}{\nofcharsws212}{\vern21}}{\*\xmlnstbl {\xmlns1 http://schemas.microsoft.c&#13;_x000a_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066618\newtblstyruls\nogrowautofit\usenormstyforlist\noindnmbrts\felnbrelev\nocxsptable\indrlsweleven\noafcnsttbl\afelev\utinl\hwelev\spltpgpar\notcvasp\notbrkcnstfrctbl\notvatxbx\krnprsnet\cachedcolbal &#13;_x000a_\nouicompat \fet0{\*\wgrffmtfilter 013f}\nofeaturethrottle1\ilfomacatclnup0{\*\template C:\\Users\\rvennard\\AppData\\Local\\Temp\\Blank1.dotx}{\*\ftnsep \ltrpar \pard\plain \ltrpar&#13;_x000a_\ql \li0\ri0\widctlpar\wrapdefault\aspalpha\aspnum\faauto\adjustright\rin0\lin0\itap0 \rtlch\fcs1 \af0\afs20\alang1025 \ltrch\fcs0 \fs24\lang2057\langfe2057\cgrid\langnp2057\langfenp2057 {\rtlch\fcs1 \af0 \ltrch\fcs0 \insrsid10387016 \chftnsep &#13;_x000a_\par }}{\*\ftnsepc \ltrpar \pard\plain \ltrpar\ql \li0\ri0\widctlpar\wrapdefault\aspalpha\aspnum\faauto\adjustright\rin0\lin0\itap0 \rtlch\fcs1 \af0\afs20\alang1025 \ltrch\fcs0 \fs24\lang2057\langfe2057\cgrid\langnp2057\langfenp2057 {\rtlch\fcs1 \af0 &#13;_x000a_\ltrch\fcs0 \insrsid10387016 \chftnsepc &#13;_x000a_\par }}{\*\aftnsep \ltrpar \pard\plain \ltrpar\ql \li0\ri0\widctlpar\wrapdefault\aspalpha\aspnum\faauto\adjustright\rin0\lin0\itap0 \rtlch\fcs1 \af0\afs20\alang1025 \ltrch\fcs0 \fs24\lang2057\langfe2057\cgrid\langnp2057\langfenp2057 {\rtlch\fcs1 \af0 &#13;_x000a_\ltrch\fcs0 \insrsid10387016 \chftnsep &#13;_x000a_\par }}{\*\aftnsepc \ltrpar \pard\plain \ltrpar\ql \li0\ri0\widctlpar\wrapdefault\aspalpha\aspnum\faauto\adjustright\rin0\lin0\itap0 \rtlch\fcs1 \af0\afs20\alang1025 \ltrch\fcs0 \fs24\lang2057\langfe2057\cgrid\langnp2057\langfenp2057 {\rtlch\fcs1 \af0 &#13;_x000a_\ltrch\fcs0 \insrsid1038701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13;_x000a_\s19\ql \li0\ri0\nowidctlpar\wrapdefault\aspalpha\aspnum\faauto\adjustright\rin0\lin0\itap0\pararsid11421347 \rtlch\fcs1 \af0\afs20\alang1025 \ltrch\fcs0 \b\fs24\lang2057\langfe2057\cgrid\langnp2057\langfenp2057 {\rtlch\fcs1 \af0 \ltrch\fcs0 &#13;_x000a_\cs17\b0\v\f1\fs20\cf9\insrsid12066618\charrsid6246281 {\*\bkmkstart By}&lt;By&gt;&lt;Members&gt;}{\rtlch\fcs1 \af0 \ltrch\fcs0 \insrsid12066618\charrsid6246281 #}{\rtlch\fcs1 \af0 \ltrch\fcs0 \cs18\v\f1\fs20\cf15\insrsid12066618\charrsid6246281 (MOD@InsideLoop(\'a7)&#13;_x000a_}{\rtlch\fcs1 \af0 \ltrch\fcs0 \insrsid12066618\charrsid6246281 ##}{\rtlch\fcs1 \af0 \ltrch\fcs0 \cs18\v\f1\fs20\cf15\insrsid12066618\charrsid6246281 IF(FromTORIS = 'True')THEN([PRESMEMBERS])ELSE([TRADMEMBERS])}{\rtlch\fcs1 \af0 \ltrch\fcs0 &#13;_x000a_\insrsid12066618\charrsid6246281 #}{\rtlch\fcs1 \af0 \ltrch\fcs0 \cs17\b0\v\f1\fs20\cf9\insrsid12066618\charrsid6246281 &lt;/Members&gt;}{\rtlch\fcs1 \af0 \ltrch\fcs0 \insrsid12066618\charrsid6246281 &#13;_x000a_\par }\pard\plain \ltrpar\ql \li0\ri0\widctlpar\wrapdefault\aspalpha\aspnum\faauto\adjustright\rin0\lin0\itap0\pararsid11421347 \rtlch\fcs1 \af0\afs20\alang1025 \ltrch\fcs0 \fs24\lang2057\langfe2057\cgrid\langnp2057\langfenp2057 {\rtlch\fcs1 \af0 \ltrch\fcs0 &#13;_x000a_\cs17\v\f1\fs20\cf9\insrsid12066618\charrsid6246281 &lt;AuNomDe&gt;&lt;OptDel&gt;}{\rtlch\fcs1 \af0 \ltrch\fcs0 \insrsid12066618\charrsid6246281 #}{\rtlch\fcs1 \af0 \ltrch\fcs0 \cs18\v\f1\fs20\cf15\insrsid12066618\charrsid6246281 &#13;_x000a_IF(FromTORIS = 'True')THEN([PRESONBEHALF])ELSE([TRADONBEHALF])}{\rtlch\fcs1 \af0 \ltrch\fcs0 \insrsid12066618\charrsid6246281 #}{\rtlch\fcs1 \af0 \ltrch\fcs0 \cs17\v\f1\fs20\cf9\insrsid12066618\charrsid6246281 &lt;/OptDel&gt;&lt;/AuNomDe&gt;}{\rtlch\fcs1 \af0 &#13;_x000a_\ltrch\fcs0 \insrsid12066618\charrsid6246281 &#13;_x000a_\par }\pard \ltrpar\ql \li0\ri0\widctlpar\wrapdefault\aspalpha\aspnum\faauto\adjustright\rin0\lin0\itap0\pararsid16324206 {\rtlch\fcs1 \af0 \ltrch\fcs0 \cs17\v\f1\fs20\cf9\insrsid12066618\charrsid6246281 &lt;/By&gt;}{\rtlch\fcs1 \af0 \ltrch\fcs0 &#13;_x000a_\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be&#13;_x000a_68f2584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P10"/>
    <w:docVar w:name="TORIS" w:val="False"/>
    <w:docVar w:name="TORISAUTO" w:val="False"/>
    <w:docVar w:name="TVTMEMBERS1" w:val="Pierfrancesco Maran"/>
    <w:docVar w:name="TVTMEMBERS2" w:val="Carmen Crespo Díaz"/>
    <w:docVar w:name="TXTLANGUE" w:val="EN"/>
    <w:docVar w:name="TXTLANGUEMIN" w:val="en"/>
    <w:docVar w:name="TXTNRFIRSTAM" w:val="1"/>
    <w:docVar w:name="TXTNRPE" w:val="788.281"/>
    <w:docVar w:name="TXTPEorAP" w:val="PE"/>
    <w:docVar w:name="TXTROUTE" w:val="AM\P10_AMA(2026)0095(006-006)_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2CCBFC8-3CD6-4A43-8AA4-C76CC9337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39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sid w:val="00AE0F71"/>
    <w:rPr>
      <w:rFonts w:ascii="Arial" w:hAnsi="Arial" w:cs="Arial"/>
      <w:noProof/>
      <w:vanish/>
      <w:color w:val="000080"/>
      <w:sz w:val="20"/>
    </w:rPr>
  </w:style>
  <w:style w:type="paragraph" w:styleId="Header">
    <w:name w:val="header"/>
    <w:basedOn w:val="Normal"/>
    <w:link w:val="HeaderChar"/>
    <w:semiHidden/>
    <w:rsid w:val="00107B4F"/>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231DA"/>
    <w:pPr>
      <w:tabs>
        <w:tab w:val="right" w:pos="9072"/>
      </w:tabs>
    </w:pPr>
    <w:rPr>
      <w:b/>
    </w:rPr>
  </w:style>
  <w:style w:type="paragraph" w:customStyle="1" w:styleId="Normal12a">
    <w:name w:val="Normal12a"/>
    <w:basedOn w:val="Normal"/>
    <w:rsid w:val="00AE0F71"/>
    <w:pPr>
      <w:spacing w:after="240"/>
    </w:pPr>
  </w:style>
  <w:style w:type="paragraph" w:customStyle="1" w:styleId="EPFooter2">
    <w:name w:val="EPFooter2"/>
    <w:basedOn w:val="Normal"/>
    <w:next w:val="Normal"/>
    <w:rsid w:val="00FD7BD7"/>
    <w:pPr>
      <w:widowControl/>
      <w:tabs>
        <w:tab w:val="center" w:pos="4535"/>
        <w:tab w:val="right" w:pos="9921"/>
      </w:tabs>
      <w:ind w:left="-850" w:right="-850"/>
    </w:pPr>
    <w:rPr>
      <w:rFonts w:ascii="Arial" w:hAnsi="Arial" w:cs="Arial"/>
      <w:b/>
      <w:sz w:val="48"/>
    </w:rPr>
  </w:style>
  <w:style w:type="character" w:customStyle="1" w:styleId="HideTWBInt">
    <w:name w:val="HideTWBInt"/>
    <w:rsid w:val="003A097A"/>
    <w:rPr>
      <w:rFonts w:ascii="Arial" w:hAnsi="Arial"/>
      <w:vanish/>
      <w:color w:val="808080"/>
      <w:sz w:val="20"/>
    </w:rPr>
  </w:style>
  <w:style w:type="paragraph" w:customStyle="1" w:styleId="NormalBold">
    <w:name w:val="NormalBold"/>
    <w:basedOn w:val="Normal"/>
    <w:rsid w:val="00AE0F71"/>
    <w:rPr>
      <w:b/>
    </w:rPr>
  </w:style>
  <w:style w:type="paragraph" w:customStyle="1" w:styleId="AmOrLang">
    <w:name w:val="AmOrLang"/>
    <w:basedOn w:val="Normal"/>
    <w:rsid w:val="00AC5062"/>
    <w:pPr>
      <w:spacing w:before="240" w:after="240"/>
      <w:jc w:val="right"/>
    </w:pPr>
  </w:style>
  <w:style w:type="paragraph" w:customStyle="1" w:styleId="NormalCenter12a">
    <w:name w:val="NormalCenter12a"/>
    <w:basedOn w:val="Normal"/>
    <w:rsid w:val="00120E12"/>
    <w:pPr>
      <w:spacing w:after="240"/>
      <w:jc w:val="center"/>
    </w:pPr>
  </w:style>
  <w:style w:type="paragraph" w:customStyle="1" w:styleId="AmDateTab">
    <w:name w:val="AmDateTab"/>
    <w:basedOn w:val="Normal"/>
    <w:rsid w:val="00E865CD"/>
    <w:pPr>
      <w:tabs>
        <w:tab w:val="right" w:pos="9072"/>
      </w:tabs>
    </w:pPr>
  </w:style>
  <w:style w:type="paragraph" w:customStyle="1" w:styleId="AmNumberTabs">
    <w:name w:val="AmNumberTabs"/>
    <w:basedOn w:val="Normal"/>
    <w:rsid w:val="00AE0F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rsid w:val="00927249"/>
    <w:pPr>
      <w:widowControl/>
    </w:pPr>
    <w:rPr>
      <w:sz w:val="20"/>
    </w:rPr>
  </w:style>
  <w:style w:type="character" w:styleId="FootnoteReference">
    <w:name w:val="footnote reference"/>
    <w:semiHidden/>
    <w:rsid w:val="004959CE"/>
    <w:rPr>
      <w:vertAlign w:val="superscript"/>
    </w:rPr>
  </w:style>
  <w:style w:type="paragraph" w:customStyle="1" w:styleId="AmHeadingConsam">
    <w:name w:val="AmHeadingConsam"/>
    <w:basedOn w:val="Normal"/>
    <w:next w:val="NormalCenter12a"/>
    <w:rsid w:val="00725EC4"/>
    <w:pPr>
      <w:spacing w:before="720" w:after="240"/>
      <w:jc w:val="center"/>
    </w:pPr>
  </w:style>
  <w:style w:type="paragraph" w:customStyle="1" w:styleId="EPFooter">
    <w:name w:val="EPFooter"/>
    <w:basedOn w:val="Normal"/>
    <w:rsid w:val="00AE0F71"/>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06E90"/>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7D70E9"/>
    <w:pPr>
      <w:tabs>
        <w:tab w:val="center" w:pos="4513"/>
        <w:tab w:val="right" w:pos="9026"/>
      </w:tabs>
    </w:pPr>
  </w:style>
  <w:style w:type="character" w:customStyle="1" w:styleId="FooterChar">
    <w:name w:val="Footer Char"/>
    <w:basedOn w:val="DefaultParagraphFont"/>
    <w:link w:val="Footer"/>
    <w:semiHidden/>
    <w:rsid w:val="007D70E9"/>
    <w:rPr>
      <w:sz w:val="24"/>
    </w:rPr>
  </w:style>
  <w:style w:type="character" w:customStyle="1" w:styleId="HeaderChar">
    <w:name w:val="Header Char"/>
    <w:basedOn w:val="DefaultParagraphFont"/>
    <w:link w:val="Header"/>
    <w:semiHidden/>
    <w:rsid w:val="00107B4F"/>
    <w:rPr>
      <w:sz w:val="24"/>
    </w:rPr>
  </w:style>
  <w:style w:type="character" w:customStyle="1" w:styleId="Hyperlink1">
    <w:name w:val="Hyperlink1"/>
    <w:basedOn w:val="DefaultParagraphFont"/>
    <w:uiPriority w:val="99"/>
    <w:unhideWhenUsed/>
    <w:rsid w:val="00BD1271"/>
    <w:rPr>
      <w:color w:val="467886"/>
      <w:u w:val="single"/>
    </w:rPr>
  </w:style>
  <w:style w:type="character" w:styleId="Hyperlink">
    <w:name w:val="Hyperlink"/>
    <w:basedOn w:val="DefaultParagraphFont"/>
    <w:rsid w:val="00BD1271"/>
    <w:rPr>
      <w:color w:val="0563C1" w:themeColor="hyperlink"/>
      <w:u w:val="single"/>
    </w:rPr>
  </w:style>
  <w:style w:type="paragraph" w:styleId="Revision">
    <w:name w:val="Revision"/>
    <w:hidden/>
    <w:uiPriority w:val="99"/>
    <w:semiHidden/>
    <w:rsid w:val="003B24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196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2CE8C-151E-473D-8E7E-D4928A2E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811</Words>
  <Characters>4577</Characters>
  <Application>Microsoft Office Word</Application>
  <DocSecurity>0</DocSecurity>
  <Lines>99</Lines>
  <Paragraphs>53</Paragraphs>
  <ScaleCrop>false</ScaleCrop>
  <HeadingPairs>
    <vt:vector size="2" baseType="variant">
      <vt:variant>
        <vt:lpstr>Title</vt:lpstr>
      </vt:variant>
      <vt:variant>
        <vt:i4>1</vt:i4>
      </vt:variant>
    </vt:vector>
  </HeadingPairs>
  <TitlesOfParts>
    <vt:vector size="1" baseType="lpstr">
      <vt:lpstr>AM_Ple_LegConsolidated</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AM_Ple_LegConsolidated</dc:title>
  <dc:creator>European Parliament</dc:creator>
  <cp:lastModifiedBy>European Parliament</cp:lastModifiedBy>
  <cp:revision>2</cp:revision>
  <cp:lastPrinted>2004-11-28T11:03:00Z</cp:lastPrinted>
  <dcterms:created xsi:type="dcterms:W3CDTF">2026-10-01T06:57:00Z</dcterms:created>
  <dcterms:modified xsi:type="dcterms:W3CDTF">2026-10-01T06:57:00Z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P10_AMA(2026)0095(006-006)_</vt:lpwstr>
  </property>
  <property fmtid="{D5CDD505-2E9C-101B-9397-08002B2CF9AE}" pid="4" name="&lt;Model&gt;">
    <vt:lpwstr>AM_Ple_LegConsolidated</vt:lpwstr>
  </property>
  <property fmtid="{D5CDD505-2E9C-101B-9397-08002B2CF9AE}" pid="5" name="&lt;ModelCod&gt;">
    <vt:lpwstr>\\eiciBRUpr1\pdocep$\DocEP\DOCS\General\AM\AM_Leg\AM_Ple_Leg\AM_Ple_LegConsolidated.dotx(15/10/2019 07:18:41)</vt:lpwstr>
  </property>
  <property fmtid="{D5CDD505-2E9C-101B-9397-08002B2CF9AE}" pid="6" name="&lt;ModelTra&gt;">
    <vt:lpwstr>\\eiciBRUpr1\pdocep$\DocEP\TRANSFIL\EN\AM_Ple_LegConsolidated.EN(17/08/2024 00:15:02)</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AM\P10_AMA(2026)0095(006-006)_EN.docx</vt:lpwstr>
  </property>
  <property fmtid="{D5CDD505-2E9C-101B-9397-08002B2CF9AE}" pid="10" name="LastEdited with">
    <vt:lpwstr>10.3.1 Build [20260902]</vt:lpwstr>
  </property>
  <property fmtid="{D5CDD505-2E9C-101B-9397-08002B2CF9AE}" pid="11" name="PE number">
    <vt:lpwstr>788.281</vt:lpwstr>
  </property>
</Properties>
</file>