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633A2A" w:rsidRDefault="00C22E98">
      <w:pPr>
        <w:pStyle w:val="AmDateTab"/>
      </w:pPr>
      <w:r w:rsidRPr="00633A2A">
        <w:rPr>
          <w:rStyle w:val="HideTWBExt"/>
        </w:rPr>
        <w:t>&lt;RepeatBlock-Amend&gt;&lt;Amend&gt;&lt;Date&gt;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50</w:t>
      </w:r>
      <w:r w:rsidRPr="00633A2A">
        <w:rPr>
          <w:rStyle w:val="HideTWBExt"/>
        </w:rPr>
        <w:t>&lt;/NumAm&gt;</w:t>
      </w:r>
    </w:p>
    <w:p w14:paraId="3C438B07"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50</w:t>
      </w:r>
      <w:r w:rsidRPr="00633A2A">
        <w:rPr>
          <w:rStyle w:val="HideTWBExt"/>
        </w:rPr>
        <w:t>&lt;/NumAm&gt;</w:t>
      </w:r>
    </w:p>
    <w:p w14:paraId="063965D6" w14:textId="77777777" w:rsidR="007B2D14" w:rsidRPr="00633A2A" w:rsidRDefault="00C22E98">
      <w:pPr>
        <w:pStyle w:val="NormalBold"/>
      </w:pPr>
      <w:r w:rsidRPr="00633A2A">
        <w:rPr>
          <w:rStyle w:val="HideTWBExt"/>
          <w:b w:val="0"/>
        </w:rPr>
        <w:t>&lt;RepeatBlock-By&gt;&lt;By&gt;&lt;Members&gt;</w:t>
      </w:r>
      <w:proofErr w:type="spellStart"/>
      <w:r w:rsidRPr="00633A2A">
        <w:t>Irene</w:t>
      </w:r>
      <w:proofErr w:type="spellEnd"/>
      <w:r w:rsidRPr="00633A2A">
        <w:t xml:space="preserve"> </w:t>
      </w:r>
      <w:proofErr w:type="spellStart"/>
      <w:r w:rsidRPr="00633A2A">
        <w:t>Montero</w:t>
      </w:r>
      <w:proofErr w:type="spellEnd"/>
      <w:r w:rsidRPr="00633A2A">
        <w:t xml:space="preserve">, </w:t>
      </w:r>
      <w:proofErr w:type="spellStart"/>
      <w:r w:rsidRPr="00633A2A">
        <w:t>Ilaria</w:t>
      </w:r>
      <w:proofErr w:type="spellEnd"/>
      <w:r w:rsidRPr="00633A2A">
        <w:t xml:space="preserve"> Salis, </w:t>
      </w:r>
      <w:proofErr w:type="spellStart"/>
      <w:r w:rsidRPr="00633A2A">
        <w:t>Estrella</w:t>
      </w:r>
      <w:proofErr w:type="spellEnd"/>
      <w:r w:rsidRPr="00633A2A">
        <w:t xml:space="preserve"> </w:t>
      </w:r>
      <w:proofErr w:type="spellStart"/>
      <w:r w:rsidRPr="00633A2A">
        <w:t>Galán</w:t>
      </w:r>
      <w:proofErr w:type="spellEnd"/>
      <w:r w:rsidRPr="00633A2A">
        <w:rPr>
          <w:rStyle w:val="HideTWBExt"/>
          <w:b w:val="0"/>
        </w:rPr>
        <w:t>&lt;/Members&gt;</w:t>
      </w:r>
    </w:p>
    <w:p w14:paraId="6304717F"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3C82FC2A" w14:textId="77777777" w:rsidR="007B2D14" w:rsidRPr="00633A2A" w:rsidRDefault="00C22E98">
      <w:pPr>
        <w:pStyle w:val="NormalBold"/>
      </w:pPr>
      <w:r w:rsidRPr="00633A2A">
        <w:rPr>
          <w:rStyle w:val="HideTWBExt"/>
          <w:b w:val="0"/>
        </w:rPr>
        <w:t>&lt;/By&gt;&lt;/RepeatBlock-By&gt;</w:t>
      </w:r>
    </w:p>
    <w:p w14:paraId="0810A7BC"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01FF8DEC"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43F45A2C"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10340FC0"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384CE0FD"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78601223" w14:textId="77777777" w:rsidR="007B2D14" w:rsidRPr="00633A2A" w:rsidRDefault="00C22E98">
      <w:pPr>
        <w:pStyle w:val="NormalBold"/>
      </w:pPr>
      <w:r w:rsidRPr="00633A2A">
        <w:rPr>
          <w:rStyle w:val="HideTWBExt"/>
        </w:rPr>
        <w:t>&lt;Article&gt;</w:t>
      </w:r>
      <w:r w:rsidRPr="00633A2A">
        <w:t>1. punkts – x apakšpunkts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633A2A" w:rsidRDefault="007B2D14"/>
        </w:tc>
      </w:tr>
      <w:tr w:rsidR="00111197" w:rsidRPr="00633A2A" w14:paraId="028AF2F3" w14:textId="77777777">
        <w:trPr>
          <w:trHeight w:val="240"/>
          <w:jc w:val="center"/>
        </w:trPr>
        <w:tc>
          <w:tcPr>
            <w:tcW w:w="4876" w:type="dxa"/>
            <w:tcBorders>
              <w:top w:val="nil"/>
              <w:left w:val="nil"/>
              <w:bottom w:val="nil"/>
              <w:right w:val="nil"/>
            </w:tcBorders>
          </w:tcPr>
          <w:p w14:paraId="3C312E92"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45D474A0" w14:textId="77777777" w:rsidR="007B2D14" w:rsidRPr="00633A2A" w:rsidRDefault="00C22E98">
            <w:pPr>
              <w:pStyle w:val="AmColumnHeading"/>
            </w:pPr>
            <w:r w:rsidRPr="00633A2A">
              <w:t>Grozījums</w:t>
            </w:r>
          </w:p>
        </w:tc>
      </w:tr>
      <w:tr w:rsidR="00111197" w:rsidRPr="00633A2A" w14:paraId="0C3924D8" w14:textId="77777777">
        <w:trPr>
          <w:jc w:val="center"/>
        </w:trPr>
        <w:tc>
          <w:tcPr>
            <w:tcW w:w="4876" w:type="dxa"/>
            <w:tcBorders>
              <w:top w:val="nil"/>
              <w:left w:val="nil"/>
              <w:bottom w:val="nil"/>
              <w:right w:val="nil"/>
            </w:tcBorders>
          </w:tcPr>
          <w:p w14:paraId="2796F912" w14:textId="735BC1C2" w:rsidR="007B2D14" w:rsidRPr="00633A2A" w:rsidRDefault="00C22E98">
            <w:pPr>
              <w:pStyle w:val="Normal6a"/>
            </w:pPr>
            <w:r w:rsidRPr="00633A2A">
              <w:t>(x)</w:t>
            </w:r>
            <w:r w:rsidRPr="00633A2A">
              <w:tab/>
              <w:t xml:space="preserve">atkārtoti stingri nosodīt Krievijas nelikumīgo agresijas karu pret Ukrainu un uzbrukumus, pasaules miera un </w:t>
            </w:r>
            <w:r w:rsidRPr="00633A2A">
              <w:t>drošības arhitektūrai, tostarp ANO DP instrumentiem; aicināt panākt pilnīgu pamieru, kas ļautu mazināt civiliedzīvotāju ciešanas, un par visaptverošu, taisnīgu un noturīgu mieru Ukrainā, tostarp par ANO Statūtos un starptautiskajās tiesībās balstītām stingrām drošības garantijām, kas novērš un nekavējoties neitralizē jebkādu jaunu agresiju, vienlaikus nodrošinot pilnīgu saukšanu pie atbildības par kara noziegumiem un nolaupīto ukraiņu bērnu, apcietināto civiliedzīvotāju un kara gūstekņu atgriešanu; atbalstī</w:t>
            </w:r>
            <w:r w:rsidRPr="00633A2A">
              <w:t>t ANO centienus apzināt juridiskos mehānismus, kuri ļautu mobilizēt iesaldētos Krievijas aktīvus Ukrainas atjaunošanai, neradot finansiālu slogu ES dalībvalstīm; censties panākt, lai tiktu nosodīti Krievijas un tās sabiedroto veiktie kiberuzbrukumi trešo valstu organizācijām un iedzīvotājiem;</w:t>
            </w:r>
          </w:p>
        </w:tc>
        <w:tc>
          <w:tcPr>
            <w:tcW w:w="4876" w:type="dxa"/>
            <w:tcBorders>
              <w:top w:val="nil"/>
              <w:left w:val="nil"/>
              <w:bottom w:val="nil"/>
              <w:right w:val="nil"/>
            </w:tcBorders>
          </w:tcPr>
          <w:p w14:paraId="65DDE222" w14:textId="7B5CAC67" w:rsidR="007B2D14" w:rsidRPr="00633A2A" w:rsidRDefault="00C22E98">
            <w:pPr>
              <w:pStyle w:val="Normal6a"/>
            </w:pPr>
            <w:r w:rsidRPr="00633A2A">
              <w:t>(x)</w:t>
            </w:r>
            <w:r w:rsidRPr="00633A2A">
              <w:tab/>
              <w:t>atkārtoti stingri nosodīt Krievijas nelikumīgo agresijas karu pret Ukrainu un uzbrukumus, pasaules miera un drošības arhitektūrai, tostarp ANO DP instrumentiem; aicināt panākt pilnīgu pamieru, kas ļautu mazināt civiliedzīvotāju ciešanas, un par visaptverošu, taisnīgu un noturīgu mieru Ukrainā, tostarp par ANO Statūtos un starptautiskajās tiesībās balstītām stingrām drošības garantijām, kas novērš un nekavējoties neitralizē jebkādu jaunu agresiju, vienlaikus nodrošinot pilnīgu saukšanu pie atbildības par ka</w:t>
            </w:r>
            <w:r w:rsidRPr="00633A2A">
              <w:t xml:space="preserve">ra noziegumiem un nolaupīto ukraiņu bērnu, apcietināto civiliedzīvotāju un kara gūstekņu atgriešanu; atbalstīt ANO centienus apzināt juridiskos mehānismus, kuri ļautu mobilizēt iesaldētos Krievijas aktīvus Ukrainas atjaunošanai, neradot finansiālu slogu ES dalībvalstīm; censties panākt, lai tiktu nosodīti Krievijas un tās sabiedroto veiktie kiberuzbrukumi trešo valstu organizācijām un iedzīvotājiem; </w:t>
            </w:r>
            <w:r w:rsidRPr="00633A2A">
              <w:rPr>
                <w:b/>
                <w:i/>
              </w:rPr>
              <w:t>uzsvērt, ka Ukrainas rekonstrukcija būtu pirmām kārtām jāvērš uz sabiedrisko pakalpojumu, mājokļu jomas, vese</w:t>
            </w:r>
            <w:r w:rsidRPr="00633A2A">
              <w:rPr>
                <w:b/>
                <w:i/>
              </w:rPr>
              <w:t xml:space="preserve">lības aprūpes, izglītības un civilās infrastruktūras stiprināšanu, paredzot, ka pārredzamība, demokrātiskā līdzdalība un cīņa pret korupciju ir taisnīgas </w:t>
            </w:r>
            <w:r w:rsidRPr="00633A2A">
              <w:rPr>
                <w:b/>
                <w:i/>
              </w:rPr>
              <w:lastRenderedPageBreak/>
              <w:t>rekonstrukcijas priekšnoteikumi;</w:t>
            </w:r>
          </w:p>
        </w:tc>
      </w:tr>
    </w:tbl>
    <w:p w14:paraId="07473AEE" w14:textId="77777777" w:rsidR="007B2D14" w:rsidRPr="00633A2A" w:rsidRDefault="00C22E98">
      <w:pPr>
        <w:pStyle w:val="AmOrLang"/>
      </w:pPr>
      <w:r w:rsidRPr="00633A2A">
        <w:lastRenderedPageBreak/>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52AC6260" w14:textId="77777777" w:rsidR="007B2D14" w:rsidRPr="00633A2A" w:rsidRDefault="00C22E98">
      <w:pPr>
        <w:sectPr w:rsidR="007B2D14" w:rsidRPr="00633A2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633A2A">
        <w:rPr>
          <w:rStyle w:val="HideTWBExt"/>
        </w:rPr>
        <w:t>&lt;/Amend&gt;</w:t>
      </w:r>
    </w:p>
    <w:p w14:paraId="3A46D345"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51</w:t>
      </w:r>
      <w:r w:rsidRPr="00633A2A">
        <w:rPr>
          <w:rStyle w:val="HideTWBExt"/>
        </w:rPr>
        <w:t>&lt;/NumAm&gt;</w:t>
      </w:r>
    </w:p>
    <w:p w14:paraId="4A23C21A"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51</w:t>
      </w:r>
      <w:r w:rsidRPr="00633A2A">
        <w:rPr>
          <w:rStyle w:val="HideTWBExt"/>
        </w:rPr>
        <w:t>&lt;/NumAm&gt;</w:t>
      </w:r>
    </w:p>
    <w:p w14:paraId="58DA3696" w14:textId="77777777" w:rsidR="007B2D14" w:rsidRPr="00633A2A" w:rsidRDefault="00C22E98">
      <w:pPr>
        <w:pStyle w:val="NormalBold"/>
      </w:pPr>
      <w:r w:rsidRPr="00633A2A">
        <w:rPr>
          <w:rStyle w:val="HideTWBExt"/>
          <w:b w:val="0"/>
        </w:rPr>
        <w:t>&lt;RepeatBlock-By&gt;&lt;By&gt;&lt;Members&gt;</w:t>
      </w:r>
      <w:proofErr w:type="spellStart"/>
      <w:r w:rsidRPr="00633A2A">
        <w:t>Irene</w:t>
      </w:r>
      <w:proofErr w:type="spellEnd"/>
      <w:r w:rsidRPr="00633A2A">
        <w:t xml:space="preserve"> </w:t>
      </w:r>
      <w:proofErr w:type="spellStart"/>
      <w:r w:rsidRPr="00633A2A">
        <w:t>Montero</w:t>
      </w:r>
      <w:proofErr w:type="spellEnd"/>
      <w:r w:rsidRPr="00633A2A">
        <w:t xml:space="preserve">, Rudi </w:t>
      </w:r>
      <w:proofErr w:type="spellStart"/>
      <w:r w:rsidRPr="00633A2A">
        <w:t>Kennes</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Marc</w:t>
      </w:r>
      <w:proofErr w:type="spellEnd"/>
      <w:r w:rsidRPr="00633A2A">
        <w:t xml:space="preserve"> </w:t>
      </w:r>
      <w:proofErr w:type="spellStart"/>
      <w:r w:rsidRPr="00633A2A">
        <w:t>Botenga</w:t>
      </w:r>
      <w:proofErr w:type="spellEnd"/>
      <w:r w:rsidRPr="00633A2A">
        <w:rPr>
          <w:rStyle w:val="HideTWBExt"/>
          <w:b w:val="0"/>
        </w:rPr>
        <w:t>&lt;/Members&gt;</w:t>
      </w:r>
    </w:p>
    <w:p w14:paraId="466CFBD9"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5E068820" w14:textId="77777777" w:rsidR="007B2D14" w:rsidRPr="00633A2A" w:rsidRDefault="00C22E98">
      <w:pPr>
        <w:pStyle w:val="NormalBold"/>
      </w:pPr>
      <w:r w:rsidRPr="00633A2A">
        <w:rPr>
          <w:rStyle w:val="HideTWBExt"/>
          <w:b w:val="0"/>
        </w:rPr>
        <w:t>&lt;/By&gt;&lt;/RepeatBlock-By&gt;</w:t>
      </w:r>
    </w:p>
    <w:p w14:paraId="3BA11ABA"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2E8B2903"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2BB130F5"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47AFEAD0"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42D0162A"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43EF129D" w14:textId="77777777" w:rsidR="007B2D14" w:rsidRPr="00633A2A" w:rsidRDefault="00C22E98">
      <w:pPr>
        <w:pStyle w:val="NormalBold"/>
      </w:pPr>
      <w:r w:rsidRPr="00633A2A">
        <w:rPr>
          <w:rStyle w:val="HideTWBExt"/>
        </w:rPr>
        <w:t>&lt;Article&gt;</w:t>
      </w:r>
      <w:r w:rsidRPr="00633A2A">
        <w:t>1. punkts – y apakšpunkts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633A2A" w:rsidRDefault="007B2D14"/>
        </w:tc>
      </w:tr>
      <w:tr w:rsidR="00111197" w:rsidRPr="00633A2A" w14:paraId="5BA24FBB" w14:textId="77777777">
        <w:trPr>
          <w:trHeight w:val="240"/>
          <w:jc w:val="center"/>
        </w:trPr>
        <w:tc>
          <w:tcPr>
            <w:tcW w:w="4876" w:type="dxa"/>
            <w:tcBorders>
              <w:top w:val="nil"/>
              <w:left w:val="nil"/>
              <w:bottom w:val="nil"/>
              <w:right w:val="nil"/>
            </w:tcBorders>
          </w:tcPr>
          <w:p w14:paraId="414A867B"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6315EFED" w14:textId="77777777" w:rsidR="007B2D14" w:rsidRPr="00633A2A" w:rsidRDefault="00C22E98">
            <w:pPr>
              <w:pStyle w:val="AmColumnHeading"/>
            </w:pPr>
            <w:r w:rsidRPr="00633A2A">
              <w:t>Grozījums</w:t>
            </w:r>
          </w:p>
        </w:tc>
      </w:tr>
      <w:tr w:rsidR="00111197" w:rsidRPr="00633A2A" w14:paraId="37E873A0" w14:textId="77777777">
        <w:trPr>
          <w:jc w:val="center"/>
        </w:trPr>
        <w:tc>
          <w:tcPr>
            <w:tcW w:w="4876" w:type="dxa"/>
            <w:tcBorders>
              <w:top w:val="nil"/>
              <w:left w:val="nil"/>
              <w:bottom w:val="nil"/>
              <w:right w:val="nil"/>
            </w:tcBorders>
          </w:tcPr>
          <w:p w14:paraId="7CD9A3B4" w14:textId="033E0D25" w:rsidR="007B2D14" w:rsidRPr="00633A2A" w:rsidRDefault="00C22E98">
            <w:pPr>
              <w:pStyle w:val="Normal6a"/>
            </w:pPr>
            <w:r w:rsidRPr="00633A2A">
              <w:t>(y)</w:t>
            </w:r>
            <w:r w:rsidRPr="00633A2A">
              <w:tab/>
              <w:t xml:space="preserve">uzsvērt, ka Arktikas reģions ir teritorija, kurā pieaug ģeopolitiskā spriedze, ko veicina konkurence par dabas </w:t>
            </w:r>
            <w:r w:rsidRPr="00633A2A">
              <w:t>resursiem un pieaugošā militārā klātbūtne; paust nopietnas bažas par Krievijas destabilizējošajām drošības un stratēģiskajām darbībām šajā reģionā; uzsvērt, cik svarīgi ir respektēt Dānijas Karalistes un Grenlandes suverenitāti un teritoriālo integritāti, kā arī Grenlandes iedzīvotāju pašnoteikšanos, ņemot vērā Grenlandes iedzīvotāju stingro pretestību pret jebkādiem ārējiem mēģinājumiem mainīt šo statusu bez viņu brīvās gribas un piekrišanas; aicināt ES un tās partnerus atbalstīt Dāniju un Grenlandi, lai a</w:t>
            </w:r>
            <w:r w:rsidRPr="00633A2A">
              <w:t>izsargātu stabilitāti reģionā, kurš saskaras ar ārēju ģeopolitisko spiedienu, tostarp pastiprināt sadarbību Arktikas jautājumos; uzsvērt, ka ES un ANO ir jāpievērš lielāka uzmanība stabilitātei, konstruktīvam dialogam un starptautisko tiesību aktu un ANO Statūtu pilnīgai ievērošanai Arktikas jautājumos;</w:t>
            </w:r>
          </w:p>
        </w:tc>
        <w:tc>
          <w:tcPr>
            <w:tcW w:w="4876" w:type="dxa"/>
            <w:tcBorders>
              <w:top w:val="nil"/>
              <w:left w:val="nil"/>
              <w:bottom w:val="nil"/>
              <w:right w:val="nil"/>
            </w:tcBorders>
          </w:tcPr>
          <w:p w14:paraId="446A2A60" w14:textId="5FC7BF02" w:rsidR="007B2D14" w:rsidRPr="00633A2A" w:rsidRDefault="00C22E98">
            <w:pPr>
              <w:pStyle w:val="Normal6a"/>
            </w:pPr>
            <w:r w:rsidRPr="00633A2A">
              <w:t>(y)</w:t>
            </w:r>
            <w:r w:rsidRPr="00633A2A">
              <w:tab/>
              <w:t>uzsvērt, ka Arktikas reģions ir teritorija, kurā pieaug ģeopolitiskā spriedze, ko veicina konkurence par dabas resursiem un pieaugošā militārā klātbūtne; paust nopietnas bažas par Krievijas destabilizējošajām drošības un stratēģiskajām darbībām šajā reģionā; uzsvērt, cik svarīgi ir respektēt Dānijas Karalistes un Grenlandes suverenitāti un teritoriālo integritāti, kā arī Grenlandes iedzīvotāju pašnoteikšanos, ņemot vērā Grenlandes iedzīvotāju stingro pretestību pret jebkādiem ārējiem mēģinājumiem mainīt šo</w:t>
            </w:r>
            <w:r w:rsidRPr="00633A2A">
              <w:t xml:space="preserve"> statusu bez viņu brīvās gribas un piekrišanas; aicināt ES un tās partnerus atbalstīt Dāniju un Grenlandi, lai aizsargātu stabilitāti reģionā, kurš saskaras ar ārēju ģeopolitisko spiedienu, tostarp pastiprināt sadarbību Arktikas jautājumos; uzsvērt, ka ES un ANO ir jāpievērš lielāka uzmanība stabilitātei, konstruktīvam dialogam un starptautisko tiesību aktu un ANO Statūtu pilnīgai ievērošanai Arktikas jautājumos; </w:t>
            </w:r>
            <w:r w:rsidRPr="00633A2A">
              <w:rPr>
                <w:b/>
                <w:i/>
              </w:rPr>
              <w:t>noraidīt ASV draudus attiecībā uz Grenlandi; noraidīt jebkādus draudus, spiedienu un prasības p</w:t>
            </w:r>
            <w:r w:rsidRPr="00633A2A">
              <w:rPr>
                <w:b/>
                <w:i/>
              </w:rPr>
              <w:t>ar teritorijas pārņemšanu, kas ir pretrunā ANO Statūtiem, it sevišķi pārkāpj principu par draudu vai spēka lietošanas aizliegumu;</w:t>
            </w:r>
          </w:p>
        </w:tc>
      </w:tr>
    </w:tbl>
    <w:p w14:paraId="6BA8974A" w14:textId="77777777" w:rsidR="007B2D14" w:rsidRPr="00633A2A" w:rsidRDefault="00C22E98">
      <w:pPr>
        <w:pStyle w:val="AmOrLang"/>
      </w:pPr>
      <w:r w:rsidRPr="00633A2A">
        <w:lastRenderedPageBreak/>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3DC0EDBD"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2D6D4F3E"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52</w:t>
      </w:r>
      <w:r w:rsidRPr="00633A2A">
        <w:rPr>
          <w:rStyle w:val="HideTWBExt"/>
        </w:rPr>
        <w:t>&lt;/NumAm&gt;</w:t>
      </w:r>
    </w:p>
    <w:p w14:paraId="5585C05C"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52</w:t>
      </w:r>
      <w:r w:rsidRPr="00633A2A">
        <w:rPr>
          <w:rStyle w:val="HideTWBExt"/>
        </w:rPr>
        <w:t>&lt;/NumAm&gt;</w:t>
      </w:r>
    </w:p>
    <w:p w14:paraId="0731642A" w14:textId="77777777" w:rsidR="007B2D14" w:rsidRPr="00633A2A" w:rsidRDefault="00C22E98">
      <w:pPr>
        <w:pStyle w:val="NormalBold"/>
      </w:pPr>
      <w:r w:rsidRPr="00633A2A">
        <w:rPr>
          <w:rStyle w:val="HideTWBExt"/>
          <w:b w:val="0"/>
        </w:rPr>
        <w:t>&lt;RepeatBlock-By&gt;&lt;By&gt;&lt;Members&gt;</w:t>
      </w:r>
      <w:r w:rsidRPr="00633A2A">
        <w:t xml:space="preserve">Danilo </w:t>
      </w:r>
      <w:proofErr w:type="spellStart"/>
      <w:r w:rsidRPr="00633A2A">
        <w:t>Della</w:t>
      </w:r>
      <w:proofErr w:type="spellEnd"/>
      <w:r w:rsidRPr="00633A2A">
        <w:t xml:space="preserve"> Valle,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Rima </w:t>
      </w:r>
      <w:proofErr w:type="spellStart"/>
      <w:r w:rsidRPr="00633A2A">
        <w:t>Hassan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rPr>
          <w:rStyle w:val="HideTWBExt"/>
          <w:b w:val="0"/>
        </w:rPr>
        <w:t>&lt;/Members&gt;</w:t>
      </w:r>
    </w:p>
    <w:p w14:paraId="0CDC5177"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7B2DEA2A" w14:textId="77777777" w:rsidR="007B2D14" w:rsidRPr="00633A2A" w:rsidRDefault="00C22E98">
      <w:pPr>
        <w:pStyle w:val="NormalBold"/>
      </w:pPr>
      <w:r w:rsidRPr="00633A2A">
        <w:rPr>
          <w:rStyle w:val="HideTWBExt"/>
          <w:b w:val="0"/>
        </w:rPr>
        <w:t>&lt;/By&gt;&lt;/RepeatBlock-By&gt;</w:t>
      </w:r>
    </w:p>
    <w:p w14:paraId="2B7D4658"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000065D4"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2A4F30E9"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3B142BA5"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0FDB27C5"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65916756"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aa</w:t>
      </w:r>
      <w:proofErr w:type="spellEnd"/>
      <w:r w:rsidRPr="00633A2A">
        <w:t> apakšpunkts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633A2A" w:rsidRDefault="007B2D14"/>
        </w:tc>
      </w:tr>
      <w:tr w:rsidR="00111197" w:rsidRPr="00633A2A" w14:paraId="667B2725" w14:textId="77777777">
        <w:trPr>
          <w:trHeight w:val="240"/>
          <w:jc w:val="center"/>
        </w:trPr>
        <w:tc>
          <w:tcPr>
            <w:tcW w:w="4876" w:type="dxa"/>
            <w:tcBorders>
              <w:top w:val="nil"/>
              <w:left w:val="nil"/>
              <w:bottom w:val="nil"/>
              <w:right w:val="nil"/>
            </w:tcBorders>
          </w:tcPr>
          <w:p w14:paraId="725B90BC" w14:textId="77777777" w:rsidR="007B2D14" w:rsidRPr="00633A2A" w:rsidRDefault="00C22E98">
            <w:pPr>
              <w:pStyle w:val="AmColumnHeading"/>
            </w:pPr>
            <w:r w:rsidRPr="00633A2A">
              <w:t xml:space="preserve">Rezolūcijas </w:t>
            </w:r>
            <w:r w:rsidRPr="00633A2A">
              <w:t>priekšlikums</w:t>
            </w:r>
          </w:p>
        </w:tc>
        <w:tc>
          <w:tcPr>
            <w:tcW w:w="4876" w:type="dxa"/>
            <w:tcBorders>
              <w:top w:val="nil"/>
              <w:left w:val="nil"/>
              <w:bottom w:val="nil"/>
              <w:right w:val="nil"/>
            </w:tcBorders>
          </w:tcPr>
          <w:p w14:paraId="3DCC6CEA" w14:textId="77777777" w:rsidR="007B2D14" w:rsidRPr="00633A2A" w:rsidRDefault="00C22E98">
            <w:pPr>
              <w:pStyle w:val="AmColumnHeading"/>
            </w:pPr>
            <w:r w:rsidRPr="00633A2A">
              <w:t>Grozījums</w:t>
            </w:r>
          </w:p>
        </w:tc>
      </w:tr>
      <w:tr w:rsidR="00111197" w:rsidRPr="00633A2A" w14:paraId="4AFAC6A6" w14:textId="77777777">
        <w:trPr>
          <w:jc w:val="center"/>
        </w:trPr>
        <w:tc>
          <w:tcPr>
            <w:tcW w:w="4876" w:type="dxa"/>
            <w:tcBorders>
              <w:top w:val="nil"/>
              <w:left w:val="nil"/>
              <w:bottom w:val="nil"/>
              <w:right w:val="nil"/>
            </w:tcBorders>
          </w:tcPr>
          <w:p w14:paraId="1D99A3FD" w14:textId="641DBFAF" w:rsidR="007B2D14" w:rsidRPr="00633A2A" w:rsidRDefault="00C22E98">
            <w:pPr>
              <w:pStyle w:val="Normal6a"/>
            </w:pPr>
            <w:r w:rsidRPr="00633A2A">
              <w:t>(</w:t>
            </w:r>
            <w:proofErr w:type="spellStart"/>
            <w:r w:rsidRPr="00633A2A">
              <w:t>aa</w:t>
            </w:r>
            <w:proofErr w:type="spellEnd"/>
            <w:r w:rsidRPr="00633A2A">
              <w:t>)</w:t>
            </w:r>
            <w:r w:rsidRPr="00633A2A">
              <w:tab/>
              <w:t>paust dziļas bažas par pašreizējām militārajām darbībām Tuvajos Austrumos, tostarp par destabilizējošo lomu, kādu tajās pilda Irāna un tai pietuvinātās reģiona teroristiskās organizācijas;</w:t>
            </w:r>
            <w:r w:rsidRPr="00633A2A">
              <w:rPr>
                <w:b/>
                <w:i/>
              </w:rPr>
              <w:t xml:space="preserve"> uzsvērt, ka Amerikas Savienoto Valstu un Izraēlas uzbrukumi tiek veikti ārpus uz noteikumiem balstītās daudzpusējās sistēmas;</w:t>
            </w:r>
            <w:r w:rsidRPr="00633A2A">
              <w:t xml:space="preserve"> paust pilnīgu solidaritāti un atbalstu Irānas tautai, stingri nosodīt Irānas režīmu par miermīlīgo protestu vardarbīgo apspiešanu, masveida slepkavībām, patvaļīgām aizturēšanām un nāvessoda izp</w:t>
            </w:r>
            <w:r w:rsidRPr="00633A2A">
              <w:t>ildēm, kā arī aicināt izveidot neatkarīgu ANO faktu vākšanas misiju un pilnībā sadarboties ar to, lai nodrošinātu saukšanu pie atbildības par visiem starptautisko cilvēktiesību un starptautisko humanitāro tiesību smagajiem pārkāpumiem; uzteikt ANO DP Rezolūcijas Nr. 2817 (2026) pieņemšanu, kurā visstingrākajā veidā nosodīti Irānas uzbrukumi Bahreinai, Kuveitai, Omānai, Katarai, Saūda Arābijai, Apvienotajiem Arābu Emirātiem, Jordānijai un Irākai un prasīts tos nekavējoties pārtraukt; nosodīt arī Irānas uzbru</w:t>
            </w:r>
            <w:r w:rsidRPr="00633A2A">
              <w:t xml:space="preserve">kumus Izraēlai; pastiprināt diplomātiskos centienus daudzpusējos forumos un censties panākt ciešāku </w:t>
            </w:r>
            <w:r w:rsidRPr="00633A2A">
              <w:lastRenderedPageBreak/>
              <w:t>sadarbību ar ES partneriem reģionā, lai veicinātu situācijas deeskalāciju, atjaunošanu, jēgpilnu dialogu un ilgtspējīgu reģionālo stabilitāti saskaņā ar starptautiskajām tiesībām un ANO principiem; apsvērt Libānas valsts struktūru stiprināšanu kā stabilitātes priekšnosacījumu;</w:t>
            </w:r>
          </w:p>
        </w:tc>
        <w:tc>
          <w:tcPr>
            <w:tcW w:w="4876" w:type="dxa"/>
            <w:tcBorders>
              <w:top w:val="nil"/>
              <w:left w:val="nil"/>
              <w:bottom w:val="nil"/>
              <w:right w:val="nil"/>
            </w:tcBorders>
          </w:tcPr>
          <w:p w14:paraId="2A34E9D1" w14:textId="6FE7B275" w:rsidR="007B2D14" w:rsidRPr="00633A2A" w:rsidRDefault="00C22E98">
            <w:pPr>
              <w:pStyle w:val="Normal6a"/>
            </w:pPr>
            <w:r w:rsidRPr="00633A2A">
              <w:lastRenderedPageBreak/>
              <w:t>(</w:t>
            </w:r>
            <w:proofErr w:type="spellStart"/>
            <w:r w:rsidRPr="00633A2A">
              <w:t>aa</w:t>
            </w:r>
            <w:proofErr w:type="spellEnd"/>
            <w:r w:rsidRPr="00633A2A">
              <w:t>)</w:t>
            </w:r>
            <w:r w:rsidRPr="00633A2A">
              <w:tab/>
            </w:r>
            <w:r w:rsidRPr="00633A2A">
              <w:rPr>
                <w:b/>
                <w:i/>
              </w:rPr>
              <w:t>nosodīt Amerikas Savienoto Valstu un Izraēlas uzbrukumus, kas ir tīšs starptautisko tiesību pārkāpums ārpus noteikumos balstītās daudzpusējās sistēmas; stingri nosodīt neselektīvos Izraēlas spēku uzbrukumus civiliedzīvotājiem un infrastruktūrai, kuri saskaņā ar starptautiskajām humanitārajām tiesībām var tikt uzskatīti par kara noziegumiem; atgādināt par Izraēlas kā okupācijas varas pienākumu pilnībā ievērot starptautiskās tiesības, tostarp civiliedzīvotāju aizsardzību un kolektīvās sodīšanas aizliegumu</w:t>
            </w:r>
            <w:r w:rsidRPr="00633A2A">
              <w:rPr>
                <w:b/>
                <w:i/>
              </w:rPr>
              <w:t xml:space="preserve">, un aicināt saukt pie atbildības par visiem izdarītajiem pārkāpumiem; paust nopietnas bažas par lielo skaitu bērnu, kuri cietuši Izraēlas uzbrukumos Irānā; atzīmēt, ka saskaņā ar starptautisko organizāciju sniegto informāciju kopš konflikta sākuma ir nogalināti vai ievainoti simtiem bērnu, tostarp 165 skolnieces </w:t>
            </w:r>
            <w:proofErr w:type="spellStart"/>
            <w:r w:rsidRPr="00633A2A">
              <w:rPr>
                <w:b/>
                <w:i/>
              </w:rPr>
              <w:t>Minabā</w:t>
            </w:r>
            <w:proofErr w:type="spellEnd"/>
            <w:r w:rsidRPr="00633A2A">
              <w:rPr>
                <w:b/>
                <w:i/>
              </w:rPr>
              <w:t xml:space="preserve"> notikušajā slaktiņā ASV gaisa uzbrukumā un vismaz 200 bērni Irānā vien;</w:t>
            </w:r>
            <w:r w:rsidRPr="00633A2A">
              <w:t xml:space="preserve"> paust dziļas bažas par pašreizējām militārajām darbībām Tuvajos Austrumos, tostarp par destabilizējošo lomu, kādu tajā</w:t>
            </w:r>
            <w:r w:rsidRPr="00633A2A">
              <w:t xml:space="preserve">s pilda Irāna un tai pietuvinātās reģiona teroristiskās </w:t>
            </w:r>
            <w:r w:rsidRPr="00633A2A">
              <w:lastRenderedPageBreak/>
              <w:t xml:space="preserve">organizācijas; paust pilnīgu solidaritāti un atbalstu Irānas tautai, stingri nosodīt Irānas režīmu par miermīlīgo protestu vardarbīgo apspiešanu, masveida slepkavībām, patvaļīgām aizturēšanām un nāvessoda izpildēm, kā arī aicināt izveidot neatkarīgu ANO faktu vākšanas misiju un pilnībā sadarboties ar to, lai nodrošinātu saukšanu pie atbildības par visiem starptautisko cilvēktiesību un starptautisko humanitāro tiesību smagajiem pārkāpumiem; uzteikt ANO </w:t>
            </w:r>
            <w:r w:rsidRPr="00633A2A">
              <w:t>DP Rezolūcijas Nr. 2817 (2026) pieņemšanu, kurā visstingrākajā veidā nosodīti Irānas uzbrukumi Bahreinai, Kuveitai, Omānai, Katarai, Saūda Arābijai, Apvienotajiem Arābu Emirātiem, Jordānijai un Irākai un prasīts tos nekavējoties pārtraukt; nosodīt arī Irānas uzbrukumus Izraēlai; pastiprināt diplomātiskos centienus daudzpusējos forumos un censties panākt ciešāku sadarbību ar ES partneriem reģionā, lai veicinātu situācijas deeskalāciju, atjaunošanu, jēgpilnu dialogu un ilgtspējīgu reģionālo stabilitāti saskaņ</w:t>
            </w:r>
            <w:r w:rsidRPr="00633A2A">
              <w:t xml:space="preserve">ā ar starptautiskajām tiesībām un ANO principiem; apsvērt Libānas valsts struktūru stiprināšanu kā stabilitātes priekšnosacījumu; </w:t>
            </w:r>
            <w:r w:rsidRPr="00633A2A">
              <w:rPr>
                <w:b/>
                <w:i/>
              </w:rPr>
              <w:t>aicināt visas puses daudzpusējos satvaros iesaistīties īstos diplomātiskos centienos, kuru mērķis būtu deeskalācija, atjaunošana un ilgtspējīgas reģionālās drošības arhitektūras veicināšana uz starptautisko tiesību un savstarpējas cieņas pamata; uzsvērt, ka ilgtermiņa stabilitāti Tuvajos Austrumos nevar panākt ar militāriem spaidiem, bet ir vajadzīgs iekļaujošs dialogs un tiesību</w:t>
            </w:r>
            <w:r w:rsidRPr="00633A2A">
              <w:rPr>
                <w:b/>
                <w:i/>
              </w:rPr>
              <w:t xml:space="preserve"> normu ievērošana;</w:t>
            </w:r>
          </w:p>
        </w:tc>
      </w:tr>
    </w:tbl>
    <w:p w14:paraId="11A3B256" w14:textId="77777777" w:rsidR="007B2D14" w:rsidRPr="00633A2A" w:rsidRDefault="00C22E98">
      <w:pPr>
        <w:pStyle w:val="AmOrLang"/>
      </w:pPr>
      <w:r w:rsidRPr="00633A2A">
        <w:lastRenderedPageBreak/>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4FFD5386"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447A240E"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53</w:t>
      </w:r>
      <w:r w:rsidRPr="00633A2A">
        <w:rPr>
          <w:rStyle w:val="HideTWBExt"/>
        </w:rPr>
        <w:t>&lt;/NumAm&gt;</w:t>
      </w:r>
    </w:p>
    <w:p w14:paraId="1CC607E7"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53</w:t>
      </w:r>
      <w:r w:rsidRPr="00633A2A">
        <w:rPr>
          <w:rStyle w:val="HideTWBExt"/>
        </w:rPr>
        <w:t>&lt;/NumAm&gt;</w:t>
      </w:r>
    </w:p>
    <w:p w14:paraId="7429E216"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Hanna </w:t>
      </w:r>
      <w:proofErr w:type="spellStart"/>
      <w:r w:rsidRPr="00633A2A">
        <w:t>Gedin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rPr>
          <w:rStyle w:val="HideTWBExt"/>
          <w:b w:val="0"/>
        </w:rPr>
        <w:t>&lt;/Members&gt;</w:t>
      </w:r>
    </w:p>
    <w:p w14:paraId="05D3568A"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17AB9905" w14:textId="77777777" w:rsidR="007B2D14" w:rsidRPr="00633A2A" w:rsidRDefault="00C22E98">
      <w:pPr>
        <w:pStyle w:val="NormalBold"/>
      </w:pPr>
      <w:r w:rsidRPr="00633A2A">
        <w:rPr>
          <w:rStyle w:val="HideTWBExt"/>
          <w:b w:val="0"/>
        </w:rPr>
        <w:t>&lt;/By&gt;&lt;/RepeatBlock-By&gt;</w:t>
      </w:r>
    </w:p>
    <w:p w14:paraId="2D1A00BA"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599AA3FB"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1C91A7CE"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1ADF5897"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055648AA"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5A2E50E3"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aaa</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633A2A" w:rsidRDefault="007B2D14"/>
        </w:tc>
      </w:tr>
      <w:tr w:rsidR="00111197" w:rsidRPr="00633A2A" w14:paraId="2475C4FB" w14:textId="77777777">
        <w:trPr>
          <w:trHeight w:val="240"/>
          <w:jc w:val="center"/>
        </w:trPr>
        <w:tc>
          <w:tcPr>
            <w:tcW w:w="4876" w:type="dxa"/>
            <w:tcBorders>
              <w:top w:val="nil"/>
              <w:left w:val="nil"/>
              <w:bottom w:val="nil"/>
              <w:right w:val="nil"/>
            </w:tcBorders>
          </w:tcPr>
          <w:p w14:paraId="1CD59A04"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49823D48" w14:textId="77777777" w:rsidR="007B2D14" w:rsidRPr="00633A2A" w:rsidRDefault="00C22E98">
            <w:pPr>
              <w:pStyle w:val="AmColumnHeading"/>
            </w:pPr>
            <w:r w:rsidRPr="00633A2A">
              <w:t>Grozījums</w:t>
            </w:r>
          </w:p>
        </w:tc>
      </w:tr>
      <w:tr w:rsidR="00111197" w:rsidRPr="00633A2A" w14:paraId="1DE8EEE3" w14:textId="77777777">
        <w:trPr>
          <w:jc w:val="center"/>
        </w:trPr>
        <w:tc>
          <w:tcPr>
            <w:tcW w:w="4876" w:type="dxa"/>
            <w:tcBorders>
              <w:top w:val="nil"/>
              <w:left w:val="nil"/>
              <w:bottom w:val="nil"/>
              <w:right w:val="nil"/>
            </w:tcBorders>
          </w:tcPr>
          <w:p w14:paraId="55129225" w14:textId="77777777" w:rsidR="007B2D14" w:rsidRPr="00633A2A" w:rsidRDefault="007B2D14">
            <w:pPr>
              <w:pStyle w:val="Normal6a"/>
            </w:pPr>
          </w:p>
        </w:tc>
        <w:tc>
          <w:tcPr>
            <w:tcW w:w="4876" w:type="dxa"/>
            <w:tcBorders>
              <w:top w:val="nil"/>
              <w:left w:val="nil"/>
              <w:bottom w:val="nil"/>
              <w:right w:val="nil"/>
            </w:tcBorders>
          </w:tcPr>
          <w:p w14:paraId="447D81CA" w14:textId="4A5473B4" w:rsidR="007B2D14" w:rsidRPr="00633A2A" w:rsidRDefault="00C22E98">
            <w:pPr>
              <w:pStyle w:val="Normal6a"/>
            </w:pPr>
            <w:r w:rsidRPr="00633A2A">
              <w:rPr>
                <w:b/>
                <w:i/>
              </w:rPr>
              <w:t>(</w:t>
            </w:r>
            <w:proofErr w:type="spellStart"/>
            <w:r w:rsidRPr="00633A2A">
              <w:rPr>
                <w:b/>
                <w:i/>
              </w:rPr>
              <w:t>aaa</w:t>
            </w:r>
            <w:proofErr w:type="spellEnd"/>
            <w:r w:rsidRPr="00633A2A">
              <w:rPr>
                <w:b/>
                <w:i/>
              </w:rPr>
              <w:t>)</w:t>
            </w:r>
            <w:r w:rsidRPr="00633A2A">
              <w:tab/>
            </w:r>
            <w:r w:rsidRPr="00633A2A">
              <w:rPr>
                <w:b/>
                <w:i/>
              </w:rPr>
              <w:t xml:space="preserve">stingri nosodīt uzbrukumus civiliem objektiem, tostarp skolām un dzīvojamiem rajoniem, kuru dēļ ir gājuši bojā bērni un kuri var būt nopietni starptautisko humanitāro tiesību pārkāpumi; atgādināt, ka </w:t>
            </w:r>
            <w:r w:rsidRPr="00633A2A">
              <w:rPr>
                <w:b/>
                <w:i/>
              </w:rPr>
              <w:t>aizliegums vērsties pret civilajiem objektiem ir viens no starptautisko humanitāro tiesību pamatprincipiem, turklāt atgādināt, ka bērniem ir tiesības uz īpašu aizsardzību saskaņā ar starptautiskajām tiesībām, un aicināt pilnībā saukt pie atbildības par visiem pārkāpumiem, kas pret viņiem izdarīti;</w:t>
            </w:r>
          </w:p>
        </w:tc>
      </w:tr>
    </w:tbl>
    <w:p w14:paraId="0C213F67"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728A0A16"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34B1EC9F"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54</w:t>
      </w:r>
      <w:r w:rsidRPr="00633A2A">
        <w:rPr>
          <w:rStyle w:val="HideTWBExt"/>
        </w:rPr>
        <w:t>&lt;/NumAm&gt;</w:t>
      </w:r>
    </w:p>
    <w:p w14:paraId="28CF68B4"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54</w:t>
      </w:r>
      <w:r w:rsidRPr="00633A2A">
        <w:rPr>
          <w:rStyle w:val="HideTWBExt"/>
        </w:rPr>
        <w:t>&lt;/NumAm&gt;</w:t>
      </w:r>
    </w:p>
    <w:p w14:paraId="37F08C2B"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w:t>
      </w:r>
      <w:proofErr w:type="spellStart"/>
      <w:r w:rsidRPr="00633A2A">
        <w:t>Ilaria</w:t>
      </w:r>
      <w:proofErr w:type="spellEnd"/>
      <w:r w:rsidRPr="00633A2A">
        <w:t xml:space="preserve"> Salis,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rPr>
          <w:rStyle w:val="HideTWBExt"/>
          <w:b w:val="0"/>
        </w:rPr>
        <w:t>&lt;/Members&gt;</w:t>
      </w:r>
    </w:p>
    <w:p w14:paraId="223E321A"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4714D92D" w14:textId="77777777" w:rsidR="007B2D14" w:rsidRPr="00633A2A" w:rsidRDefault="00C22E98">
      <w:pPr>
        <w:pStyle w:val="NormalBold"/>
      </w:pPr>
      <w:r w:rsidRPr="00633A2A">
        <w:rPr>
          <w:rStyle w:val="HideTWBExt"/>
          <w:b w:val="0"/>
        </w:rPr>
        <w:t>&lt;/By&gt;&lt;/RepeatBlock-By&gt;</w:t>
      </w:r>
    </w:p>
    <w:p w14:paraId="05DC6300"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72CEADB2"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7DEA766D"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26CE420A"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51C838A6"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093208EE"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w:t>
      </w:r>
      <w:proofErr w:type="spellEnd"/>
      <w:r w:rsidRPr="00633A2A">
        <w:t> apakšpunkts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633A2A" w:rsidRDefault="007B2D14"/>
        </w:tc>
      </w:tr>
      <w:tr w:rsidR="00111197" w:rsidRPr="00633A2A" w14:paraId="170DC7C5" w14:textId="77777777">
        <w:trPr>
          <w:trHeight w:val="240"/>
          <w:jc w:val="center"/>
        </w:trPr>
        <w:tc>
          <w:tcPr>
            <w:tcW w:w="4876" w:type="dxa"/>
            <w:tcBorders>
              <w:top w:val="nil"/>
              <w:left w:val="nil"/>
              <w:bottom w:val="nil"/>
              <w:right w:val="nil"/>
            </w:tcBorders>
          </w:tcPr>
          <w:p w14:paraId="3D28F562"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675A8784" w14:textId="77777777" w:rsidR="007B2D14" w:rsidRPr="00633A2A" w:rsidRDefault="00C22E98">
            <w:pPr>
              <w:pStyle w:val="AmColumnHeading"/>
            </w:pPr>
            <w:r w:rsidRPr="00633A2A">
              <w:t>Grozījums</w:t>
            </w:r>
          </w:p>
        </w:tc>
      </w:tr>
      <w:tr w:rsidR="00111197" w:rsidRPr="00633A2A" w14:paraId="0B11FC90" w14:textId="77777777">
        <w:trPr>
          <w:jc w:val="center"/>
        </w:trPr>
        <w:tc>
          <w:tcPr>
            <w:tcW w:w="4876" w:type="dxa"/>
            <w:tcBorders>
              <w:top w:val="nil"/>
              <w:left w:val="nil"/>
              <w:bottom w:val="nil"/>
              <w:right w:val="nil"/>
            </w:tcBorders>
          </w:tcPr>
          <w:p w14:paraId="06B58ADD" w14:textId="77777777" w:rsidR="007B2D14" w:rsidRPr="00633A2A" w:rsidRDefault="00C22E98">
            <w:pPr>
              <w:pStyle w:val="Normal6a"/>
            </w:pPr>
            <w:r w:rsidRPr="00633A2A">
              <w:t>(</w:t>
            </w:r>
            <w:proofErr w:type="spellStart"/>
            <w:r w:rsidRPr="00633A2A">
              <w:t>ab</w:t>
            </w:r>
            <w:proofErr w:type="spellEnd"/>
            <w:r w:rsidRPr="00633A2A">
              <w:t>)</w:t>
            </w:r>
            <w:r w:rsidRPr="00633A2A">
              <w:tab/>
              <w:t xml:space="preserve">atzīmēt ANO DP 2025. gada 17. novembra Rezolūciju Nr. 2803 par visaptverošu plānu Gazas konflikta izbeigšanai kā soli ceļā uz </w:t>
            </w:r>
            <w:r w:rsidRPr="00633A2A">
              <w:t>intensīvāku dialogu un uzticības veidošanu starp visām iesaistītajām pusēm, kā arī kā ticamu ceļu uz divu valstu risinājumu; uzsvērt, cik svarīgi ir turpināt pētīt sinerģijas un sadarbību starp jebkādiem jauniem mehānismiem un esošajām starptautiskajām miera un drošības struktūrām saskaņā ar ANO Statūtiem; aktīvi sadarboties ar dalībvalstīm, lai panāktu pastāvīgu pamieru, kas tiek efektīvi īstenots un ievērots, un ievērots, un divu valstu risinājuma pilnīgu īstenošanu; nosodīt visus starptautisko humanitāro</w:t>
            </w:r>
            <w:r w:rsidRPr="00633A2A">
              <w:t xml:space="preserve"> tiesību pārkāpumus, tostarp kara noziegumus;</w:t>
            </w:r>
          </w:p>
        </w:tc>
        <w:tc>
          <w:tcPr>
            <w:tcW w:w="4876" w:type="dxa"/>
            <w:tcBorders>
              <w:top w:val="nil"/>
              <w:left w:val="nil"/>
              <w:bottom w:val="nil"/>
              <w:right w:val="nil"/>
            </w:tcBorders>
          </w:tcPr>
          <w:p w14:paraId="7D9CFFE5" w14:textId="4F33B053" w:rsidR="007B2D14" w:rsidRPr="00633A2A" w:rsidRDefault="00C22E98">
            <w:pPr>
              <w:pStyle w:val="Normal6a"/>
            </w:pPr>
            <w:r w:rsidRPr="00633A2A">
              <w:t>(</w:t>
            </w:r>
            <w:proofErr w:type="spellStart"/>
            <w:r w:rsidRPr="00633A2A">
              <w:t>ab</w:t>
            </w:r>
            <w:proofErr w:type="spellEnd"/>
            <w:r w:rsidRPr="00633A2A">
              <w:t>)</w:t>
            </w:r>
            <w:r w:rsidRPr="00633A2A">
              <w:tab/>
              <w:t>atzīmēt ANO DP 2025. gada 17. novembra Rezolūciju Nr. 2803 par visaptverošu plānu Gazas konflikta izbeigšanai kā soli ceļā uz intensīvāku dialogu un uzticības veidošanu starp visām iesaistītajām pusēm, kā arī kā ticamu ceļu uz divu valstu risinājumu; uzsvērt, cik svarīgi ir turpināt pētīt sinerģijas un sadarbību starp jebkādiem jauniem mehānismiem un esošajām starptautiskajām miera un drošības struktūrām saskaņā ar ANO Statūtiem; aktīvi sadarboties ar dalībvalstīm, lai panāktu pastāvīgu pamieru, kas tie</w:t>
            </w:r>
            <w:r w:rsidRPr="00633A2A">
              <w:t xml:space="preserve">k efektīvi īstenots un ievērots, un ievērots, un divu valstu risinājuma pilnīgu īstenošanu; nosodīt visus starptautisko humanitāro tiesību pārkāpumus, tostarp </w:t>
            </w:r>
            <w:r w:rsidRPr="00633A2A">
              <w:rPr>
                <w:b/>
                <w:i/>
              </w:rPr>
              <w:t>Izraēlas pastrādātos</w:t>
            </w:r>
            <w:r w:rsidRPr="00633A2A">
              <w:t xml:space="preserve"> kara noziegumus; </w:t>
            </w:r>
            <w:r w:rsidRPr="00633A2A">
              <w:rPr>
                <w:b/>
                <w:i/>
              </w:rPr>
              <w:t>uzskatīt, ka Izraēla tagad ir ļoti skaidri pierādījusi, ka tā pārkāpj vairākus noteikumus un pienākumus, ko paredz starptautiskās tiesības, un, klaji neievērojot Starptautiskās Tiesas rīkojumus, ir skaidri pieļāvusi genocīda noziegumu;</w:t>
            </w:r>
          </w:p>
        </w:tc>
      </w:tr>
    </w:tbl>
    <w:p w14:paraId="4C12EA44"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0CB21743"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27330FAD"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55</w:t>
      </w:r>
      <w:r w:rsidRPr="00633A2A">
        <w:rPr>
          <w:rStyle w:val="HideTWBExt"/>
        </w:rPr>
        <w:t>&lt;/NumAm&gt;</w:t>
      </w:r>
    </w:p>
    <w:p w14:paraId="6CED2B5F"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55</w:t>
      </w:r>
      <w:r w:rsidRPr="00633A2A">
        <w:rPr>
          <w:rStyle w:val="HideTWBExt"/>
        </w:rPr>
        <w:t>&lt;/NumAm&gt;</w:t>
      </w:r>
    </w:p>
    <w:p w14:paraId="61A5DF4F"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Danilo </w:t>
      </w:r>
      <w:proofErr w:type="spellStart"/>
      <w:r w:rsidRPr="00633A2A">
        <w:t>Della</w:t>
      </w:r>
      <w:proofErr w:type="spellEnd"/>
      <w:r w:rsidRPr="00633A2A">
        <w:t xml:space="preserve"> Valle, Hanna </w:t>
      </w:r>
      <w:proofErr w:type="spellStart"/>
      <w:r w:rsidRPr="00633A2A">
        <w:t>Gedin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Estrella</w:t>
      </w:r>
      <w:proofErr w:type="spellEnd"/>
      <w:r w:rsidRPr="00633A2A">
        <w:t xml:space="preserve"> </w:t>
      </w:r>
      <w:proofErr w:type="spellStart"/>
      <w:r w:rsidRPr="00633A2A">
        <w:t>Galán</w:t>
      </w:r>
      <w:proofErr w:type="spellEnd"/>
      <w:r w:rsidRPr="00633A2A">
        <w:t xml:space="preserve">,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rPr>
          <w:rStyle w:val="HideTWBExt"/>
          <w:b w:val="0"/>
        </w:rPr>
        <w:t>&lt;/Members&gt;</w:t>
      </w:r>
    </w:p>
    <w:p w14:paraId="3374C705"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2203E52F" w14:textId="77777777" w:rsidR="007B2D14" w:rsidRPr="00633A2A" w:rsidRDefault="00C22E98">
      <w:pPr>
        <w:pStyle w:val="NormalBold"/>
      </w:pPr>
      <w:r w:rsidRPr="00633A2A">
        <w:rPr>
          <w:rStyle w:val="HideTWBExt"/>
          <w:b w:val="0"/>
        </w:rPr>
        <w:t>&lt;/By&gt;&lt;/RepeatBlock-By&gt;</w:t>
      </w:r>
    </w:p>
    <w:p w14:paraId="0A7BF1CD"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4FF80204"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7872244C"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4DE77770"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43DDD908" w14:textId="77777777" w:rsidR="007B2D14" w:rsidRPr="00633A2A" w:rsidRDefault="00C22E98">
      <w:pPr>
        <w:pStyle w:val="NormalBold"/>
      </w:pPr>
      <w:r w:rsidRPr="00633A2A">
        <w:rPr>
          <w:rStyle w:val="HideTWBExt"/>
        </w:rPr>
        <w:t>&lt;DocAmend&gt;</w:t>
      </w:r>
      <w:r w:rsidRPr="00633A2A">
        <w:t xml:space="preserve">Rezolūcijas </w:t>
      </w:r>
      <w:r w:rsidRPr="00633A2A">
        <w:t>priekšlikums</w:t>
      </w:r>
      <w:r w:rsidRPr="00633A2A">
        <w:rPr>
          <w:rStyle w:val="HideTWBExt"/>
        </w:rPr>
        <w:t>&lt;/DocAmend&gt;</w:t>
      </w:r>
    </w:p>
    <w:p w14:paraId="30DBDD7A"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aba</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633A2A" w:rsidRDefault="007B2D14"/>
        </w:tc>
      </w:tr>
      <w:tr w:rsidR="00111197" w:rsidRPr="00633A2A" w14:paraId="62C15129" w14:textId="77777777">
        <w:trPr>
          <w:trHeight w:val="240"/>
          <w:jc w:val="center"/>
        </w:trPr>
        <w:tc>
          <w:tcPr>
            <w:tcW w:w="4876" w:type="dxa"/>
            <w:tcBorders>
              <w:top w:val="nil"/>
              <w:left w:val="nil"/>
              <w:bottom w:val="nil"/>
              <w:right w:val="nil"/>
            </w:tcBorders>
          </w:tcPr>
          <w:p w14:paraId="5B4500C6"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013B809A" w14:textId="77777777" w:rsidR="007B2D14" w:rsidRPr="00633A2A" w:rsidRDefault="00C22E98">
            <w:pPr>
              <w:pStyle w:val="AmColumnHeading"/>
            </w:pPr>
            <w:r w:rsidRPr="00633A2A">
              <w:t>Grozījums</w:t>
            </w:r>
          </w:p>
        </w:tc>
      </w:tr>
      <w:tr w:rsidR="00111197" w:rsidRPr="00633A2A" w14:paraId="603C8748" w14:textId="77777777">
        <w:trPr>
          <w:jc w:val="center"/>
        </w:trPr>
        <w:tc>
          <w:tcPr>
            <w:tcW w:w="4876" w:type="dxa"/>
            <w:tcBorders>
              <w:top w:val="nil"/>
              <w:left w:val="nil"/>
              <w:bottom w:val="nil"/>
              <w:right w:val="nil"/>
            </w:tcBorders>
          </w:tcPr>
          <w:p w14:paraId="2D537B19" w14:textId="77777777" w:rsidR="007B2D14" w:rsidRPr="00633A2A" w:rsidRDefault="007B2D14">
            <w:pPr>
              <w:pStyle w:val="Normal6a"/>
            </w:pPr>
          </w:p>
        </w:tc>
        <w:tc>
          <w:tcPr>
            <w:tcW w:w="4876" w:type="dxa"/>
            <w:tcBorders>
              <w:top w:val="nil"/>
              <w:left w:val="nil"/>
              <w:bottom w:val="nil"/>
              <w:right w:val="nil"/>
            </w:tcBorders>
          </w:tcPr>
          <w:p w14:paraId="49954796" w14:textId="71A0E8EC" w:rsidR="007B2D14" w:rsidRPr="00633A2A" w:rsidRDefault="00C22E98">
            <w:pPr>
              <w:pStyle w:val="Normal6a"/>
              <w:rPr>
                <w:b/>
                <w:i/>
              </w:rPr>
            </w:pPr>
            <w:r w:rsidRPr="00633A2A">
              <w:rPr>
                <w:b/>
                <w:i/>
              </w:rPr>
              <w:t>(</w:t>
            </w:r>
            <w:proofErr w:type="spellStart"/>
            <w:r w:rsidRPr="00633A2A">
              <w:rPr>
                <w:b/>
                <w:i/>
              </w:rPr>
              <w:t>aba</w:t>
            </w:r>
            <w:proofErr w:type="spellEnd"/>
            <w:r w:rsidRPr="00633A2A">
              <w:rPr>
                <w:b/>
                <w:i/>
              </w:rPr>
              <w:t>)</w:t>
            </w:r>
            <w:r w:rsidRPr="00633A2A">
              <w:tab/>
            </w:r>
            <w:r w:rsidRPr="00633A2A">
              <w:rPr>
                <w:b/>
                <w:i/>
              </w:rPr>
              <w:t xml:space="preserve">nosodīt vēl nepieredzēto civiliedzīvotāju nogalināšanas un ievainošanas līmeni, iedzīvotāju masveida pārvietošanu un to, ka </w:t>
            </w:r>
            <w:r w:rsidRPr="00633A2A">
              <w:rPr>
                <w:b/>
                <w:i/>
              </w:rPr>
              <w:t>Izraēla Gazā sistemātiski iznīcina slimnīcas un medicīnas iestādes; turpināt nosodīt Izraēlas īstenoto humānās palīdzības blokādi, ko varētu uzskatīt par nobadināšanu kā kara metodi; nosodīt Izraēlā ierosināto likumu par nāvessodu, kas vērsts pret palestīniešiem; uzskatīt, ka Izraēla tagad ir ļoti skaidri pierādījusi, ka tā pārkāpj vairākus noteikumus un pienākumus, ko paredz starptautiskās tiesības un ES un Izraēlas asociācijas nolīgums</w:t>
            </w:r>
            <w:r w:rsidRPr="00633A2A">
              <w:rPr>
                <w:b/>
                <w:i/>
                <w:vertAlign w:val="superscript"/>
              </w:rPr>
              <w:t>1a</w:t>
            </w:r>
            <w:r w:rsidRPr="00633A2A">
              <w:rPr>
                <w:b/>
                <w:i/>
              </w:rPr>
              <w:t>, un, neievērojot Starptautiskās Tiesas rīkojumus, ir pieļāvusi genoc</w:t>
            </w:r>
            <w:r w:rsidRPr="00633A2A">
              <w:rPr>
                <w:b/>
                <w:i/>
              </w:rPr>
              <w:t>īda noziegumu; tāpēc apturēt ES un Izraēlas asociācijas nolīgumu;</w:t>
            </w:r>
          </w:p>
          <w:p w14:paraId="724745A6" w14:textId="77777777" w:rsidR="00A014B5" w:rsidRPr="00633A2A" w:rsidRDefault="00A014B5">
            <w:pPr>
              <w:pStyle w:val="Normal6a"/>
              <w:rPr>
                <w:b/>
                <w:i/>
              </w:rPr>
            </w:pPr>
          </w:p>
          <w:p w14:paraId="263444B2" w14:textId="77777777" w:rsidR="00A014B5" w:rsidRPr="00633A2A" w:rsidRDefault="00C22E98">
            <w:pPr>
              <w:pStyle w:val="Normal6a"/>
              <w:rPr>
                <w:b/>
                <w:i/>
              </w:rPr>
            </w:pPr>
            <w:r w:rsidRPr="00633A2A">
              <w:rPr>
                <w:b/>
                <w:i/>
              </w:rPr>
              <w:t>______________</w:t>
            </w:r>
          </w:p>
          <w:p w14:paraId="76A62DEB" w14:textId="4A61F048" w:rsidR="00A014B5" w:rsidRPr="00633A2A" w:rsidRDefault="00C22E98">
            <w:pPr>
              <w:pStyle w:val="Normal6a"/>
              <w:rPr>
                <w:b/>
                <w:bCs/>
                <w:i/>
                <w:iCs/>
              </w:rPr>
            </w:pPr>
            <w:r w:rsidRPr="00633A2A">
              <w:rPr>
                <w:b/>
                <w:i/>
                <w:vertAlign w:val="superscript"/>
              </w:rPr>
              <w:t>1a</w:t>
            </w:r>
            <w:r w:rsidRPr="00633A2A">
              <w:rPr>
                <w:b/>
                <w:i/>
              </w:rPr>
              <w:t xml:space="preserve"> Eiropas un Vidusjūras valstu nolīgums, ar ko izveido apvienību starp Eiropas Kopienu un tās dalībvalstīm, no vienas puses, un Izraēlas Valsti, no otras puses (OV L 147, 21.6.2000., 3. lpp., ELI: http://data.europa.eu/eli/agree_internatio</w:t>
            </w:r>
            <w:r w:rsidRPr="00633A2A">
              <w:rPr>
                <w:b/>
                <w:i/>
              </w:rPr>
              <w:lastRenderedPageBreak/>
              <w:t>n/2000/384/oj).</w:t>
            </w:r>
          </w:p>
        </w:tc>
      </w:tr>
    </w:tbl>
    <w:p w14:paraId="0D1EB930" w14:textId="77777777" w:rsidR="007B2D14" w:rsidRPr="00633A2A" w:rsidRDefault="00C22E98">
      <w:pPr>
        <w:pStyle w:val="AmOrLang"/>
      </w:pPr>
      <w:r w:rsidRPr="00633A2A">
        <w:lastRenderedPageBreak/>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6EB32CB8"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6AC77737"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56</w:t>
      </w:r>
      <w:r w:rsidRPr="00633A2A">
        <w:rPr>
          <w:rStyle w:val="HideTWBExt"/>
        </w:rPr>
        <w:t>&lt;/NumAm&gt;</w:t>
      </w:r>
    </w:p>
    <w:p w14:paraId="01357A3C"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56</w:t>
      </w:r>
      <w:r w:rsidRPr="00633A2A">
        <w:rPr>
          <w:rStyle w:val="HideTWBExt"/>
        </w:rPr>
        <w:t>&lt;/NumAm&gt;</w:t>
      </w:r>
    </w:p>
    <w:p w14:paraId="7B9F1002"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Hanna </w:t>
      </w:r>
      <w:proofErr w:type="spellStart"/>
      <w:r w:rsidRPr="00633A2A">
        <w:t>Gedin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Estrella</w:t>
      </w:r>
      <w:proofErr w:type="spellEnd"/>
      <w:r w:rsidRPr="00633A2A">
        <w:t xml:space="preserve"> </w:t>
      </w:r>
      <w:proofErr w:type="spellStart"/>
      <w:r w:rsidRPr="00633A2A">
        <w:t>Galán</w:t>
      </w:r>
      <w:proofErr w:type="spellEnd"/>
      <w:r w:rsidRPr="00633A2A">
        <w:t xml:space="preserve">, </w:t>
      </w:r>
      <w:proofErr w:type="spellStart"/>
      <w:r w:rsidRPr="00633A2A">
        <w:t>João</w:t>
      </w:r>
      <w:proofErr w:type="spellEnd"/>
      <w:r w:rsidRPr="00633A2A">
        <w:t xml:space="preserve"> </w:t>
      </w:r>
      <w:proofErr w:type="spellStart"/>
      <w:r w:rsidRPr="00633A2A">
        <w:t>Oliveira</w:t>
      </w:r>
      <w:proofErr w:type="spellEnd"/>
      <w:r w:rsidRPr="00633A2A">
        <w:t xml:space="preserve">,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t xml:space="preserve">, Danilo </w:t>
      </w:r>
      <w:proofErr w:type="spellStart"/>
      <w:r w:rsidRPr="00633A2A">
        <w:t>Della</w:t>
      </w:r>
      <w:proofErr w:type="spellEnd"/>
      <w:r w:rsidRPr="00633A2A">
        <w:t xml:space="preserve"> Valle</w:t>
      </w:r>
      <w:r w:rsidRPr="00633A2A">
        <w:rPr>
          <w:rStyle w:val="HideTWBExt"/>
          <w:b w:val="0"/>
        </w:rPr>
        <w:t>&lt;/Members&gt;</w:t>
      </w:r>
    </w:p>
    <w:p w14:paraId="2036101F"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551529C9" w14:textId="77777777" w:rsidR="007B2D14" w:rsidRPr="00633A2A" w:rsidRDefault="00C22E98">
      <w:pPr>
        <w:pStyle w:val="NormalBold"/>
      </w:pPr>
      <w:r w:rsidRPr="00633A2A">
        <w:rPr>
          <w:rStyle w:val="HideTWBExt"/>
          <w:b w:val="0"/>
        </w:rPr>
        <w:t>&lt;/By&gt;&lt;/RepeatBlock-By&gt;</w:t>
      </w:r>
    </w:p>
    <w:p w14:paraId="27F0EA86"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6061DCBC"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255E1222"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24EA632B"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4EEB20AB"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2D5114DE"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abb</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633A2A" w:rsidRDefault="007B2D14"/>
        </w:tc>
      </w:tr>
      <w:tr w:rsidR="00111197" w:rsidRPr="00633A2A" w14:paraId="408BE01C" w14:textId="77777777">
        <w:trPr>
          <w:trHeight w:val="240"/>
          <w:jc w:val="center"/>
        </w:trPr>
        <w:tc>
          <w:tcPr>
            <w:tcW w:w="4876" w:type="dxa"/>
            <w:tcBorders>
              <w:top w:val="nil"/>
              <w:left w:val="nil"/>
              <w:bottom w:val="nil"/>
              <w:right w:val="nil"/>
            </w:tcBorders>
          </w:tcPr>
          <w:p w14:paraId="22879F9E"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48034571" w14:textId="77777777" w:rsidR="007B2D14" w:rsidRPr="00633A2A" w:rsidRDefault="00C22E98">
            <w:pPr>
              <w:pStyle w:val="AmColumnHeading"/>
            </w:pPr>
            <w:r w:rsidRPr="00633A2A">
              <w:t>Grozījums</w:t>
            </w:r>
          </w:p>
        </w:tc>
      </w:tr>
      <w:tr w:rsidR="00111197" w:rsidRPr="00633A2A" w14:paraId="33CC9DE2" w14:textId="77777777">
        <w:trPr>
          <w:jc w:val="center"/>
        </w:trPr>
        <w:tc>
          <w:tcPr>
            <w:tcW w:w="4876" w:type="dxa"/>
            <w:tcBorders>
              <w:top w:val="nil"/>
              <w:left w:val="nil"/>
              <w:bottom w:val="nil"/>
              <w:right w:val="nil"/>
            </w:tcBorders>
          </w:tcPr>
          <w:p w14:paraId="512166C4" w14:textId="77777777" w:rsidR="007B2D14" w:rsidRPr="00633A2A" w:rsidRDefault="007B2D14">
            <w:pPr>
              <w:pStyle w:val="Normal6a"/>
            </w:pPr>
          </w:p>
        </w:tc>
        <w:tc>
          <w:tcPr>
            <w:tcW w:w="4876" w:type="dxa"/>
            <w:tcBorders>
              <w:top w:val="nil"/>
              <w:left w:val="nil"/>
              <w:bottom w:val="nil"/>
              <w:right w:val="nil"/>
            </w:tcBorders>
          </w:tcPr>
          <w:p w14:paraId="097049D1" w14:textId="41B37697" w:rsidR="007B2D14" w:rsidRPr="00633A2A" w:rsidRDefault="00C22E98">
            <w:pPr>
              <w:pStyle w:val="Normal6a"/>
            </w:pPr>
            <w:r w:rsidRPr="00633A2A">
              <w:rPr>
                <w:b/>
                <w:i/>
              </w:rPr>
              <w:t>(</w:t>
            </w:r>
            <w:proofErr w:type="spellStart"/>
            <w:r w:rsidRPr="00633A2A">
              <w:rPr>
                <w:b/>
                <w:i/>
              </w:rPr>
              <w:t>abb</w:t>
            </w:r>
            <w:proofErr w:type="spellEnd"/>
            <w:r w:rsidRPr="00633A2A">
              <w:rPr>
                <w:b/>
                <w:i/>
              </w:rPr>
              <w:t>)</w:t>
            </w:r>
            <w:r w:rsidRPr="00633A2A">
              <w:tab/>
            </w:r>
            <w:r w:rsidRPr="00633A2A">
              <w:rPr>
                <w:b/>
                <w:i/>
              </w:rPr>
              <w:t xml:space="preserve">apturēt ES un </w:t>
            </w:r>
            <w:r w:rsidRPr="00633A2A">
              <w:rPr>
                <w:b/>
                <w:i/>
              </w:rPr>
              <w:t>Izraēlas asociācijas nolīgumu un izsvērt, vai ES būtu jāsaglabā nolīgums, kas palīdz leģitimizēt un finansēt valsti, kura izdara noziegumus pret cilvēci un kara noziegumus;</w:t>
            </w:r>
          </w:p>
        </w:tc>
      </w:tr>
    </w:tbl>
    <w:p w14:paraId="4BD1C177"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48F7CE51"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65B2DC54"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57</w:t>
      </w:r>
      <w:r w:rsidRPr="00633A2A">
        <w:rPr>
          <w:rStyle w:val="HideTWBExt"/>
        </w:rPr>
        <w:t>&lt;/NumAm&gt;</w:t>
      </w:r>
    </w:p>
    <w:p w14:paraId="19BB79BB"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57</w:t>
      </w:r>
      <w:r w:rsidRPr="00633A2A">
        <w:rPr>
          <w:rStyle w:val="HideTWBExt"/>
        </w:rPr>
        <w:t>&lt;/NumAm&gt;</w:t>
      </w:r>
    </w:p>
    <w:p w14:paraId="4839AE09"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Hanna </w:t>
      </w:r>
      <w:proofErr w:type="spellStart"/>
      <w:r w:rsidRPr="00633A2A">
        <w:t>Gedin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w:t>
      </w:r>
      <w:r w:rsidRPr="00633A2A">
        <w:t xml:space="preserve">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João</w:t>
      </w:r>
      <w:proofErr w:type="spellEnd"/>
      <w:r w:rsidRPr="00633A2A">
        <w:t xml:space="preserve"> </w:t>
      </w:r>
      <w:proofErr w:type="spellStart"/>
      <w:r w:rsidRPr="00633A2A">
        <w:t>Oliveira</w:t>
      </w:r>
      <w:proofErr w:type="spellEnd"/>
      <w:r w:rsidRPr="00633A2A">
        <w:t xml:space="preserve">,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t xml:space="preserve">, Danilo </w:t>
      </w:r>
      <w:proofErr w:type="spellStart"/>
      <w:r w:rsidRPr="00633A2A">
        <w:t>Della</w:t>
      </w:r>
      <w:proofErr w:type="spellEnd"/>
      <w:r w:rsidRPr="00633A2A">
        <w:t xml:space="preserve"> Valle</w:t>
      </w:r>
      <w:r w:rsidRPr="00633A2A">
        <w:rPr>
          <w:rStyle w:val="HideTWBExt"/>
          <w:b w:val="0"/>
        </w:rPr>
        <w:t>&lt;/Members&gt;</w:t>
      </w:r>
    </w:p>
    <w:p w14:paraId="67D66476"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26D8F0DD" w14:textId="77777777" w:rsidR="007B2D14" w:rsidRPr="00633A2A" w:rsidRDefault="00C22E98">
      <w:pPr>
        <w:pStyle w:val="NormalBold"/>
      </w:pPr>
      <w:r w:rsidRPr="00633A2A">
        <w:rPr>
          <w:rStyle w:val="HideTWBExt"/>
          <w:b w:val="0"/>
        </w:rPr>
        <w:t>&lt;/By&gt;&lt;/RepeatBlock-By&gt;</w:t>
      </w:r>
    </w:p>
    <w:p w14:paraId="6B9D1AA2"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0513BC94"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613639D4"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78555F77"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7E3C562E"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6BC32FF3"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abc</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633A2A" w:rsidRDefault="007B2D14"/>
        </w:tc>
      </w:tr>
      <w:tr w:rsidR="00111197" w:rsidRPr="00633A2A" w14:paraId="5321C0EE" w14:textId="77777777">
        <w:trPr>
          <w:trHeight w:val="240"/>
          <w:jc w:val="center"/>
        </w:trPr>
        <w:tc>
          <w:tcPr>
            <w:tcW w:w="4876" w:type="dxa"/>
            <w:tcBorders>
              <w:top w:val="nil"/>
              <w:left w:val="nil"/>
              <w:bottom w:val="nil"/>
              <w:right w:val="nil"/>
            </w:tcBorders>
          </w:tcPr>
          <w:p w14:paraId="4F498736"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52D51209" w14:textId="77777777" w:rsidR="007B2D14" w:rsidRPr="00633A2A" w:rsidRDefault="00C22E98">
            <w:pPr>
              <w:pStyle w:val="AmColumnHeading"/>
            </w:pPr>
            <w:r w:rsidRPr="00633A2A">
              <w:t>Grozījums</w:t>
            </w:r>
          </w:p>
        </w:tc>
      </w:tr>
      <w:tr w:rsidR="00111197" w:rsidRPr="00633A2A" w14:paraId="27DBC77D" w14:textId="77777777">
        <w:trPr>
          <w:jc w:val="center"/>
        </w:trPr>
        <w:tc>
          <w:tcPr>
            <w:tcW w:w="4876" w:type="dxa"/>
            <w:tcBorders>
              <w:top w:val="nil"/>
              <w:left w:val="nil"/>
              <w:bottom w:val="nil"/>
              <w:right w:val="nil"/>
            </w:tcBorders>
          </w:tcPr>
          <w:p w14:paraId="50F3463F" w14:textId="77777777" w:rsidR="007B2D14" w:rsidRPr="00633A2A" w:rsidRDefault="007B2D14">
            <w:pPr>
              <w:pStyle w:val="Normal6a"/>
            </w:pPr>
          </w:p>
        </w:tc>
        <w:tc>
          <w:tcPr>
            <w:tcW w:w="4876" w:type="dxa"/>
            <w:tcBorders>
              <w:top w:val="nil"/>
              <w:left w:val="nil"/>
              <w:bottom w:val="nil"/>
              <w:right w:val="nil"/>
            </w:tcBorders>
          </w:tcPr>
          <w:p w14:paraId="7927E589" w14:textId="392488C2" w:rsidR="00090612" w:rsidRPr="00633A2A" w:rsidRDefault="00C22E98" w:rsidP="00090612">
            <w:pPr>
              <w:pStyle w:val="Normal6a"/>
              <w:rPr>
                <w:b/>
                <w:i/>
              </w:rPr>
            </w:pPr>
            <w:r w:rsidRPr="00633A2A">
              <w:rPr>
                <w:b/>
                <w:i/>
              </w:rPr>
              <w:t>(</w:t>
            </w:r>
            <w:proofErr w:type="spellStart"/>
            <w:r w:rsidRPr="00633A2A">
              <w:rPr>
                <w:b/>
                <w:i/>
              </w:rPr>
              <w:t>abc</w:t>
            </w:r>
            <w:proofErr w:type="spellEnd"/>
            <w:r w:rsidRPr="00633A2A">
              <w:rPr>
                <w:b/>
                <w:i/>
              </w:rPr>
              <w:t>)</w:t>
            </w:r>
            <w:r w:rsidRPr="00633A2A">
              <w:tab/>
            </w:r>
            <w:r w:rsidRPr="00633A2A">
              <w:rPr>
                <w:b/>
                <w:i/>
              </w:rPr>
              <w:t>aicināt apturēt visu ieroču eksportu uz Izraēlu saskaņā ar Padomes Kopējo nostāju 2008/944/KĀDP</w:t>
            </w:r>
            <w:r w:rsidRPr="00633A2A">
              <w:rPr>
                <w:b/>
                <w:i/>
                <w:vertAlign w:val="superscript"/>
              </w:rPr>
              <w:t>1a</w:t>
            </w:r>
            <w:r w:rsidRPr="00633A2A">
              <w:rPr>
                <w:b/>
                <w:i/>
              </w:rPr>
              <w:t xml:space="preserve"> un saistībām, kas izriet no I panta un III panta e) punkta Konvencijā par genocīda nepieļaujamību un sodīšanu par to, ņemot vērā, ka šādi ieroči tiek izmantoti kara noziegumos; uzsvērt, ka šāda eksporta neapturēšana nozīmē risku iesaistīties kara noziegumos un genocīdā;</w:t>
            </w:r>
          </w:p>
          <w:p w14:paraId="04519A0F" w14:textId="30E8E8AD" w:rsidR="00090612" w:rsidRPr="00633A2A" w:rsidRDefault="00C22E98" w:rsidP="00090612">
            <w:pPr>
              <w:pStyle w:val="Normal6a"/>
              <w:rPr>
                <w:b/>
                <w:i/>
              </w:rPr>
            </w:pPr>
            <w:r w:rsidRPr="00633A2A">
              <w:rPr>
                <w:b/>
                <w:i/>
              </w:rPr>
              <w:t>______________</w:t>
            </w:r>
          </w:p>
          <w:p w14:paraId="63044110" w14:textId="6AC61926" w:rsidR="00090612" w:rsidRPr="00633A2A" w:rsidRDefault="00C22E98" w:rsidP="002E02C2">
            <w:pPr>
              <w:pStyle w:val="Normal6a"/>
              <w:rPr>
                <w:b/>
                <w:i/>
              </w:rPr>
            </w:pPr>
            <w:r w:rsidRPr="00633A2A">
              <w:rPr>
                <w:b/>
                <w:i/>
                <w:vertAlign w:val="superscript"/>
              </w:rPr>
              <w:t>1a</w:t>
            </w:r>
            <w:r w:rsidRPr="00633A2A">
              <w:rPr>
                <w:b/>
                <w:i/>
              </w:rPr>
              <w:t xml:space="preserve"> Padomes Kopējā nostāja 2008/944/KĀDP (2008. gada 8. decembris), ar ko izveido kopīgus noteikumus, kas reglamentē militāru tehnoloģiju un ekipējuma eksporta kontroli (OV L 335, 13.12.2008., 99. lpp., ELI: </w:t>
            </w:r>
            <w:hyperlink r:id="rId13" w:tooltip="Nodrošina piekļuvi šim dokumentam pēc tā ELI URI." w:history="1">
              <w:r w:rsidR="00090612" w:rsidRPr="00633A2A">
                <w:rPr>
                  <w:rStyle w:val="Hyperlink"/>
                  <w:b/>
                  <w:i/>
                  <w:color w:val="auto"/>
                </w:rPr>
                <w:t>http://data.europa.eu/eli/compos/2008/944/oj</w:t>
              </w:r>
            </w:hyperlink>
            <w:r w:rsidRPr="00633A2A">
              <w:rPr>
                <w:b/>
                <w:i/>
              </w:rPr>
              <w:t>).</w:t>
            </w:r>
          </w:p>
          <w:p w14:paraId="1FDACC49" w14:textId="5E002B12" w:rsidR="00090612" w:rsidRPr="00633A2A" w:rsidRDefault="00090612">
            <w:pPr>
              <w:pStyle w:val="Normal6a"/>
            </w:pPr>
          </w:p>
        </w:tc>
      </w:tr>
    </w:tbl>
    <w:p w14:paraId="3580DE60"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2BDFEC28"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487387DB"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58</w:t>
      </w:r>
      <w:r w:rsidRPr="00633A2A">
        <w:rPr>
          <w:rStyle w:val="HideTWBExt"/>
        </w:rPr>
        <w:t>&lt;/NumAm&gt;</w:t>
      </w:r>
    </w:p>
    <w:p w14:paraId="132FC7C9"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58</w:t>
      </w:r>
      <w:r w:rsidRPr="00633A2A">
        <w:rPr>
          <w:rStyle w:val="HideTWBExt"/>
        </w:rPr>
        <w:t>&lt;/NumAm&gt;</w:t>
      </w:r>
    </w:p>
    <w:p w14:paraId="2B101AB9" w14:textId="77777777" w:rsidR="007B2D14" w:rsidRPr="00633A2A" w:rsidRDefault="00C22E98">
      <w:pPr>
        <w:pStyle w:val="NormalBold"/>
      </w:pPr>
      <w:r w:rsidRPr="00633A2A">
        <w:rPr>
          <w:rStyle w:val="HideTWBExt"/>
          <w:b w:val="0"/>
        </w:rPr>
        <w:t>&lt;RepeatBlock-By&gt;&lt;By&gt;&lt;Members&gt;</w:t>
      </w:r>
      <w:r w:rsidRPr="00633A2A">
        <w:t xml:space="preserve">Rima </w:t>
      </w:r>
      <w:proofErr w:type="spellStart"/>
      <w:r w:rsidRPr="00633A2A">
        <w:t>Hassan</w:t>
      </w:r>
      <w:proofErr w:type="spellEnd"/>
      <w:r w:rsidRPr="00633A2A">
        <w:t xml:space="preserve">, </w:t>
      </w:r>
      <w:proofErr w:type="spellStart"/>
      <w:r w:rsidRPr="00633A2A">
        <w:t>Anthony</w:t>
      </w:r>
      <w:proofErr w:type="spellEnd"/>
      <w:r w:rsidRPr="00633A2A">
        <w:t xml:space="preserve"> </w:t>
      </w:r>
      <w:proofErr w:type="spellStart"/>
      <w:r w:rsidRPr="00633A2A">
        <w:t>Smith</w:t>
      </w:r>
      <w:proofErr w:type="spellEnd"/>
      <w:r w:rsidRPr="00633A2A">
        <w:t xml:space="preserve">, Emma </w:t>
      </w:r>
      <w:proofErr w:type="spellStart"/>
      <w:r w:rsidRPr="00633A2A">
        <w:t>Fourreau</w:t>
      </w:r>
      <w:proofErr w:type="spellEnd"/>
      <w:r w:rsidRPr="00633A2A">
        <w:t xml:space="preserve">, </w:t>
      </w:r>
      <w:proofErr w:type="spellStart"/>
      <w:r w:rsidRPr="00633A2A">
        <w:t>Manon</w:t>
      </w:r>
      <w:proofErr w:type="spellEnd"/>
      <w:r w:rsidRPr="00633A2A">
        <w:t xml:space="preserve"> </w:t>
      </w:r>
      <w:proofErr w:type="spellStart"/>
      <w:r w:rsidRPr="00633A2A">
        <w:t>Aubry</w:t>
      </w:r>
      <w:proofErr w:type="spellEnd"/>
      <w:r w:rsidRPr="00633A2A">
        <w:t xml:space="preserve">, Hanna </w:t>
      </w:r>
      <w:proofErr w:type="spellStart"/>
      <w:r w:rsidRPr="00633A2A">
        <w:t>Gedin</w:t>
      </w:r>
      <w:proofErr w:type="spellEnd"/>
      <w:r w:rsidRPr="00633A2A">
        <w:t xml:space="preserv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Marc</w:t>
      </w:r>
      <w:proofErr w:type="spellEnd"/>
      <w:r w:rsidRPr="00633A2A">
        <w:t xml:space="preserve"> </w:t>
      </w:r>
      <w:proofErr w:type="spellStart"/>
      <w:r w:rsidRPr="00633A2A">
        <w:t>Botenga</w:t>
      </w:r>
      <w:proofErr w:type="spellEnd"/>
      <w:r w:rsidRPr="00633A2A">
        <w:t xml:space="preserve">, </w:t>
      </w:r>
      <w:proofErr w:type="spellStart"/>
      <w:r w:rsidRPr="00633A2A">
        <w:t>Damien</w:t>
      </w:r>
      <w:proofErr w:type="spellEnd"/>
      <w:r w:rsidRPr="00633A2A">
        <w:t xml:space="preserve"> </w:t>
      </w:r>
      <w:proofErr w:type="spellStart"/>
      <w:r w:rsidRPr="00633A2A">
        <w:t>Carême</w:t>
      </w:r>
      <w:proofErr w:type="spellEnd"/>
      <w:r w:rsidRPr="00633A2A">
        <w:t xml:space="preserve">, </w:t>
      </w:r>
      <w:proofErr w:type="spellStart"/>
      <w:r w:rsidRPr="00633A2A">
        <w:t>Leila</w:t>
      </w:r>
      <w:proofErr w:type="spellEnd"/>
      <w:r w:rsidRPr="00633A2A">
        <w:t xml:space="preserve"> </w:t>
      </w:r>
      <w:proofErr w:type="spellStart"/>
      <w:r w:rsidRPr="00633A2A">
        <w:t>Chaibi</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t xml:space="preserve">, Danilo </w:t>
      </w:r>
      <w:proofErr w:type="spellStart"/>
      <w:r w:rsidRPr="00633A2A">
        <w:t>Della</w:t>
      </w:r>
      <w:proofErr w:type="spellEnd"/>
      <w:r w:rsidRPr="00633A2A">
        <w:t xml:space="preserve"> Valle</w:t>
      </w:r>
      <w:r w:rsidRPr="00633A2A">
        <w:rPr>
          <w:rStyle w:val="HideTWBExt"/>
          <w:b w:val="0"/>
        </w:rPr>
        <w:t>&lt;/Members&gt;</w:t>
      </w:r>
    </w:p>
    <w:p w14:paraId="23DE0798"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17D62AA3" w14:textId="77777777" w:rsidR="007B2D14" w:rsidRPr="00633A2A" w:rsidRDefault="00C22E98">
      <w:pPr>
        <w:pStyle w:val="NormalBold"/>
      </w:pPr>
      <w:r w:rsidRPr="00633A2A">
        <w:rPr>
          <w:rStyle w:val="HideTWBExt"/>
          <w:b w:val="0"/>
        </w:rPr>
        <w:t>&lt;/By&gt;&lt;/RepeatBlock-By&gt;</w:t>
      </w:r>
    </w:p>
    <w:p w14:paraId="0E2E6F95"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267B5BBB"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657ADC0A"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355853EF"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1898CBAC"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38CA42C7"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abd</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633A2A" w:rsidRDefault="007B2D14"/>
        </w:tc>
      </w:tr>
      <w:tr w:rsidR="00111197" w:rsidRPr="00633A2A" w14:paraId="2BF2755D" w14:textId="77777777">
        <w:trPr>
          <w:trHeight w:val="240"/>
          <w:jc w:val="center"/>
        </w:trPr>
        <w:tc>
          <w:tcPr>
            <w:tcW w:w="4876" w:type="dxa"/>
            <w:tcBorders>
              <w:top w:val="nil"/>
              <w:left w:val="nil"/>
              <w:bottom w:val="nil"/>
              <w:right w:val="nil"/>
            </w:tcBorders>
          </w:tcPr>
          <w:p w14:paraId="196F92F8" w14:textId="77777777" w:rsidR="007B2D14" w:rsidRPr="00633A2A" w:rsidRDefault="00C22E98">
            <w:pPr>
              <w:pStyle w:val="AmColumnHeading"/>
            </w:pPr>
            <w:r w:rsidRPr="00633A2A">
              <w:t xml:space="preserve">Rezolūcijas </w:t>
            </w:r>
            <w:r w:rsidRPr="00633A2A">
              <w:t>priekšlikums</w:t>
            </w:r>
          </w:p>
        </w:tc>
        <w:tc>
          <w:tcPr>
            <w:tcW w:w="4876" w:type="dxa"/>
            <w:tcBorders>
              <w:top w:val="nil"/>
              <w:left w:val="nil"/>
              <w:bottom w:val="nil"/>
              <w:right w:val="nil"/>
            </w:tcBorders>
          </w:tcPr>
          <w:p w14:paraId="6865FEF2" w14:textId="77777777" w:rsidR="007B2D14" w:rsidRPr="00633A2A" w:rsidRDefault="00C22E98">
            <w:pPr>
              <w:pStyle w:val="AmColumnHeading"/>
            </w:pPr>
            <w:r w:rsidRPr="00633A2A">
              <w:t>Grozījums</w:t>
            </w:r>
          </w:p>
        </w:tc>
      </w:tr>
      <w:tr w:rsidR="00111197" w:rsidRPr="00633A2A" w14:paraId="5AF89605" w14:textId="77777777">
        <w:trPr>
          <w:jc w:val="center"/>
        </w:trPr>
        <w:tc>
          <w:tcPr>
            <w:tcW w:w="4876" w:type="dxa"/>
            <w:tcBorders>
              <w:top w:val="nil"/>
              <w:left w:val="nil"/>
              <w:bottom w:val="nil"/>
              <w:right w:val="nil"/>
            </w:tcBorders>
          </w:tcPr>
          <w:p w14:paraId="0F8D3666" w14:textId="77777777" w:rsidR="007B2D14" w:rsidRPr="00633A2A" w:rsidRDefault="007B2D14">
            <w:pPr>
              <w:pStyle w:val="Normal6a"/>
            </w:pPr>
          </w:p>
        </w:tc>
        <w:tc>
          <w:tcPr>
            <w:tcW w:w="4876" w:type="dxa"/>
            <w:tcBorders>
              <w:top w:val="nil"/>
              <w:left w:val="nil"/>
              <w:bottom w:val="nil"/>
              <w:right w:val="nil"/>
            </w:tcBorders>
          </w:tcPr>
          <w:p w14:paraId="376C90B7" w14:textId="5FDD3F03" w:rsidR="007B2D14" w:rsidRPr="00633A2A" w:rsidRDefault="00C22E98">
            <w:pPr>
              <w:pStyle w:val="Normal6a"/>
            </w:pPr>
            <w:r w:rsidRPr="00633A2A">
              <w:rPr>
                <w:b/>
                <w:i/>
              </w:rPr>
              <w:t>(</w:t>
            </w:r>
            <w:proofErr w:type="spellStart"/>
            <w:r w:rsidRPr="00633A2A">
              <w:rPr>
                <w:b/>
                <w:i/>
              </w:rPr>
              <w:t>abd</w:t>
            </w:r>
            <w:proofErr w:type="spellEnd"/>
            <w:r w:rsidRPr="00633A2A">
              <w:rPr>
                <w:b/>
                <w:i/>
              </w:rPr>
              <w:t>)</w:t>
            </w:r>
            <w:r w:rsidRPr="00633A2A">
              <w:tab/>
            </w:r>
            <w:r w:rsidRPr="00633A2A">
              <w:rPr>
                <w:b/>
                <w:i/>
              </w:rPr>
              <w:t>stingri nosodīt atkārtotos Izraēlas spēku uzbrukumus ANO Pagaidu spēku Libānā (UNIFIL) pozīcijām, personālam un aprīkojumam Libānas dienvidos, tostarp tiešu uguni, Izraēlas tanku ielaušanos ANO pozīcijās, kā arī vismaz piecu miera uzturētāju ievainošanu un vismaz viena miera uzturētāja nogalināšanu; atgādināt, ka pret ANO miera uzturētājiem un ANO objektiem nedrīkst vērsties nekad un ka saskaņā ar starptautiskajām tiesībām šādi uzbrukumi var būt kara noziegumi; prasīt nodrošināt pilnīgu atbildību un pi</w:t>
            </w:r>
            <w:r w:rsidRPr="00633A2A">
              <w:rPr>
                <w:b/>
                <w:i/>
              </w:rPr>
              <w:t>lnībā garantēt UNIFIL drošību un pārvietošanās brīvību;</w:t>
            </w:r>
          </w:p>
        </w:tc>
      </w:tr>
    </w:tbl>
    <w:p w14:paraId="0DA019FB"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521175B1" w14:textId="77777777" w:rsidR="007B2D14" w:rsidRPr="00633A2A" w:rsidRDefault="00C22E98">
      <w:pPr>
        <w:sectPr w:rsidR="007B2D14" w:rsidRPr="00633A2A">
          <w:pgSz w:w="11909" w:h="16834"/>
          <w:pgMar w:top="1134" w:right="1417" w:bottom="1417" w:left="1417" w:header="1134" w:footer="567" w:gutter="0"/>
          <w:cols w:space="720"/>
        </w:sectPr>
      </w:pPr>
      <w:r w:rsidRPr="00633A2A">
        <w:rPr>
          <w:rStyle w:val="HideTWBExt"/>
        </w:rPr>
        <w:t>&lt;/Amend&gt;</w:t>
      </w:r>
    </w:p>
    <w:p w14:paraId="02DCFA65" w14:textId="77777777" w:rsidR="007B2D14" w:rsidRPr="00633A2A" w:rsidRDefault="00C22E98">
      <w:pPr>
        <w:pStyle w:val="AmDateTab"/>
      </w:pPr>
      <w:r w:rsidRPr="00633A2A">
        <w:rPr>
          <w:rStyle w:val="HideTWBExt"/>
        </w:rPr>
        <w:lastRenderedPageBreak/>
        <w:t>&lt;Amend&gt;&lt;Date&gt;</w:t>
      </w:r>
      <w:r w:rsidRPr="00633A2A">
        <w:rPr>
          <w:rStyle w:val="HideTWBInt"/>
          <w:color w:val="auto"/>
        </w:rPr>
        <w:t>{12/05/2026}</w:t>
      </w:r>
      <w:r w:rsidRPr="00633A2A">
        <w:t>12.5.2026</w:t>
      </w:r>
      <w:r w:rsidRPr="00633A2A">
        <w:rPr>
          <w:rStyle w:val="HideTWBExt"/>
        </w:rPr>
        <w:t>&lt;/Date&gt;</w:t>
      </w:r>
      <w:r w:rsidRPr="00633A2A">
        <w:tab/>
      </w:r>
      <w:r w:rsidRPr="00633A2A">
        <w:rPr>
          <w:rStyle w:val="HideTWBExt"/>
        </w:rPr>
        <w:t>&lt;ANo&gt;</w:t>
      </w:r>
      <w:r w:rsidRPr="00633A2A">
        <w:t>A10-0103</w:t>
      </w:r>
      <w:r w:rsidRPr="00633A2A">
        <w:rPr>
          <w:rStyle w:val="HideTWBExt"/>
        </w:rPr>
        <w:t>&lt;/ANo&gt;</w:t>
      </w:r>
      <w:r w:rsidRPr="00633A2A">
        <w:t>/</w:t>
      </w:r>
      <w:r w:rsidRPr="00633A2A">
        <w:rPr>
          <w:rStyle w:val="HideTWBExt"/>
        </w:rPr>
        <w:t>&lt;NumAm&gt;</w:t>
      </w:r>
      <w:r w:rsidRPr="00633A2A">
        <w:t>59</w:t>
      </w:r>
      <w:r w:rsidRPr="00633A2A">
        <w:rPr>
          <w:rStyle w:val="HideTWBExt"/>
        </w:rPr>
        <w:t>&lt;/NumAm&gt;</w:t>
      </w:r>
    </w:p>
    <w:p w14:paraId="727EA82A" w14:textId="77777777" w:rsidR="007B2D14" w:rsidRPr="00633A2A" w:rsidRDefault="00C22E98">
      <w:pPr>
        <w:pStyle w:val="AmNumberTabs"/>
      </w:pPr>
      <w:r w:rsidRPr="00633A2A">
        <w:t>Grozījums Nr.</w:t>
      </w:r>
      <w:r w:rsidRPr="00633A2A">
        <w:tab/>
      </w:r>
      <w:r w:rsidRPr="00633A2A">
        <w:tab/>
      </w:r>
      <w:r w:rsidRPr="00633A2A">
        <w:rPr>
          <w:rStyle w:val="HideTWBExt"/>
        </w:rPr>
        <w:t>&lt;NumAm&gt;</w:t>
      </w:r>
      <w:r w:rsidRPr="00633A2A">
        <w:t>59</w:t>
      </w:r>
      <w:r w:rsidRPr="00633A2A">
        <w:rPr>
          <w:rStyle w:val="HideTWBExt"/>
        </w:rPr>
        <w:t>&lt;/NumAm&gt;</w:t>
      </w:r>
    </w:p>
    <w:p w14:paraId="00064B4D" w14:textId="77777777" w:rsidR="007B2D14" w:rsidRPr="00633A2A" w:rsidRDefault="00C22E98">
      <w:pPr>
        <w:pStyle w:val="NormalBold"/>
      </w:pPr>
      <w:r w:rsidRPr="00633A2A">
        <w:rPr>
          <w:rStyle w:val="HideTWBExt"/>
          <w:b w:val="0"/>
        </w:rPr>
        <w:t>&lt;RepeatBlock-By&gt;&lt;By&gt;&lt;Members&gt;</w:t>
      </w:r>
      <w:r w:rsidRPr="00633A2A">
        <w:t xml:space="preserve">Danilo </w:t>
      </w:r>
      <w:proofErr w:type="spellStart"/>
      <w:r w:rsidRPr="00633A2A">
        <w:t>Della</w:t>
      </w:r>
      <w:proofErr w:type="spellEnd"/>
      <w:r w:rsidRPr="00633A2A">
        <w:t xml:space="preserve"> Valle, Rudi </w:t>
      </w:r>
      <w:proofErr w:type="spellStart"/>
      <w:r w:rsidRPr="00633A2A">
        <w:t>Kennes</w:t>
      </w:r>
      <w:proofErr w:type="spellEnd"/>
      <w:r w:rsidRPr="00633A2A">
        <w:t xml:space="preserve">, </w:t>
      </w:r>
      <w:proofErr w:type="spellStart"/>
      <w:r w:rsidRPr="00633A2A">
        <w:t>Lynn</w:t>
      </w:r>
      <w:proofErr w:type="spellEnd"/>
      <w:r w:rsidRPr="00633A2A">
        <w:t xml:space="preserve"> </w:t>
      </w:r>
      <w:proofErr w:type="spellStart"/>
      <w:r w:rsidRPr="00633A2A">
        <w:t>Boylan</w:t>
      </w:r>
      <w:proofErr w:type="spellEnd"/>
      <w:r w:rsidRPr="00633A2A">
        <w:t xml:space="preserve">, Konstantinos </w:t>
      </w:r>
      <w:proofErr w:type="spellStart"/>
      <w:r w:rsidRPr="00633A2A">
        <w:t>Arvanitis</w:t>
      </w:r>
      <w:proofErr w:type="spellEnd"/>
      <w:r w:rsidRPr="00633A2A">
        <w:t xml:space="preserve">, </w:t>
      </w:r>
      <w:proofErr w:type="spellStart"/>
      <w:r w:rsidRPr="00633A2A">
        <w:t>Ilaria</w:t>
      </w:r>
      <w:proofErr w:type="spellEnd"/>
      <w:r w:rsidRPr="00633A2A">
        <w:t xml:space="preserve"> Salis, </w:t>
      </w:r>
      <w:proofErr w:type="spellStart"/>
      <w:r w:rsidRPr="00633A2A">
        <w:t>Marc</w:t>
      </w:r>
      <w:proofErr w:type="spellEnd"/>
      <w:r w:rsidRPr="00633A2A">
        <w:t xml:space="preserve"> </w:t>
      </w:r>
      <w:proofErr w:type="spellStart"/>
      <w:r w:rsidRPr="00633A2A">
        <w:t>Botenga</w:t>
      </w:r>
      <w:proofErr w:type="spellEnd"/>
      <w:r w:rsidRPr="00633A2A">
        <w:t xml:space="preserve">, Giorgos </w:t>
      </w:r>
      <w:proofErr w:type="spellStart"/>
      <w:r w:rsidRPr="00633A2A">
        <w:t>Georgiou</w:t>
      </w:r>
      <w:proofErr w:type="spellEnd"/>
      <w:r w:rsidRPr="00633A2A">
        <w:t xml:space="preserve">, </w:t>
      </w:r>
      <w:proofErr w:type="spellStart"/>
      <w:r w:rsidRPr="00633A2A">
        <w:t>Irene</w:t>
      </w:r>
      <w:proofErr w:type="spellEnd"/>
      <w:r w:rsidRPr="00633A2A">
        <w:t xml:space="preserve"> </w:t>
      </w:r>
      <w:proofErr w:type="spellStart"/>
      <w:r w:rsidRPr="00633A2A">
        <w:t>Montero</w:t>
      </w:r>
      <w:proofErr w:type="spellEnd"/>
      <w:r w:rsidRPr="00633A2A">
        <w:rPr>
          <w:rStyle w:val="HideTWBExt"/>
          <w:b w:val="0"/>
        </w:rPr>
        <w:t>&lt;/Members&gt;</w:t>
      </w:r>
    </w:p>
    <w:p w14:paraId="0C836CB8" w14:textId="77777777" w:rsidR="007B2D14" w:rsidRPr="00633A2A" w:rsidRDefault="00C22E98">
      <w:r w:rsidRPr="00633A2A">
        <w:rPr>
          <w:rStyle w:val="HideTWBExt"/>
        </w:rPr>
        <w:t>&lt;AuNomDe&gt;</w:t>
      </w:r>
      <w:r w:rsidRPr="00633A2A">
        <w:rPr>
          <w:rStyle w:val="HideTWBInt"/>
          <w:color w:val="auto"/>
        </w:rPr>
        <w:t>{The Left}</w:t>
      </w:r>
      <w:r w:rsidRPr="00633A2A">
        <w:t>grupas “</w:t>
      </w:r>
      <w:proofErr w:type="spellStart"/>
      <w:r w:rsidRPr="00633A2A">
        <w:t>The</w:t>
      </w:r>
      <w:proofErr w:type="spellEnd"/>
      <w:r w:rsidRPr="00633A2A">
        <w:t xml:space="preserve"> </w:t>
      </w:r>
      <w:proofErr w:type="spellStart"/>
      <w:r w:rsidRPr="00633A2A">
        <w:t>Left</w:t>
      </w:r>
      <w:proofErr w:type="spellEnd"/>
      <w:r w:rsidRPr="00633A2A">
        <w:t>” vārdā</w:t>
      </w:r>
      <w:r w:rsidRPr="00633A2A">
        <w:rPr>
          <w:rStyle w:val="HideTWBExt"/>
        </w:rPr>
        <w:t>&lt;/AuNomDe&gt;</w:t>
      </w:r>
    </w:p>
    <w:p w14:paraId="28EE749C" w14:textId="77777777" w:rsidR="007B2D14" w:rsidRPr="00633A2A" w:rsidRDefault="00C22E98">
      <w:pPr>
        <w:pStyle w:val="NormalBold"/>
      </w:pPr>
      <w:r w:rsidRPr="00633A2A">
        <w:rPr>
          <w:rStyle w:val="HideTWBExt"/>
          <w:b w:val="0"/>
        </w:rPr>
        <w:t>&lt;/By&gt;&lt;/RepeatBlock-By&gt;</w:t>
      </w:r>
    </w:p>
    <w:p w14:paraId="5EFC5AC8" w14:textId="77777777" w:rsidR="007B2D14" w:rsidRPr="00633A2A" w:rsidRDefault="00C22E98">
      <w:pPr>
        <w:pStyle w:val="AmDocTypeTab"/>
      </w:pPr>
      <w:r w:rsidRPr="00633A2A">
        <w:rPr>
          <w:rStyle w:val="HideTWBExt"/>
        </w:rPr>
        <w:t>&lt;TitreType&gt;</w:t>
      </w:r>
      <w:r w:rsidRPr="00633A2A">
        <w:t>Ziņojums</w:t>
      </w:r>
      <w:r w:rsidRPr="00633A2A">
        <w:rPr>
          <w:rStyle w:val="HideTWBExt"/>
        </w:rPr>
        <w:t>&lt;/TitreType&gt;</w:t>
      </w:r>
      <w:r w:rsidRPr="00633A2A">
        <w:tab/>
        <w:t>A10-0103/2026</w:t>
      </w:r>
    </w:p>
    <w:p w14:paraId="123397AE" w14:textId="77777777" w:rsidR="007B2D14" w:rsidRPr="00633A2A" w:rsidRDefault="00C22E98">
      <w:pPr>
        <w:pStyle w:val="NormalBold"/>
      </w:pPr>
      <w:r w:rsidRPr="00633A2A">
        <w:rPr>
          <w:rStyle w:val="HideTWBExt"/>
        </w:rPr>
        <w:t>&lt;Rapporteur&gt;</w:t>
      </w:r>
      <w:proofErr w:type="spellStart"/>
      <w:r w:rsidRPr="00633A2A">
        <w:t>Andrey</w:t>
      </w:r>
      <w:proofErr w:type="spellEnd"/>
      <w:r w:rsidRPr="00633A2A">
        <w:t xml:space="preserve"> </w:t>
      </w:r>
      <w:proofErr w:type="spellStart"/>
      <w:r w:rsidRPr="00633A2A">
        <w:t>Kovatchev</w:t>
      </w:r>
      <w:proofErr w:type="spellEnd"/>
      <w:r w:rsidRPr="00633A2A">
        <w:rPr>
          <w:rStyle w:val="HideTWBExt"/>
        </w:rPr>
        <w:t>&lt;/Rapporteur&gt;</w:t>
      </w:r>
    </w:p>
    <w:p w14:paraId="604EACB3" w14:textId="77777777" w:rsidR="007B2D14" w:rsidRPr="00633A2A" w:rsidRDefault="00C22E98">
      <w:r w:rsidRPr="00633A2A">
        <w:rPr>
          <w:rStyle w:val="HideTWBExt"/>
        </w:rPr>
        <w:t>&lt;Titre&gt;</w:t>
      </w:r>
      <w:r w:rsidRPr="00633A2A">
        <w:t>Ieteikums attiecībā uz Apvienoto Nāciju Organizācijas Ģenerālās asamblejas 81. sesiju</w:t>
      </w:r>
      <w:r w:rsidRPr="00633A2A">
        <w:rPr>
          <w:rStyle w:val="HideTWBExt"/>
        </w:rPr>
        <w:t>&lt;/Titre&gt;</w:t>
      </w:r>
    </w:p>
    <w:p w14:paraId="45443B99" w14:textId="77777777" w:rsidR="007B2D14" w:rsidRPr="00633A2A" w:rsidRDefault="00C22E98">
      <w:pPr>
        <w:pStyle w:val="Normal12a"/>
      </w:pPr>
      <w:r w:rsidRPr="00633A2A">
        <w:rPr>
          <w:rStyle w:val="HideTWBExt"/>
        </w:rPr>
        <w:t>&lt;DocRef&gt;</w:t>
      </w:r>
      <w:r w:rsidRPr="00633A2A">
        <w:t>(2025/2167(INI))</w:t>
      </w:r>
      <w:r w:rsidRPr="00633A2A">
        <w:rPr>
          <w:rStyle w:val="HideTWBExt"/>
        </w:rPr>
        <w:t>&lt;/DocRef&gt;</w:t>
      </w:r>
    </w:p>
    <w:p w14:paraId="65AF3DFD" w14:textId="77777777" w:rsidR="007B2D14" w:rsidRPr="00633A2A" w:rsidRDefault="00C22E98">
      <w:pPr>
        <w:pStyle w:val="NormalBold"/>
      </w:pPr>
      <w:r w:rsidRPr="00633A2A">
        <w:rPr>
          <w:rStyle w:val="HideTWBExt"/>
        </w:rPr>
        <w:t>&lt;DocAmend&gt;</w:t>
      </w:r>
      <w:r w:rsidRPr="00633A2A">
        <w:t>Rezolūcijas priekšlikums</w:t>
      </w:r>
      <w:r w:rsidRPr="00633A2A">
        <w:rPr>
          <w:rStyle w:val="HideTWBExt"/>
        </w:rPr>
        <w:t>&lt;/DocAmend&gt;</w:t>
      </w:r>
    </w:p>
    <w:p w14:paraId="0EE9F1D9" w14:textId="77777777" w:rsidR="007B2D14" w:rsidRPr="00633A2A" w:rsidRDefault="00C22E98">
      <w:pPr>
        <w:pStyle w:val="NormalBold"/>
      </w:pPr>
      <w:r w:rsidRPr="00633A2A">
        <w:rPr>
          <w:rStyle w:val="HideTWBExt"/>
        </w:rPr>
        <w:t>&lt;Article&gt;</w:t>
      </w:r>
      <w:r w:rsidRPr="00633A2A">
        <w:t xml:space="preserve">1. punkts – </w:t>
      </w:r>
      <w:proofErr w:type="spellStart"/>
      <w:r w:rsidRPr="00633A2A">
        <w:t>abe</w:t>
      </w:r>
      <w:proofErr w:type="spellEnd"/>
      <w:r w:rsidRPr="00633A2A">
        <w:t> apakšpunkts (jauns)</w:t>
      </w:r>
      <w:r w:rsidRPr="00633A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11197" w:rsidRPr="00633A2A"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633A2A" w:rsidRDefault="007B2D14"/>
        </w:tc>
      </w:tr>
      <w:tr w:rsidR="00111197" w:rsidRPr="00633A2A" w14:paraId="5B72E864" w14:textId="77777777">
        <w:trPr>
          <w:trHeight w:val="240"/>
          <w:jc w:val="center"/>
        </w:trPr>
        <w:tc>
          <w:tcPr>
            <w:tcW w:w="4876" w:type="dxa"/>
            <w:tcBorders>
              <w:top w:val="nil"/>
              <w:left w:val="nil"/>
              <w:bottom w:val="nil"/>
              <w:right w:val="nil"/>
            </w:tcBorders>
          </w:tcPr>
          <w:p w14:paraId="643A2923" w14:textId="77777777" w:rsidR="007B2D14" w:rsidRPr="00633A2A" w:rsidRDefault="00C22E98">
            <w:pPr>
              <w:pStyle w:val="AmColumnHeading"/>
            </w:pPr>
            <w:r w:rsidRPr="00633A2A">
              <w:t>Rezolūcijas priekšlikums</w:t>
            </w:r>
          </w:p>
        </w:tc>
        <w:tc>
          <w:tcPr>
            <w:tcW w:w="4876" w:type="dxa"/>
            <w:tcBorders>
              <w:top w:val="nil"/>
              <w:left w:val="nil"/>
              <w:bottom w:val="nil"/>
              <w:right w:val="nil"/>
            </w:tcBorders>
          </w:tcPr>
          <w:p w14:paraId="26490C8B" w14:textId="77777777" w:rsidR="007B2D14" w:rsidRPr="00633A2A" w:rsidRDefault="00C22E98">
            <w:pPr>
              <w:pStyle w:val="AmColumnHeading"/>
            </w:pPr>
            <w:r w:rsidRPr="00633A2A">
              <w:t>Grozījums</w:t>
            </w:r>
          </w:p>
        </w:tc>
      </w:tr>
      <w:tr w:rsidR="00111197" w:rsidRPr="00633A2A" w14:paraId="3657B36D" w14:textId="77777777">
        <w:trPr>
          <w:jc w:val="center"/>
        </w:trPr>
        <w:tc>
          <w:tcPr>
            <w:tcW w:w="4876" w:type="dxa"/>
            <w:tcBorders>
              <w:top w:val="nil"/>
              <w:left w:val="nil"/>
              <w:bottom w:val="nil"/>
              <w:right w:val="nil"/>
            </w:tcBorders>
          </w:tcPr>
          <w:p w14:paraId="624A317F" w14:textId="77777777" w:rsidR="007B2D14" w:rsidRPr="00633A2A" w:rsidRDefault="007B2D14">
            <w:pPr>
              <w:pStyle w:val="Normal6a"/>
            </w:pPr>
          </w:p>
        </w:tc>
        <w:tc>
          <w:tcPr>
            <w:tcW w:w="4876" w:type="dxa"/>
            <w:tcBorders>
              <w:top w:val="nil"/>
              <w:left w:val="nil"/>
              <w:bottom w:val="nil"/>
              <w:right w:val="nil"/>
            </w:tcBorders>
          </w:tcPr>
          <w:p w14:paraId="5359C7ED" w14:textId="416FC09B" w:rsidR="007B2D14" w:rsidRPr="00633A2A" w:rsidRDefault="00C22E98">
            <w:pPr>
              <w:pStyle w:val="Normal6a"/>
            </w:pPr>
            <w:r w:rsidRPr="00633A2A">
              <w:rPr>
                <w:b/>
                <w:i/>
              </w:rPr>
              <w:t>(</w:t>
            </w:r>
            <w:proofErr w:type="spellStart"/>
            <w:r w:rsidRPr="00633A2A">
              <w:rPr>
                <w:b/>
                <w:i/>
              </w:rPr>
              <w:t>abe</w:t>
            </w:r>
            <w:proofErr w:type="spellEnd"/>
            <w:r w:rsidRPr="00633A2A">
              <w:rPr>
                <w:b/>
                <w:i/>
              </w:rPr>
              <w:t>)</w:t>
            </w:r>
            <w:r w:rsidRPr="00633A2A">
              <w:tab/>
            </w:r>
            <w:r w:rsidRPr="00633A2A">
              <w:rPr>
                <w:b/>
                <w:i/>
              </w:rPr>
              <w:t xml:space="preserve">paust dziļas bažas par to, cik ierobežoti uzmanības vēršanas un sankciju aspektā ES ir reaģējusi uz </w:t>
            </w:r>
            <w:r w:rsidRPr="00633A2A">
              <w:rPr>
                <w:b/>
                <w:i/>
              </w:rPr>
              <w:t>iespējamajiem sistemātiskajiem starptautisko humanitāro tiesību pārkāpumiem no Izraēlas puses Gazā un Rietumkrastā, tostarp nesamērīga spēka lietošanu, apmetņu paplašināšanu un humanitārajiem ierobežojumiem; norādīt uz nesaskanību ar pasākumiem, kas pieņemti līdzīgās situācijās; apsvērt piemērotus un samērīgus pasākumus, tostarp tūlītēju ES un Izraēlas asociācijas nolīguma apturēšanu saskaņā ar LES 2. pantu un attiecīgajām ANO rezolūcijām, nolūkā nodrošināt ES ārējās darbības saskanīgumu un uzticamību;</w:t>
            </w:r>
          </w:p>
        </w:tc>
      </w:tr>
    </w:tbl>
    <w:p w14:paraId="5D8B3EC1" w14:textId="77777777" w:rsidR="007B2D14" w:rsidRPr="00633A2A" w:rsidRDefault="00C22E98">
      <w:pPr>
        <w:pStyle w:val="AmOrLang"/>
      </w:pPr>
      <w:r w:rsidRPr="00633A2A">
        <w:t xml:space="preserve">Or. </w:t>
      </w:r>
      <w:r w:rsidRPr="00633A2A">
        <w:rPr>
          <w:rStyle w:val="HideTWBExt"/>
        </w:rPr>
        <w:t>&lt;Original&gt;</w:t>
      </w:r>
      <w:r w:rsidRPr="00633A2A">
        <w:rPr>
          <w:rStyle w:val="HideTWBInt"/>
        </w:rPr>
        <w:t>{EN}</w:t>
      </w:r>
      <w:proofErr w:type="spellStart"/>
      <w:r w:rsidRPr="00633A2A">
        <w:t>en</w:t>
      </w:r>
      <w:proofErr w:type="spellEnd"/>
      <w:r w:rsidRPr="00633A2A">
        <w:rPr>
          <w:rStyle w:val="HideTWBExt"/>
        </w:rPr>
        <w:t>&lt;/Original&gt;</w:t>
      </w:r>
    </w:p>
    <w:p w14:paraId="41F34A01" w14:textId="77777777" w:rsidR="007B2D14" w:rsidRPr="00633A2A" w:rsidRDefault="00C22E98">
      <w:r w:rsidRPr="00633A2A">
        <w:rPr>
          <w:rStyle w:val="HideTWBExt"/>
        </w:rPr>
        <w:t>&lt;/Amend&gt;</w:t>
      </w:r>
    </w:p>
    <w:p w14:paraId="2D6AE4AD" w14:textId="77777777" w:rsidR="007B2D14" w:rsidRPr="00633A2A" w:rsidRDefault="00C22E98">
      <w:r w:rsidRPr="00633A2A">
        <w:rPr>
          <w:rStyle w:val="HideTWBExt"/>
        </w:rPr>
        <w:t>&lt;/RepeatBlock-Amend&gt;</w:t>
      </w:r>
    </w:p>
    <w:sectPr w:rsidR="007B2D14" w:rsidRPr="00633A2A">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7B31" w14:textId="77777777" w:rsidR="00C22E98" w:rsidRPr="00633A2A" w:rsidRDefault="00C22E98">
      <w:r w:rsidRPr="00633A2A">
        <w:separator/>
      </w:r>
    </w:p>
  </w:endnote>
  <w:endnote w:type="continuationSeparator" w:id="0">
    <w:p w14:paraId="3DA36C43" w14:textId="77777777" w:rsidR="00C22E98" w:rsidRPr="00633A2A" w:rsidRDefault="00C22E98">
      <w:r w:rsidRPr="00633A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FBC86" w14:textId="77777777" w:rsidR="00C22E98" w:rsidRDefault="00C22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5B974" w14:textId="77777777" w:rsidR="00633A2A" w:rsidRPr="00633A2A" w:rsidRDefault="00633A2A" w:rsidP="00633A2A">
    <w:pPr>
      <w:pStyle w:val="EPFooter"/>
    </w:pPr>
    <w:r w:rsidRPr="00633A2A">
      <w:rPr>
        <w:rStyle w:val="HideTWBExt"/>
      </w:rPr>
      <w:t>&lt;PathFdR&gt;</w:t>
    </w:r>
    <w:r w:rsidRPr="00633A2A">
      <w:t>AM\1343847LV.docx</w:t>
    </w:r>
    <w:r w:rsidRPr="00633A2A">
      <w:rPr>
        <w:rStyle w:val="HideTWBExt"/>
      </w:rPr>
      <w:t>&lt;/PathFdR&gt;</w:t>
    </w:r>
    <w:r w:rsidRPr="00633A2A">
      <w:tab/>
    </w:r>
    <w:r w:rsidRPr="00633A2A">
      <w:tab/>
      <w:t>PE</w:t>
    </w:r>
    <w:r w:rsidRPr="00633A2A">
      <w:rPr>
        <w:rStyle w:val="HideTWBExt"/>
      </w:rPr>
      <w:t>&lt;NoPE&gt;</w:t>
    </w:r>
    <w:r w:rsidRPr="00633A2A">
      <w:t>783.214</w:t>
    </w:r>
    <w:r w:rsidRPr="00633A2A">
      <w:rPr>
        <w:rStyle w:val="HideTWBExt"/>
      </w:rPr>
      <w:t>&lt;/NoPE&gt;&lt;Version&gt;</w:t>
    </w:r>
    <w:r w:rsidRPr="00633A2A">
      <w:t>v01-00</w:t>
    </w:r>
    <w:r w:rsidRPr="00633A2A">
      <w:rPr>
        <w:rStyle w:val="HideTWBExt"/>
      </w:rPr>
      <w:t>&lt;/Version&gt;</w:t>
    </w:r>
  </w:p>
  <w:p w14:paraId="7A05A7EE" w14:textId="511700F2" w:rsidR="007B2D14" w:rsidRPr="00633A2A" w:rsidRDefault="00633A2A" w:rsidP="00633A2A">
    <w:pPr>
      <w:pStyle w:val="EPFooter2"/>
    </w:pPr>
    <w:r w:rsidRPr="00633A2A">
      <w:t>LV</w:t>
    </w:r>
    <w:r w:rsidRPr="00633A2A">
      <w:tab/>
    </w:r>
    <w:r w:rsidRPr="00633A2A">
      <w:rPr>
        <w:b w:val="0"/>
        <w:i/>
        <w:color w:val="C0C0C0"/>
        <w:sz w:val="22"/>
      </w:rPr>
      <w:t>Vienoti daudzveidībā</w:t>
    </w:r>
    <w:r w:rsidRPr="00633A2A">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5C6B" w14:textId="77777777" w:rsidR="00C22E98" w:rsidRDefault="00C22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FD223" w14:textId="77777777" w:rsidR="00C22E98" w:rsidRPr="00633A2A" w:rsidRDefault="00C22E98">
      <w:r w:rsidRPr="00633A2A">
        <w:separator/>
      </w:r>
    </w:p>
  </w:footnote>
  <w:footnote w:type="continuationSeparator" w:id="0">
    <w:p w14:paraId="15FD8E88" w14:textId="77777777" w:rsidR="00C22E98" w:rsidRPr="00633A2A" w:rsidRDefault="00C22E98">
      <w:r w:rsidRPr="00633A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2F71E" w14:textId="77777777" w:rsidR="00C22E98" w:rsidRDefault="00C22E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88ED6" w14:textId="77777777" w:rsidR="00C22E98" w:rsidRDefault="00C22E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803B5" w14:textId="77777777" w:rsidR="00C22E98" w:rsidRDefault="00C22E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EN"/>
    <w:docVar w:name="TXTLANGUEMIN" w:val="en"/>
    <w:docVar w:name="TXTNRPE" w:val="783.214"/>
    <w:docVar w:name="TXTPEorAP" w:val="PE"/>
    <w:docVar w:name="TXTROUTE" w:val="AM\1343847EN.docx"/>
    <w:docVar w:name="TXTVERSION" w:val="01-00"/>
  </w:docVars>
  <w:rsids>
    <w:rsidRoot w:val="00A77B3E"/>
    <w:rsid w:val="00003A9D"/>
    <w:rsid w:val="000449B6"/>
    <w:rsid w:val="00090612"/>
    <w:rsid w:val="000A3B4F"/>
    <w:rsid w:val="000D7AD0"/>
    <w:rsid w:val="00111197"/>
    <w:rsid w:val="001C7C45"/>
    <w:rsid w:val="00231786"/>
    <w:rsid w:val="002A0A72"/>
    <w:rsid w:val="002E02C2"/>
    <w:rsid w:val="00442714"/>
    <w:rsid w:val="005817FF"/>
    <w:rsid w:val="00633A2A"/>
    <w:rsid w:val="00704D2A"/>
    <w:rsid w:val="007B2D14"/>
    <w:rsid w:val="007D48BC"/>
    <w:rsid w:val="00853552"/>
    <w:rsid w:val="00871409"/>
    <w:rsid w:val="00A014B5"/>
    <w:rsid w:val="00A77B3E"/>
    <w:rsid w:val="00B55993"/>
    <w:rsid w:val="00C22E98"/>
    <w:rsid w:val="00CA2A55"/>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2695</Words>
  <Characters>18892</Characters>
  <Application>Microsoft Office Word</Application>
  <DocSecurity>0</DocSecurity>
  <Lines>651</Lines>
  <Paragraphs>199</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LEINERTS Dainis</cp:lastModifiedBy>
  <cp:revision>2</cp:revision>
  <cp:lastPrinted>2026-05-13T10:03:00Z</cp:lastPrinted>
  <dcterms:created xsi:type="dcterms:W3CDTF">2026-05-18T12:07:00Z</dcterms:created>
  <dcterms:modified xsi:type="dcterms:W3CDTF">2026-05-18T12:07:00Z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- 2026/05/18 14:07</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AM\1343847LV.docx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