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p>
      <w:pPr>
        <w:pStyle w:val="AmDateTab"/>
      </w:pPr>
      <w:r>
        <w:rPr>
          <w:rStyle w:val="HideTWBExt"/>
        </w:rPr>
        <w:t>&lt;RepeatBlock-Amend&gt;</w:t>
      </w:r>
      <w:r>
        <w:rPr>
          <w:rStyle w:val="HideTWBExt"/>
        </w:rPr>
        <w:t>&lt;Amend&gt;</w:t>
      </w:r>
      <w:r>
        <w:rPr>
          <w:rStyle w:val="HideTWBExt"/>
        </w:rPr>
        <w:t>&lt;Date&gt;</w:t>
      </w:r>
      <w:r>
        <w:rPr>
          <w:rStyle w:val="HideTWBInt"/>
        </w:rPr>
        <w:t>{14/10/2026}</w:t>
      </w:r>
      <w:r>
        <w:t>14.10.2026</w:t>
      </w:r>
      <w:r>
        <w:rPr>
          <w:rStyle w:val="HideTWBExt"/>
        </w:rPr>
        <w:t>&lt;/Date&gt;</w:t>
      </w:r>
      <w:r>
        <w:tab/>
      </w:r>
      <w:r>
        <w:rPr>
          <w:rStyle w:val="HideTWBExt"/>
        </w:rPr>
        <w:t>&lt;ANo&gt;</w:t>
      </w:r>
      <w:r>
        <w:t>A10-0104</w:t>
      </w:r>
      <w:r>
        <w:rPr>
          <w:rStyle w:val="HideTWBExt"/>
        </w:rPr>
        <w:t>&lt;/ANo&gt;</w:t>
      </w:r>
      <w:r>
        <w:t>/</w:t>
      </w:r>
      <w:r>
        <w:rPr>
          <w:rStyle w:val="HideTWBExt"/>
        </w:rPr>
        <w:t>&lt;NumAm&gt;</w:t>
      </w:r>
      <w:r>
        <w:t>120</w:t>
      </w:r>
      <w:r>
        <w:rPr>
          <w:rStyle w:val="HideTWBExt"/>
        </w:rPr>
        <w:t>&lt;/NumAm&gt;</w:t>
      </w:r>
    </w:p>
    <w:p>
      <w:pPr>
        <w:pStyle w:val="AmNumberTabs"/>
      </w:pPr>
      <w:r>
        <w:t>Amendment</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Volker Schnurrbusch, Anja Arndt, Marc Jongen</w:t>
      </w:r>
      <w:r>
        <w:rPr>
          <w:rStyle w:val="HideTWBExt"/>
          <w:b w:val="0"/>
        </w:rPr>
        <w:t>&lt;/Members&gt;</w:t>
      </w:r>
    </w:p>
    <w:p>
      <w:r>
        <w:rPr>
          <w:rStyle w:val="HideTWBExt"/>
        </w:rPr>
        <w:t>&lt;AuNomDe&gt;</w:t>
      </w:r>
      <w:r>
        <w:rPr>
          <w:rStyle w:val="HideTWBInt"/>
        </w:rPr>
        <w:t>{ESN}</w:t>
      </w:r>
      <w:r>
        <w:t>on behalf of the ESN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A10-0104/2026</w:t>
      </w:r>
    </w:p>
    <w:p>
      <w:pPr>
        <w:pStyle w:val="NormalBold"/>
      </w:pPr>
      <w:r>
        <w:rPr>
          <w:rStyle w:val="HideTWBExt"/>
        </w:rPr>
        <w:t>&lt;Rapporteur&gt;</w:t>
      </w:r>
      <w:r>
        <w:t>Dimitris Tsiodras, Piotr Müller</w:t>
      </w:r>
      <w:r>
        <w:rPr>
          <w:rStyle w:val="HideTWBExt"/>
        </w:rPr>
        <w:t>&lt;/Rapporteur&gt;</w:t>
      </w:r>
    </w:p>
    <w:p>
      <w:r>
        <w:rPr>
          <w:rStyle w:val="HideTWBExt"/>
        </w:rPr>
        <w:t>&lt;Titre&gt;</w:t>
      </w:r>
      <w:r>
        <w:t>Simplification of certain requirements and procedures for chemical products</w:t>
      </w:r>
      <w:r>
        <w:rPr>
          <w:rStyle w:val="HideTWBExt"/>
        </w:rPr>
        <w:t>&lt;/Titre&gt;</w:t>
      </w:r>
    </w:p>
    <w:p>
      <w:pPr>
        <w:pStyle w:val="Normal12a"/>
      </w:pPr>
      <w:r>
        <w:rPr>
          <w:rStyle w:val="HideTWBExt"/>
        </w:rPr>
        <w:t>&lt;DocRef&gt;</w:t>
      </w:r>
      <w:r>
        <w:t>(COM(2025)0531 – C10-0143/2025 – 2025/0531(COD))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The findings of the 2024 Draghi </w:t>
            </w:r>
            <w:r>
              <w:rPr>
                <w:b/>
                <w:i/>
              </w:rPr>
              <w:t>report</w:t>
            </w:r>
            <w:r>
              <w:rPr>
                <w:b/>
                <w:i/>
                <w:vertAlign w:val="superscript"/>
              </w:rPr>
              <w:t>2</w:t>
            </w:r>
            <w:r>
              <w:t xml:space="preserve"> indicated that the increasing number and complexity of rules risks limiting room for manoeuvre for Union businesses and preventing them from remaining competitive. Against this background, certain procedures and requirements laid down in Regulations (EC) </w:t>
            </w:r>
            <w:r>
              <w:rPr>
                <w:b/>
                <w:i/>
              </w:rPr>
              <w:t>No 1272/2008</w:t>
            </w:r>
            <w:r>
              <w:rPr>
                <w:b/>
                <w:i/>
                <w:vertAlign w:val="superscript"/>
              </w:rPr>
              <w:t>3</w:t>
            </w:r>
            <w:r>
              <w:t xml:space="preserve"> , (EC) </w:t>
            </w:r>
            <w:r>
              <w:rPr>
                <w:b/>
                <w:i/>
              </w:rPr>
              <w:t>No 1223/2009</w:t>
            </w:r>
            <w:r>
              <w:rPr>
                <w:b/>
                <w:i/>
                <w:vertAlign w:val="superscript"/>
              </w:rPr>
              <w:t>4</w:t>
            </w:r>
            <w:r>
              <w:t xml:space="preserve"> </w:t>
            </w:r>
            <w:r>
              <w:rPr>
                <w:b/>
                <w:i/>
              </w:rPr>
              <w:t>and (EU) 2019/1009</w:t>
            </w:r>
            <w:r>
              <w:rPr>
                <w:b/>
                <w:i/>
                <w:vertAlign w:val="superscript"/>
              </w:rPr>
              <w:t>5</w:t>
            </w:r>
            <w:r>
              <w:t xml:space="preserve"> of the European Parliament and of the Council should be simplified and unnecessary regulatory burdens should be removed, while maintaining the same level of protection of human health and of the environment.</w:t>
            </w:r>
          </w:p>
        </w:tc>
        <w:tc>
          <w:tcPr>
            <w:tcW w:w="4876" w:type="dxa"/>
            <w:tcBorders>
              <w:top w:val="nil"/>
              <w:left w:val="nil"/>
              <w:bottom w:val="nil"/>
              <w:right w:val="nil"/>
            </w:tcBorders>
          </w:tcPr>
          <w:p>
            <w:pPr>
              <w:pStyle w:val="Normal6a"/>
            </w:pPr>
            <w:r>
              <w:t>(2)</w:t>
            </w:r>
            <w:r>
              <w:tab/>
            </w:r>
            <w:r>
              <w:t xml:space="preserve">The findings of the 2024 Draghi </w:t>
            </w:r>
            <w:r>
              <w:rPr>
                <w:b/>
                <w:i/>
              </w:rPr>
              <w:t>report2</w:t>
            </w:r>
            <w:r>
              <w:t xml:space="preserve"> indicated that the increasing number and complexity of rules risks limiting room for manoeuvre for Union businesses and preventing them from remaining competitive. Against this background, certain procedures and requirements laid down in Regulations (EC) </w:t>
            </w:r>
            <w:r>
              <w:rPr>
                <w:b/>
                <w:i/>
              </w:rPr>
              <w:t>No 1272/20083</w:t>
            </w:r>
            <w:r>
              <w:t xml:space="preserve"> , (EC) </w:t>
            </w:r>
            <w:r>
              <w:rPr>
                <w:b/>
                <w:i/>
              </w:rPr>
              <w:t>No 1223/20094 and (EU) 2019/10095</w:t>
            </w:r>
            <w:r>
              <w:t xml:space="preserve"> of the European Parliament and of the Council should be simplified and unnecessary regulatory burdens should be removed, while maintaining the same level of protection of human health and of the environment. </w:t>
            </w:r>
            <w:r>
              <w:rPr>
                <w:b/>
                <w:i/>
              </w:rPr>
              <w:t>All measures introduced under this Regulation should be proportionate, science-based, and limited to what is strictly necessary.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2024 report by Mario Draghi on the future of European competitiveness: https://commission.europa.eu/topics/eu-competitiveness/draghi-report_en#paragraph_47059</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w:t>
            </w:r>
            <w:r>
              <w:t xml:space="preserve"> </w:t>
            </w:r>
            <w:r>
              <w:rPr>
                <w:b/>
                <w:i/>
              </w:rPr>
              <w:t>Regulation (EC) No 1272/2008 of the European Parliament and of the Council of 16 December 2008 on classification, labelling and packaging of substances and mixtures, amending and repealing Directives 67/548/EEC and 1999/45/EC, and amending Regulation (EC) No 1907/2006 (OJ L 353, 31.12.2008, p. 1, ELI: http://data.europa.eu/eli/reg/2008/1272/oj).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Regulation (EC) No 1223/2009 of the European Parliament and of the Council of 30 November 2009 on cosmetic products (recast) (OJ L 342, 22.12.2009, p. 59, ELI: http://data.europa.eu/eli/reg/2009/1223/oj).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Regulation (EU) 2019/1009 of the European Parliament and of the Council of 5 June 2019 laying down rules on the making available on the market of EU fertilising products and amending Regulations (EC) No 1069/2009 and (EC) No 1107/2009 and repealing Regulation (EC) No 2003/2003 (OJ L 170, 25.6.2019, p. 1, ELI: http://data.europa.eu/eli/reg/2019/1009/oj).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Provides a horizontal legal anchor to interpret the Regulation restrictively and prevent future regulatory expansion.</w:t>
      </w:r>
    </w:p>
    <w:p>
      <w:pPr>
        <w:sectPr>
          <w:footerReference w:type="default" r:id="rId4"/>
          <w:pgSz w:w="11909" w:h="16834"/>
          <w:pgMar w:top="1134" w:right="1417" w:bottom="1417" w:left="1417" w:header="1134" w:footer="567"/>
          <w:cols w:space="720"/>
          <w:titlePg w:val="0"/>
        </w:sectPr>
      </w:pPr>
      <w:r>
        <w:rPr>
          <w:rStyle w:val="HideTWBExt"/>
        </w:rPr>
        <w:t>&lt;/Amend&gt;</w:t>
      </w:r>
    </w:p>
    <w:p>
      <w:pPr>
        <w:pStyle w:val="AmDateTab"/>
      </w:pPr>
      <w:r>
        <w:rPr>
          <w:rStyle w:val="HideTWBExt"/>
        </w:rPr>
        <w:t>&lt;Amend&gt;</w:t>
      </w:r>
      <w:r>
        <w:rPr>
          <w:rStyle w:val="HideTWBExt"/>
        </w:rPr>
        <w:t>&lt;Date&gt;</w:t>
      </w:r>
      <w:r>
        <w:rPr>
          <w:rStyle w:val="HideTWBInt"/>
        </w:rPr>
        <w:t>{14/10/2026}</w:t>
      </w:r>
      <w:r>
        <w:t>14.10.2026</w:t>
      </w:r>
      <w:r>
        <w:rPr>
          <w:rStyle w:val="HideTWBExt"/>
        </w:rPr>
        <w:t>&lt;/Date&gt;</w:t>
      </w:r>
      <w:r>
        <w:tab/>
      </w:r>
      <w:r>
        <w:rPr>
          <w:rStyle w:val="HideTWBExt"/>
        </w:rPr>
        <w:t>&lt;ANo&gt;</w:t>
      </w:r>
      <w:r>
        <w:t>A10-0104</w:t>
      </w:r>
      <w:r>
        <w:rPr>
          <w:rStyle w:val="HideTWBExt"/>
        </w:rPr>
        <w:t>&lt;/ANo&gt;</w:t>
      </w:r>
      <w:r>
        <w:t>/</w:t>
      </w:r>
      <w:r>
        <w:rPr>
          <w:rStyle w:val="HideTWBExt"/>
        </w:rPr>
        <w:t>&lt;NumAm&gt;</w:t>
      </w:r>
      <w:r>
        <w:t>121</w:t>
      </w:r>
      <w:r>
        <w:rPr>
          <w:rStyle w:val="HideTWBExt"/>
        </w:rPr>
        <w:t>&lt;/NumAm&gt;</w:t>
      </w:r>
    </w:p>
    <w:p>
      <w:pPr>
        <w:pStyle w:val="AmNumberTabs"/>
      </w:pPr>
      <w:r>
        <w:t>Amendment</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Volker Schnurrbusch, Anja Arndt, Marc Jongen, Ivan David</w:t>
      </w:r>
      <w:r>
        <w:rPr>
          <w:rStyle w:val="HideTWBExt"/>
          <w:b w:val="0"/>
        </w:rPr>
        <w:t>&lt;/Members&gt;</w:t>
      </w:r>
    </w:p>
    <w:p>
      <w:r>
        <w:rPr>
          <w:rStyle w:val="HideTWBExt"/>
        </w:rPr>
        <w:t>&lt;AuNomDe&gt;</w:t>
      </w:r>
      <w:r>
        <w:rPr>
          <w:rStyle w:val="HideTWBInt"/>
        </w:rPr>
        <w:t>{ESN}</w:t>
      </w:r>
      <w:r>
        <w:t>on behalf of the ESN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A10-0104/2026</w:t>
      </w:r>
    </w:p>
    <w:p>
      <w:pPr>
        <w:pStyle w:val="NormalBold"/>
      </w:pPr>
      <w:r>
        <w:rPr>
          <w:rStyle w:val="HideTWBExt"/>
        </w:rPr>
        <w:t>&lt;Rapporteur&gt;</w:t>
      </w:r>
      <w:r>
        <w:t>Dimitris Tsiodras, Piotr Müller</w:t>
      </w:r>
      <w:r>
        <w:rPr>
          <w:rStyle w:val="HideTWBExt"/>
        </w:rPr>
        <w:t>&lt;/Rapporteur&gt;</w:t>
      </w:r>
    </w:p>
    <w:p>
      <w:r>
        <w:rPr>
          <w:rStyle w:val="HideTWBExt"/>
        </w:rPr>
        <w:t>&lt;Titre&gt;</w:t>
      </w:r>
      <w:r>
        <w:t>Simplification of certain requirements and procedures for chemical products</w:t>
      </w:r>
      <w:r>
        <w:rPr>
          <w:rStyle w:val="HideTWBExt"/>
        </w:rPr>
        <w:t>&lt;/Titre&gt;</w:t>
      </w:r>
    </w:p>
    <w:p>
      <w:pPr>
        <w:pStyle w:val="Normal12a"/>
      </w:pPr>
      <w:r>
        <w:rPr>
          <w:rStyle w:val="HideTWBExt"/>
        </w:rPr>
        <w:t>&lt;DocRef&gt;</w:t>
      </w:r>
      <w:r>
        <w:t>(COM(2025)0531 – C10-0143/2025 – 2025/0531(COD))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When a substance is prohibited or restricted from the use in cosmetic products, the manufacturers, importers, distributors and responsible persons should be given appropriate time to take necessary measures to reformulate and relabel their products, withdraw from the distribution and destroy the unsold products not complying with the new requirements. Therefore, </w:t>
            </w:r>
            <w:r>
              <w:rPr>
                <w:b/>
                <w:i/>
              </w:rPr>
              <w:t>periods of 12</w:t>
            </w:r>
            <w:r>
              <w:t xml:space="preserve"> months for placing and </w:t>
            </w:r>
            <w:r>
              <w:rPr>
                <w:b/>
                <w:i/>
              </w:rPr>
              <w:t>24</w:t>
            </w:r>
            <w:r>
              <w:t xml:space="preserve"> months for making available on the market of cosmetic products containing the substance concerned following the entry into force of the respective amendments to Regulation (EC) No 1223/2009 should be provided.</w:t>
            </w:r>
          </w:p>
        </w:tc>
        <w:tc>
          <w:tcPr>
            <w:tcW w:w="4876" w:type="dxa"/>
            <w:tcBorders>
              <w:top w:val="nil"/>
              <w:left w:val="nil"/>
              <w:bottom w:val="nil"/>
              <w:right w:val="nil"/>
            </w:tcBorders>
          </w:tcPr>
          <w:p>
            <w:pPr>
              <w:pStyle w:val="Normal6a"/>
            </w:pPr>
            <w:r>
              <w:t>(22)</w:t>
            </w:r>
            <w:r>
              <w:tab/>
            </w:r>
            <w:r>
              <w:t xml:space="preserve">When a substance is prohibited or restricted from the use in cosmetic products, the manufacturers, importers, distributors and responsible persons should be given appropriate time to take necessary measures to reformulate and relabel their products, withdraw from the distribution and destroy the unsold products not complying with the new requirements. Therefore, </w:t>
            </w:r>
            <w:r>
              <w:rPr>
                <w:b/>
                <w:i/>
              </w:rPr>
              <w:t>a period of 24</w:t>
            </w:r>
            <w:r>
              <w:t xml:space="preserve"> months for placing and </w:t>
            </w:r>
            <w:r>
              <w:rPr>
                <w:b/>
                <w:i/>
              </w:rPr>
              <w:t>48</w:t>
            </w:r>
            <w:r>
              <w:t xml:space="preserve"> months for making available on the market of cosmetic products containing the substance concerned following the entry into force of the respective amendments to Regulation (EC) No 1223/2009 should be provided.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current text introduces differentiated timelines but remains too restrictive. Industry requires longer adaptation periods for reformulation, testing, and supply chain adjustments. Extended timelines ensure legal certainty and avoid unnecessary waste.</w:t>
      </w:r>
    </w:p>
    <w:p>
      <w:pPr>
        <w:sectPr>
          <w:type w:val="nextPage"/>
          <w:pgSz w:w="11909" w:h="16834"/>
          <w:pgMar w:top="1134" w:right="1417" w:bottom="1417" w:left="1417" w:header="1134" w:footer="567"/>
          <w:cols w:space="720"/>
        </w:sectPr>
      </w:pPr>
      <w:r>
        <w:rPr>
          <w:rStyle w:val="HideTWBExt"/>
        </w:rPr>
        <w:t>&lt;/Amend&gt;</w:t>
      </w:r>
    </w:p>
    <w:p>
      <w:pPr>
        <w:pStyle w:val="AmDateTab"/>
      </w:pPr>
      <w:r>
        <w:rPr>
          <w:rStyle w:val="HideTWBExt"/>
        </w:rPr>
        <w:t>&lt;Amend&gt;</w:t>
      </w:r>
      <w:r>
        <w:rPr>
          <w:rStyle w:val="HideTWBExt"/>
        </w:rPr>
        <w:t>&lt;Date&gt;</w:t>
      </w:r>
      <w:r>
        <w:rPr>
          <w:rStyle w:val="HideTWBInt"/>
        </w:rPr>
        <w:t>{14/10/2026}</w:t>
      </w:r>
      <w:r>
        <w:t>14.10.2026</w:t>
      </w:r>
      <w:r>
        <w:rPr>
          <w:rStyle w:val="HideTWBExt"/>
        </w:rPr>
        <w:t>&lt;/Date&gt;</w:t>
      </w:r>
      <w:r>
        <w:tab/>
      </w:r>
      <w:r>
        <w:rPr>
          <w:rStyle w:val="HideTWBExt"/>
        </w:rPr>
        <w:t>&lt;ANo&gt;</w:t>
      </w:r>
      <w:r>
        <w:t>A10-0104</w:t>
      </w:r>
      <w:r>
        <w:rPr>
          <w:rStyle w:val="HideTWBExt"/>
        </w:rPr>
        <w:t>&lt;/ANo&gt;</w:t>
      </w:r>
      <w:r>
        <w:t>/</w:t>
      </w:r>
      <w:r>
        <w:rPr>
          <w:rStyle w:val="HideTWBExt"/>
        </w:rPr>
        <w:t>&lt;NumAm&gt;</w:t>
      </w:r>
      <w:r>
        <w:t>122</w:t>
      </w:r>
      <w:r>
        <w:rPr>
          <w:rStyle w:val="HideTWBExt"/>
        </w:rPr>
        <w:t>&lt;/NumAm&gt;</w:t>
      </w:r>
    </w:p>
    <w:p>
      <w:pPr>
        <w:pStyle w:val="AmNumberTabs"/>
      </w:pPr>
      <w:r>
        <w:t>Amendment</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Volker Schnurrbusch, Anja Arndt, Marc Jongen</w:t>
      </w:r>
      <w:r>
        <w:rPr>
          <w:rStyle w:val="HideTWBExt"/>
          <w:b w:val="0"/>
        </w:rPr>
        <w:t>&lt;/Members&gt;</w:t>
      </w:r>
    </w:p>
    <w:p>
      <w:r>
        <w:rPr>
          <w:rStyle w:val="HideTWBExt"/>
        </w:rPr>
        <w:t>&lt;AuNomDe&gt;</w:t>
      </w:r>
      <w:r>
        <w:rPr>
          <w:rStyle w:val="HideTWBInt"/>
        </w:rPr>
        <w:t>{ESN}</w:t>
      </w:r>
      <w:r>
        <w:t>on behalf of the ESN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A10-0104/2026</w:t>
      </w:r>
    </w:p>
    <w:p>
      <w:pPr>
        <w:pStyle w:val="NormalBold"/>
      </w:pPr>
      <w:r>
        <w:rPr>
          <w:rStyle w:val="HideTWBExt"/>
        </w:rPr>
        <w:t>&lt;Rapporteur&gt;</w:t>
      </w:r>
      <w:r>
        <w:t>Dimitris Tsiodras, Piotr Müller</w:t>
      </w:r>
      <w:r>
        <w:rPr>
          <w:rStyle w:val="HideTWBExt"/>
        </w:rPr>
        <w:t>&lt;/Rapporteur&gt;</w:t>
      </w:r>
    </w:p>
    <w:p>
      <w:r>
        <w:rPr>
          <w:rStyle w:val="HideTWBExt"/>
        </w:rPr>
        <w:t>&lt;Titre&gt;</w:t>
      </w:r>
      <w:r>
        <w:t>Simplification of certain requirements and procedures for chemical products</w:t>
      </w:r>
      <w:r>
        <w:rPr>
          <w:rStyle w:val="HideTWBExt"/>
        </w:rPr>
        <w:t>&lt;/Titre&gt;</w:t>
      </w:r>
    </w:p>
    <w:p>
      <w:pPr>
        <w:pStyle w:val="Normal12a"/>
      </w:pPr>
      <w:r>
        <w:rPr>
          <w:rStyle w:val="HideTWBExt"/>
        </w:rPr>
        <w:t>&lt;DocRef&gt;</w:t>
      </w:r>
      <w:r>
        <w:t>(COM(2025)0531 – C10-0143/2025 – 2025/0531(COD))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 – paragraph 1 – point 4</w:t>
      </w:r>
      <w:r>
        <w:rPr>
          <w:rStyle w:val="HideTWBExt"/>
        </w:rPr>
        <w:t>&lt;/Article&gt;</w:t>
      </w:r>
    </w:p>
    <w:p>
      <w:r>
        <w:rPr>
          <w:rStyle w:val="HideTWBExt"/>
        </w:rPr>
        <w:t>&lt;DocAmend2&gt;</w:t>
      </w:r>
      <w:r>
        <w:t>Regulation (EC) No 1272/2008</w:t>
      </w:r>
      <w:r>
        <w:rPr>
          <w:rStyle w:val="HideTWBExt"/>
        </w:rPr>
        <w:t>&lt;/DocAmend2&gt;</w:t>
      </w:r>
    </w:p>
    <w:p>
      <w:r>
        <w:rPr>
          <w:rStyle w:val="HideTWBExt"/>
        </w:rPr>
        <w:t>&lt;Article2&gt;</w:t>
      </w:r>
      <w:r>
        <w:t>Article 29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The label elements </w:t>
            </w:r>
            <w:r>
              <w:rPr>
                <w:b/>
                <w:i/>
              </w:rPr>
              <w:t>set out</w:t>
            </w:r>
            <w:r>
              <w:t xml:space="preserve"> in Article 17(1) may be </w:t>
            </w:r>
            <w:r>
              <w:rPr>
                <w:b/>
                <w:i/>
              </w:rPr>
              <w:t>reduced in accordance with the rules set out in section 1.5.2 of Annex I</w:t>
            </w:r>
            <w:r>
              <w:t>.</w:t>
            </w:r>
            <w:r>
              <w:rPr>
                <w:b/>
                <w:i/>
              </w:rPr>
              <w:t>;</w:t>
            </w:r>
          </w:p>
        </w:tc>
        <w:tc>
          <w:tcPr>
            <w:tcW w:w="4876" w:type="dxa"/>
            <w:tcBorders>
              <w:top w:val="nil"/>
              <w:left w:val="nil"/>
              <w:bottom w:val="nil"/>
              <w:right w:val="nil"/>
            </w:tcBorders>
          </w:tcPr>
          <w:p>
            <w:pPr>
              <w:pStyle w:val="Normal6a"/>
            </w:pPr>
            <w:r>
              <w:t>2.</w:t>
            </w:r>
            <w:r>
              <w:tab/>
            </w:r>
            <w:r>
              <w:rPr>
                <w:b/>
                <w:i/>
              </w:rPr>
              <w:t>Where the packaging of a substance or mixture does not exceed 125 ml,</w:t>
            </w:r>
            <w:r>
              <w:t xml:space="preserve"> the label elements </w:t>
            </w:r>
            <w:r>
              <w:rPr>
                <w:b/>
                <w:i/>
              </w:rPr>
              <w:t>referred to</w:t>
            </w:r>
            <w:r>
              <w:t xml:space="preserve"> in Article 17(1) may be </w:t>
            </w:r>
            <w:r>
              <w:rPr>
                <w:b/>
                <w:i/>
              </w:rPr>
              <w:t>limited to those strictly necessary to ensure its safe use, taking into account the nature of the hazard and the conditions of use</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Small packaging cannot accommodate full labelling without reducing readability. A principle-based approach ensures proportionality while maintaining safety.</w:t>
      </w:r>
    </w:p>
    <w:p>
      <w:pPr>
        <w:sectPr>
          <w:type w:val="nextPage"/>
          <w:pgSz w:w="11909" w:h="16834"/>
          <w:pgMar w:top="1134" w:right="1417" w:bottom="1417" w:left="1417" w:header="1134" w:footer="567"/>
          <w:cols w:space="720"/>
        </w:sectPr>
      </w:pPr>
      <w:r>
        <w:rPr>
          <w:rStyle w:val="HideTWBExt"/>
        </w:rPr>
        <w:t>&lt;/Amend&gt;</w:t>
      </w:r>
    </w:p>
    <w:p>
      <w:pPr>
        <w:pStyle w:val="AmDateTab"/>
      </w:pPr>
      <w:r>
        <w:rPr>
          <w:rStyle w:val="HideTWBExt"/>
        </w:rPr>
        <w:t>&lt;Amend&gt;</w:t>
      </w:r>
      <w:r>
        <w:rPr>
          <w:rStyle w:val="HideTWBExt"/>
        </w:rPr>
        <w:t>&lt;Date&gt;</w:t>
      </w:r>
      <w:r>
        <w:rPr>
          <w:rStyle w:val="HideTWBInt"/>
        </w:rPr>
        <w:t>{14/10/2026}</w:t>
      </w:r>
      <w:r>
        <w:t>14.10.2026</w:t>
      </w:r>
      <w:r>
        <w:rPr>
          <w:rStyle w:val="HideTWBExt"/>
        </w:rPr>
        <w:t>&lt;/Date&gt;</w:t>
      </w:r>
      <w:r>
        <w:tab/>
      </w:r>
      <w:r>
        <w:rPr>
          <w:rStyle w:val="HideTWBExt"/>
        </w:rPr>
        <w:t>&lt;ANo&gt;</w:t>
      </w:r>
      <w:r>
        <w:t>A10-0104</w:t>
      </w:r>
      <w:r>
        <w:rPr>
          <w:rStyle w:val="HideTWBExt"/>
        </w:rPr>
        <w:t>&lt;/ANo&gt;</w:t>
      </w:r>
      <w:r>
        <w:t>/</w:t>
      </w:r>
      <w:r>
        <w:rPr>
          <w:rStyle w:val="HideTWBExt"/>
        </w:rPr>
        <w:t>&lt;NumAm&gt;</w:t>
      </w:r>
      <w:r>
        <w:t>123</w:t>
      </w:r>
      <w:r>
        <w:rPr>
          <w:rStyle w:val="HideTWBExt"/>
        </w:rPr>
        <w:t>&lt;/NumAm&gt;</w:t>
      </w:r>
    </w:p>
    <w:p>
      <w:pPr>
        <w:pStyle w:val="AmNumberTabs"/>
      </w:pPr>
      <w:r>
        <w:t>Amendment</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Volker Schnurrbusch, Anja Arndt, Marc Jongen</w:t>
      </w:r>
      <w:r>
        <w:rPr>
          <w:rStyle w:val="HideTWBExt"/>
          <w:b w:val="0"/>
        </w:rPr>
        <w:t>&lt;/Members&gt;</w:t>
      </w:r>
    </w:p>
    <w:p>
      <w:r>
        <w:rPr>
          <w:rStyle w:val="HideTWBExt"/>
        </w:rPr>
        <w:t>&lt;AuNomDe&gt;</w:t>
      </w:r>
      <w:r>
        <w:rPr>
          <w:rStyle w:val="HideTWBInt"/>
        </w:rPr>
        <w:t>{ESN}</w:t>
      </w:r>
      <w:r>
        <w:t>on behalf of the ESN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A10-0104/2026</w:t>
      </w:r>
    </w:p>
    <w:p>
      <w:pPr>
        <w:pStyle w:val="NormalBold"/>
      </w:pPr>
      <w:r>
        <w:rPr>
          <w:rStyle w:val="HideTWBExt"/>
        </w:rPr>
        <w:t>&lt;Rapporteur&gt;</w:t>
      </w:r>
      <w:r>
        <w:t>Dimitris Tsiodras, Piotr Müller</w:t>
      </w:r>
      <w:r>
        <w:rPr>
          <w:rStyle w:val="HideTWBExt"/>
        </w:rPr>
        <w:t>&lt;/Rapporteur&gt;</w:t>
      </w:r>
    </w:p>
    <w:p>
      <w:r>
        <w:rPr>
          <w:rStyle w:val="HideTWBExt"/>
        </w:rPr>
        <w:t>&lt;Titre&gt;</w:t>
      </w:r>
      <w:r>
        <w:t>Simplification of certain requirements and procedures for chemical products</w:t>
      </w:r>
      <w:r>
        <w:rPr>
          <w:rStyle w:val="HideTWBExt"/>
        </w:rPr>
        <w:t>&lt;/Titre&gt;</w:t>
      </w:r>
    </w:p>
    <w:p>
      <w:pPr>
        <w:pStyle w:val="Normal12a"/>
      </w:pPr>
      <w:r>
        <w:rPr>
          <w:rStyle w:val="HideTWBExt"/>
        </w:rPr>
        <w:t>&lt;DocRef&gt;</w:t>
      </w:r>
      <w:r>
        <w:t>(COM(2025)0531 – C10-0143/2025 – 2025/0531(COD))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 – paragraph 1 – point 5</w:t>
      </w:r>
      <w:r>
        <w:rPr>
          <w:rStyle w:val="HideTWBExt"/>
        </w:rPr>
        <w:t>&lt;/Article&gt;</w:t>
      </w:r>
    </w:p>
    <w:p>
      <w:r>
        <w:rPr>
          <w:rStyle w:val="HideTWBExt"/>
        </w:rPr>
        <w:t>&lt;DocAmend2&gt;</w:t>
      </w:r>
      <w:r>
        <w:t>Regulation 1272/2008</w:t>
      </w:r>
      <w:r>
        <w:rPr>
          <w:rStyle w:val="HideTWBExt"/>
        </w:rPr>
        <w:t>&lt;/DocAmend2&gt;</w:t>
      </w:r>
    </w:p>
    <w:p>
      <w:r>
        <w:rPr>
          <w:rStyle w:val="HideTWBExt"/>
        </w:rPr>
        <w:t>&lt;Article2&gt;</w:t>
      </w:r>
      <w:r>
        <w:t>Article 1 – paragraph 1 – point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In the event of a change regarding the classification or labelling of a substance or a mixture, which results in the addition of a new hazard class or in a more severe classification, or which requires new supplemental information on the label in accordance with Article 25, the supplier of that substance or that mixture shall ensure that the label is updated </w:t>
            </w:r>
            <w:r>
              <w:rPr>
                <w:b/>
                <w:i/>
              </w:rPr>
              <w:t>without undue delay</w:t>
            </w:r>
            <w:r>
              <w:t xml:space="preserve"> after the results of the new evaluation referred to in Article 15(4) are obtained by, or communicated to, that supplier.;</w:t>
            </w:r>
          </w:p>
        </w:tc>
        <w:tc>
          <w:tcPr>
            <w:tcW w:w="4876" w:type="dxa"/>
            <w:tcBorders>
              <w:top w:val="nil"/>
              <w:left w:val="nil"/>
              <w:bottom w:val="nil"/>
              <w:right w:val="nil"/>
            </w:tcBorders>
          </w:tcPr>
          <w:p>
            <w:pPr>
              <w:pStyle w:val="Normal6a"/>
            </w:pPr>
            <w:r>
              <w:t>1.</w:t>
            </w:r>
            <w:r>
              <w:tab/>
            </w:r>
            <w:r>
              <w:t xml:space="preserve">In the event of a change regarding the classification or labelling of a substance or a mixture, which results in the addition of a new hazard class or in a more severe classification, or which requires new supplemental information on the label in accordance with Article 25, the supplier of that substance or that mixture shall ensure that the label is updated </w:t>
            </w:r>
            <w:r>
              <w:rPr>
                <w:b/>
                <w:i/>
              </w:rPr>
              <w:t>no later than 36 months</w:t>
            </w:r>
            <w:r>
              <w:t xml:space="preserve"> after the results of the new evaluation referred to in Article 15(4) are obtained by, or communicated to, that supplier.;</w:t>
            </w:r>
          </w:p>
        </w:tc>
      </w:tr>
    </w:tbl>
    <w:p>
      <w:pPr>
        <w:pStyle w:val="AmOrLang"/>
      </w:pPr>
      <w:r>
        <w:t xml:space="preserve">Or. </w:t>
      </w:r>
      <w:r>
        <w:rPr>
          <w:rStyle w:val="HideTWBExt"/>
        </w:rPr>
        <w:t>&lt;Original&gt;</w:t>
      </w:r>
      <w:r>
        <w:rPr>
          <w:rStyle w:val="HideTWBInt"/>
        </w:rPr>
        <w:t>{EN}</w:t>
      </w:r>
      <w:r>
        <w:t>en</w:t>
      </w:r>
      <w:r>
        <w:rPr>
          <w:rStyle w:val="HideTWBExt"/>
        </w:rPr>
        <w:t>&lt;/Original&gt;</w:t>
      </w:r>
    </w:p>
    <w:p>
      <w:pPr>
        <w:sectPr>
          <w:type w:val="nextPage"/>
          <w:pgSz w:w="11909" w:h="16834"/>
          <w:pgMar w:top="1134" w:right="1417" w:bottom="1417" w:left="1417" w:header="1134" w:footer="567"/>
          <w:cols w:space="720"/>
        </w:sectPr>
      </w:pPr>
      <w:r>
        <w:rPr>
          <w:rStyle w:val="HideTWBExt"/>
        </w:rPr>
        <w:t>&lt;/Amend&gt;</w:t>
      </w:r>
    </w:p>
    <w:p>
      <w:pPr>
        <w:pStyle w:val="AmDateTab"/>
      </w:pPr>
      <w:r>
        <w:rPr>
          <w:rStyle w:val="HideTWBExt"/>
        </w:rPr>
        <w:t>&lt;Amend&gt;</w:t>
      </w:r>
      <w:r>
        <w:rPr>
          <w:rStyle w:val="HideTWBExt"/>
        </w:rPr>
        <w:t>&lt;Date&gt;</w:t>
      </w:r>
      <w:r>
        <w:rPr>
          <w:rStyle w:val="HideTWBInt"/>
        </w:rPr>
        <w:t>{14/10/2026}</w:t>
      </w:r>
      <w:r>
        <w:t>14.10.2026</w:t>
      </w:r>
      <w:r>
        <w:rPr>
          <w:rStyle w:val="HideTWBExt"/>
        </w:rPr>
        <w:t>&lt;/Date&gt;</w:t>
      </w:r>
      <w:r>
        <w:tab/>
      </w:r>
      <w:r>
        <w:rPr>
          <w:rStyle w:val="HideTWBExt"/>
        </w:rPr>
        <w:t>&lt;ANo&gt;</w:t>
      </w:r>
      <w:r>
        <w:t>A10-0104</w:t>
      </w:r>
      <w:r>
        <w:rPr>
          <w:rStyle w:val="HideTWBExt"/>
        </w:rPr>
        <w:t>&lt;/ANo&gt;</w:t>
      </w:r>
      <w:r>
        <w:t>/</w:t>
      </w:r>
      <w:r>
        <w:rPr>
          <w:rStyle w:val="HideTWBExt"/>
        </w:rPr>
        <w:t>&lt;NumAm&gt;</w:t>
      </w:r>
      <w:r>
        <w:t>124</w:t>
      </w:r>
      <w:r>
        <w:rPr>
          <w:rStyle w:val="HideTWBExt"/>
        </w:rPr>
        <w:t>&lt;/NumAm&gt;</w:t>
      </w:r>
    </w:p>
    <w:p>
      <w:pPr>
        <w:pStyle w:val="AmNumberTabs"/>
      </w:pPr>
      <w:r>
        <w:t>Amendment</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Volker Schnurrbusch, Anja Arndt, Marc Jongen</w:t>
      </w:r>
      <w:r>
        <w:rPr>
          <w:rStyle w:val="HideTWBExt"/>
          <w:b w:val="0"/>
        </w:rPr>
        <w:t>&lt;/Members&gt;</w:t>
      </w:r>
    </w:p>
    <w:p>
      <w:r>
        <w:rPr>
          <w:rStyle w:val="HideTWBExt"/>
        </w:rPr>
        <w:t>&lt;AuNomDe&gt;</w:t>
      </w:r>
      <w:r>
        <w:rPr>
          <w:rStyle w:val="HideTWBInt"/>
        </w:rPr>
        <w:t>{ESN}</w:t>
      </w:r>
      <w:r>
        <w:t>on behalf of the ESN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A10-0104/2026</w:t>
      </w:r>
    </w:p>
    <w:p>
      <w:pPr>
        <w:pStyle w:val="NormalBold"/>
      </w:pPr>
      <w:r>
        <w:rPr>
          <w:rStyle w:val="HideTWBExt"/>
        </w:rPr>
        <w:t>&lt;Rapporteur&gt;</w:t>
      </w:r>
      <w:r>
        <w:t>Dimitris Tsiodras, Piotr Müller</w:t>
      </w:r>
      <w:r>
        <w:rPr>
          <w:rStyle w:val="HideTWBExt"/>
        </w:rPr>
        <w:t>&lt;/Rapporteur&gt;</w:t>
      </w:r>
    </w:p>
    <w:p>
      <w:r>
        <w:rPr>
          <w:rStyle w:val="HideTWBExt"/>
        </w:rPr>
        <w:t>&lt;Titre&gt;</w:t>
      </w:r>
      <w:r>
        <w:t>Simplification of certain requirements and procedures for chemical products</w:t>
      </w:r>
      <w:r>
        <w:rPr>
          <w:rStyle w:val="HideTWBExt"/>
        </w:rPr>
        <w:t>&lt;/Titre&gt;</w:t>
      </w:r>
    </w:p>
    <w:p>
      <w:pPr>
        <w:pStyle w:val="Normal12a"/>
      </w:pPr>
      <w:r>
        <w:rPr>
          <w:rStyle w:val="HideTWBExt"/>
        </w:rPr>
        <w:t>&lt;DocRef&gt;</w:t>
      </w:r>
      <w:r>
        <w:t>(COM(2025)0531 – C10-0143/2025 – 2025/0531(COD))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 – paragraph 1 – point 6</w:t>
      </w:r>
      <w:r>
        <w:rPr>
          <w:rStyle w:val="HideTWBExt"/>
        </w:rPr>
        <w:t>&lt;/Article&gt;</w:t>
      </w:r>
    </w:p>
    <w:p>
      <w:r>
        <w:rPr>
          <w:rStyle w:val="HideTWBExt"/>
        </w:rPr>
        <w:t>&lt;DocAmend2&gt;</w:t>
      </w:r>
      <w:r>
        <w:t>Regulation (EC) No 1272/2008</w:t>
      </w:r>
      <w:r>
        <w:rPr>
          <w:rStyle w:val="HideTWBExt"/>
        </w:rPr>
        <w:t>&lt;/DocAmend2&gt;</w:t>
      </w:r>
    </w:p>
    <w:p>
      <w:r>
        <w:rPr>
          <w:rStyle w:val="HideTWBExt"/>
        </w:rPr>
        <w:t>&lt;Article2&gt;</w:t>
      </w:r>
      <w:r>
        <w:t>Article 1 – paragraph 1 – point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The</w:t>
            </w:r>
            <w:r>
              <w:t xml:space="preserve"> label elements </w:t>
            </w:r>
            <w:r>
              <w:rPr>
                <w:b/>
                <w:i/>
              </w:rPr>
              <w:t>referred to in Article 17(1)</w:t>
            </w:r>
            <w:r>
              <w:t xml:space="preserve"> shall be clearly and indelibly marked</w:t>
            </w:r>
            <w:r>
              <w:rPr>
                <w:b/>
                <w:i/>
              </w:rPr>
              <w:t>. They shall stand out clearly from the background and they shall be of such a size and be spaced in such a way as to be</w:t>
            </w:r>
            <w:r>
              <w:t xml:space="preserve"> easily </w:t>
            </w:r>
            <w:r>
              <w:rPr>
                <w:b/>
                <w:i/>
              </w:rPr>
              <w:t>read</w:t>
            </w:r>
            <w:r>
              <w:t>.</w:t>
            </w:r>
            <w:r>
              <w:rPr>
                <w:b/>
                <w:i/>
              </w:rPr>
              <w:t>;</w:t>
            </w:r>
          </w:p>
        </w:tc>
        <w:tc>
          <w:tcPr>
            <w:tcW w:w="4876" w:type="dxa"/>
            <w:tcBorders>
              <w:top w:val="nil"/>
              <w:left w:val="nil"/>
              <w:bottom w:val="nil"/>
              <w:right w:val="nil"/>
            </w:tcBorders>
          </w:tcPr>
          <w:p>
            <w:pPr>
              <w:pStyle w:val="Normal6a"/>
            </w:pPr>
            <w:r>
              <w:t>3.</w:t>
            </w:r>
            <w:r>
              <w:tab/>
            </w:r>
            <w:r>
              <w:t xml:space="preserve">Label elements shall be clearly and indelibly marked </w:t>
            </w:r>
            <w:r>
              <w:rPr>
                <w:b/>
                <w:i/>
              </w:rPr>
              <w:t>and</w:t>
            </w:r>
            <w:r>
              <w:t xml:space="preserve"> easily </w:t>
            </w:r>
            <w:r>
              <w:rPr>
                <w:b/>
                <w:i/>
              </w:rPr>
              <w:t>readable</w:t>
            </w:r>
            <w:r>
              <w:t xml:space="preserve">. </w:t>
            </w:r>
            <w:r>
              <w:rPr>
                <w:b/>
                <w:i/>
              </w:rPr>
              <w:t>Detailed formatting requirements shall not impose disproportionate administrative or technical burdens on economic operators.</w:t>
            </w:r>
          </w:p>
        </w:tc>
      </w:tr>
    </w:tbl>
    <w:p>
      <w:pPr>
        <w:pStyle w:val="AmOrLang"/>
      </w:pPr>
      <w:r>
        <w:t xml:space="preserve">Or. </w:t>
      </w:r>
      <w:r>
        <w:rPr>
          <w:rStyle w:val="HideTWBExt"/>
        </w:rPr>
        <w:t>&lt;Original&gt;</w:t>
      </w:r>
      <w:r>
        <w:rPr>
          <w:rStyle w:val="HideTWBInt"/>
        </w:rPr>
        <w:t>{EN}</w:t>
      </w:r>
      <w:r>
        <w:t>en</w:t>
      </w:r>
      <w:r>
        <w:rPr>
          <w:rStyle w:val="HideTWBExt"/>
        </w:rPr>
        <w:t>&lt;/Original&gt;</w:t>
      </w:r>
    </w:p>
    <w:p>
      <w:pPr>
        <w:sectPr>
          <w:type w:val="nextPage"/>
          <w:pgSz w:w="11909" w:h="16834"/>
          <w:pgMar w:top="1134" w:right="1417" w:bottom="1417" w:left="1417" w:header="1134" w:footer="567"/>
          <w:cols w:space="720"/>
        </w:sectPr>
      </w:pPr>
      <w:r>
        <w:rPr>
          <w:rStyle w:val="HideTWBExt"/>
        </w:rPr>
        <w:t>&lt;/Amend&gt;</w:t>
      </w:r>
    </w:p>
    <w:p>
      <w:pPr>
        <w:pStyle w:val="AmDateTab"/>
      </w:pPr>
      <w:r>
        <w:rPr>
          <w:rStyle w:val="HideTWBExt"/>
        </w:rPr>
        <w:t>&lt;Amend&gt;</w:t>
      </w:r>
      <w:r>
        <w:rPr>
          <w:rStyle w:val="HideTWBExt"/>
        </w:rPr>
        <w:t>&lt;Date&gt;</w:t>
      </w:r>
      <w:r>
        <w:rPr>
          <w:rStyle w:val="HideTWBInt"/>
        </w:rPr>
        <w:t>{14/10/2026}</w:t>
      </w:r>
      <w:r>
        <w:t>14.10.2026</w:t>
      </w:r>
      <w:r>
        <w:rPr>
          <w:rStyle w:val="HideTWBExt"/>
        </w:rPr>
        <w:t>&lt;/Date&gt;</w:t>
      </w:r>
      <w:r>
        <w:tab/>
      </w:r>
      <w:r>
        <w:rPr>
          <w:rStyle w:val="HideTWBExt"/>
        </w:rPr>
        <w:t>&lt;ANo&gt;</w:t>
      </w:r>
      <w:r>
        <w:t>A10-0104</w:t>
      </w:r>
      <w:r>
        <w:rPr>
          <w:rStyle w:val="HideTWBExt"/>
        </w:rPr>
        <w:t>&lt;/ANo&gt;</w:t>
      </w:r>
      <w:r>
        <w:t>/</w:t>
      </w:r>
      <w:r>
        <w:rPr>
          <w:rStyle w:val="HideTWBExt"/>
        </w:rPr>
        <w:t>&lt;NumAm&gt;</w:t>
      </w:r>
      <w:r>
        <w:t>125</w:t>
      </w:r>
      <w:r>
        <w:rPr>
          <w:rStyle w:val="HideTWBExt"/>
        </w:rPr>
        <w:t>&lt;/NumAm&gt;</w:t>
      </w:r>
    </w:p>
    <w:p>
      <w:pPr>
        <w:pStyle w:val="AmNumberTabs"/>
      </w:pPr>
      <w:r>
        <w:t>Amendment</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Volker Schnurrbusch, Marc Jongen, Anja Arndt</w:t>
      </w:r>
      <w:r>
        <w:rPr>
          <w:rStyle w:val="HideTWBExt"/>
          <w:b w:val="0"/>
        </w:rPr>
        <w:t>&lt;/Members&gt;</w:t>
      </w:r>
    </w:p>
    <w:p>
      <w:r>
        <w:rPr>
          <w:rStyle w:val="HideTWBExt"/>
        </w:rPr>
        <w:t>&lt;AuNomDe&gt;</w:t>
      </w:r>
      <w:r>
        <w:rPr>
          <w:rStyle w:val="HideTWBInt"/>
        </w:rPr>
        <w:t>{ESN}</w:t>
      </w:r>
      <w:r>
        <w:t>on behalf of the ESN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A10-0104/2026</w:t>
      </w:r>
    </w:p>
    <w:p>
      <w:pPr>
        <w:pStyle w:val="NormalBold"/>
      </w:pPr>
      <w:r>
        <w:rPr>
          <w:rStyle w:val="HideTWBExt"/>
        </w:rPr>
        <w:t>&lt;Rapporteur&gt;</w:t>
      </w:r>
      <w:r>
        <w:t>Dimitris Tsiodras, Piotr Müller</w:t>
      </w:r>
      <w:r>
        <w:rPr>
          <w:rStyle w:val="HideTWBExt"/>
        </w:rPr>
        <w:t>&lt;/Rapporteur&gt;</w:t>
      </w:r>
    </w:p>
    <w:p>
      <w:r>
        <w:rPr>
          <w:rStyle w:val="HideTWBExt"/>
        </w:rPr>
        <w:t>&lt;Titre&gt;</w:t>
      </w:r>
      <w:r>
        <w:t>Simplification of certain requirements and procedures for chemical products</w:t>
      </w:r>
      <w:r>
        <w:rPr>
          <w:rStyle w:val="HideTWBExt"/>
        </w:rPr>
        <w:t>&lt;/Titre&gt;</w:t>
      </w:r>
    </w:p>
    <w:p>
      <w:pPr>
        <w:pStyle w:val="Normal12a"/>
      </w:pPr>
      <w:r>
        <w:rPr>
          <w:rStyle w:val="HideTWBExt"/>
        </w:rPr>
        <w:t>&lt;DocRef&gt;</w:t>
      </w:r>
      <w:r>
        <w:t>(COM(2025)0531 – C10-0143/2025 – 2025/0531(COD))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 – paragraph 1 – point 1</w:t>
      </w:r>
      <w:r>
        <w:rPr>
          <w:rStyle w:val="HideTWBExt"/>
        </w:rPr>
        <w:t>&lt;/Article&gt;</w:t>
      </w:r>
    </w:p>
    <w:p>
      <w:r>
        <w:rPr>
          <w:rStyle w:val="HideTWBExt"/>
        </w:rPr>
        <w:t>&lt;DocAmend2&gt;</w:t>
      </w:r>
      <w:r>
        <w:t>Regulation (EC) No 1223/2009</w:t>
      </w:r>
      <w:r>
        <w:rPr>
          <w:rStyle w:val="HideTWBExt"/>
        </w:rPr>
        <w:t>&lt;/DocAmend2&gt;</w:t>
      </w:r>
    </w:p>
    <w:p>
      <w:r>
        <w:rPr>
          <w:rStyle w:val="HideTWBExt"/>
        </w:rPr>
        <w:t>&lt;Article2&gt;</w:t>
      </w:r>
      <w:r>
        <w:t>Article 14a – paragraph 4 (new)</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Where the SCCS concludes that a substance is safe for the requested use, the Commission shall, within three months of receiving the opinion referred to in paragraph 3 of this Article, initiate the procedure for including the substance in the relevant Annex in accordance with Article 31(2), unless it communicates to the applicant, within the same period, a duly reasoned decision not to initiate that procedure.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A positive scientific assessment must lead to timely administrative action. Businesses investing in safe ingredients need predictable procedures. The Commission should not leave applications unresolved or disregard a favourable assessment without providing specific reasons.</w:t>
      </w:r>
    </w:p>
    <w:p>
      <w:pPr>
        <w:sectPr>
          <w:type w:val="nextPage"/>
          <w:pgSz w:w="11909" w:h="16834"/>
          <w:pgMar w:top="1134" w:right="1417" w:bottom="1417" w:left="1417" w:header="1134" w:footer="567"/>
          <w:cols w:space="720"/>
        </w:sectPr>
      </w:pPr>
      <w:r>
        <w:rPr>
          <w:rStyle w:val="HideTWBExt"/>
        </w:rPr>
        <w:t>&lt;/Amend&gt;</w:t>
      </w:r>
    </w:p>
    <w:p>
      <w:pPr>
        <w:pStyle w:val="AmDateTab"/>
      </w:pPr>
      <w:r>
        <w:rPr>
          <w:rStyle w:val="HideTWBExt"/>
        </w:rPr>
        <w:t>&lt;Amend&gt;</w:t>
      </w:r>
      <w:r>
        <w:rPr>
          <w:rStyle w:val="HideTWBExt"/>
        </w:rPr>
        <w:t>&lt;Date&gt;</w:t>
      </w:r>
      <w:r>
        <w:rPr>
          <w:rStyle w:val="HideTWBInt"/>
        </w:rPr>
        <w:t>{14/10/2026}</w:t>
      </w:r>
      <w:r>
        <w:t>14.10.2026</w:t>
      </w:r>
      <w:r>
        <w:rPr>
          <w:rStyle w:val="HideTWBExt"/>
        </w:rPr>
        <w:t>&lt;/Date&gt;</w:t>
      </w:r>
      <w:r>
        <w:tab/>
      </w:r>
      <w:r>
        <w:rPr>
          <w:rStyle w:val="HideTWBExt"/>
        </w:rPr>
        <w:t>&lt;ANo&gt;</w:t>
      </w:r>
      <w:r>
        <w:t>A10-0104</w:t>
      </w:r>
      <w:r>
        <w:rPr>
          <w:rStyle w:val="HideTWBExt"/>
        </w:rPr>
        <w:t>&lt;/ANo&gt;</w:t>
      </w:r>
      <w:r>
        <w:t>/</w:t>
      </w:r>
      <w:r>
        <w:rPr>
          <w:rStyle w:val="HideTWBExt"/>
        </w:rPr>
        <w:t>&lt;NumAm&gt;</w:t>
      </w:r>
      <w:r>
        <w:t>126</w:t>
      </w:r>
      <w:r>
        <w:rPr>
          <w:rStyle w:val="HideTWBExt"/>
        </w:rPr>
        <w:t>&lt;/NumAm&gt;</w:t>
      </w:r>
    </w:p>
    <w:p>
      <w:pPr>
        <w:pStyle w:val="AmNumberTabs"/>
      </w:pPr>
      <w:r>
        <w:t>Amendment</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Volker Schnurrbusch, Marc Jongen, Anja Arndt</w:t>
      </w:r>
      <w:r>
        <w:rPr>
          <w:rStyle w:val="HideTWBExt"/>
          <w:b w:val="0"/>
        </w:rPr>
        <w:t>&lt;/Members&gt;</w:t>
      </w:r>
    </w:p>
    <w:p>
      <w:r>
        <w:rPr>
          <w:rStyle w:val="HideTWBExt"/>
        </w:rPr>
        <w:t>&lt;AuNomDe&gt;</w:t>
      </w:r>
      <w:r>
        <w:rPr>
          <w:rStyle w:val="HideTWBInt"/>
        </w:rPr>
        <w:t>{ESN}</w:t>
      </w:r>
      <w:r>
        <w:t>on behalf of the ESN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A10-0104/2026</w:t>
      </w:r>
    </w:p>
    <w:p>
      <w:pPr>
        <w:pStyle w:val="NormalBold"/>
      </w:pPr>
      <w:r>
        <w:rPr>
          <w:rStyle w:val="HideTWBExt"/>
        </w:rPr>
        <w:t>&lt;Rapporteur&gt;</w:t>
      </w:r>
      <w:r>
        <w:t>Dimitris Tsiodras, Piotr Müller</w:t>
      </w:r>
      <w:r>
        <w:rPr>
          <w:rStyle w:val="HideTWBExt"/>
        </w:rPr>
        <w:t>&lt;/Rapporteur&gt;</w:t>
      </w:r>
    </w:p>
    <w:p>
      <w:r>
        <w:rPr>
          <w:rStyle w:val="HideTWBExt"/>
        </w:rPr>
        <w:t>&lt;Titre&gt;</w:t>
      </w:r>
      <w:r>
        <w:t>Simplification of certain requirements and procedures for chemical products</w:t>
      </w:r>
      <w:r>
        <w:rPr>
          <w:rStyle w:val="HideTWBExt"/>
        </w:rPr>
        <w:t>&lt;/Titre&gt;</w:t>
      </w:r>
    </w:p>
    <w:p>
      <w:pPr>
        <w:pStyle w:val="Normal12a"/>
      </w:pPr>
      <w:r>
        <w:rPr>
          <w:rStyle w:val="HideTWBExt"/>
        </w:rPr>
        <w:t>&lt;DocRef&gt;</w:t>
      </w:r>
      <w:r>
        <w:t>(COM(2025)0531 – C10-0143/2025 – 2025/0531(COD))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 – paragraph 1 – point 2 – point a – point i</w:t>
      </w:r>
      <w:r>
        <w:rPr>
          <w:rStyle w:val="HideTWBExt"/>
        </w:rPr>
        <w:t>&lt;/Article&gt;</w:t>
      </w:r>
    </w:p>
    <w:p>
      <w:r>
        <w:rPr>
          <w:rStyle w:val="HideTWBExt"/>
        </w:rPr>
        <w:t>&lt;DocAmend2&gt;</w:t>
      </w:r>
      <w:r>
        <w:t>Regulation (EC) No 1223/2009</w:t>
      </w:r>
      <w:r>
        <w:rPr>
          <w:rStyle w:val="HideTWBExt"/>
        </w:rPr>
        <w:t>&lt;/DocAmend2&gt;</w:t>
      </w:r>
    </w:p>
    <w:p>
      <w:r>
        <w:rPr>
          <w:rStyle w:val="HideTWBExt"/>
        </w:rPr>
        <w:t>&lt;Article2&gt;</w:t>
      </w:r>
      <w:r>
        <w:t>Article 15 – paragraph 2 – subparagraph 2 – sentence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However, such substances may be used in cosmetic products if a derogation request is submitted to the Commission at the latest </w:t>
            </w:r>
            <w:r>
              <w:rPr>
                <w:b/>
                <w:i/>
              </w:rPr>
              <w:t>three</w:t>
            </w:r>
            <w:r>
              <w:t xml:space="preserve"> months after </w:t>
            </w:r>
            <w:r>
              <w:rPr>
                <w:b/>
                <w:i/>
              </w:rPr>
              <w:t>at</w:t>
            </w:r>
            <w:r>
              <w:t xml:space="preserve"> the date of entry into force of the amendments to Part 3 of Annex VI to Regulation (EC) No 1272/2008 classifying the substance as CMR substance of category 1A or 1B. The Commission shall grant the derogation where all of the following conditions are fulfilled:</w:t>
            </w:r>
          </w:p>
        </w:tc>
        <w:tc>
          <w:tcPr>
            <w:tcW w:w="4876" w:type="dxa"/>
            <w:tcBorders>
              <w:top w:val="nil"/>
              <w:left w:val="nil"/>
              <w:bottom w:val="nil"/>
              <w:right w:val="nil"/>
            </w:tcBorders>
          </w:tcPr>
          <w:p>
            <w:pPr>
              <w:pStyle w:val="Normal6a"/>
            </w:pPr>
            <w:r>
              <w:t>2.</w:t>
            </w:r>
            <w:r>
              <w:tab/>
            </w:r>
            <w:r>
              <w:t xml:space="preserve">However, such substances may be used in cosmetic products if a derogation request is submitted to the Commission at the latest </w:t>
            </w:r>
            <w:r>
              <w:rPr>
                <w:b/>
                <w:i/>
              </w:rPr>
              <w:t>six</w:t>
            </w:r>
            <w:r>
              <w:t xml:space="preserve"> months after the date of entry into force of the amendments to Part 3 of Annex VI to Regulation (EC) No 1272/2008 classifying the substance as CMR substance of category 1A or 1B. The Commission shall grant the derogation where all of the following conditions are fulfilled: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Manufacturers, particularly SMEs, need sufficient time to assemble the scientific evidence and analysis of alternatives required for a derogation request. Extending the submission period to six months makes the procedure more workable without changing the safety conditions for granting a derogation.</w:t>
      </w:r>
    </w:p>
    <w:p>
      <w:pPr>
        <w:sectPr>
          <w:type w:val="nextPage"/>
          <w:pgSz w:w="11909" w:h="16834"/>
          <w:pgMar w:top="1134" w:right="1417" w:bottom="1417" w:left="1417" w:header="1134" w:footer="567"/>
          <w:cols w:space="720"/>
        </w:sectPr>
      </w:pPr>
      <w:r>
        <w:rPr>
          <w:rStyle w:val="HideTWBExt"/>
        </w:rPr>
        <w:t>&lt;/Amend&gt;</w:t>
      </w:r>
    </w:p>
    <w:p>
      <w:pPr>
        <w:pStyle w:val="AmDateTab"/>
      </w:pPr>
      <w:r>
        <w:rPr>
          <w:rStyle w:val="HideTWBExt"/>
        </w:rPr>
        <w:t>&lt;Amend&gt;</w:t>
      </w:r>
      <w:r>
        <w:rPr>
          <w:rStyle w:val="HideTWBExt"/>
        </w:rPr>
        <w:t>&lt;Date&gt;</w:t>
      </w:r>
      <w:r>
        <w:rPr>
          <w:rStyle w:val="HideTWBInt"/>
        </w:rPr>
        <w:t>{14/10/2026}</w:t>
      </w:r>
      <w:r>
        <w:t>14.10.2026</w:t>
      </w:r>
      <w:r>
        <w:rPr>
          <w:rStyle w:val="HideTWBExt"/>
        </w:rPr>
        <w:t>&lt;/Date&gt;</w:t>
      </w:r>
      <w:r>
        <w:tab/>
      </w:r>
      <w:r>
        <w:rPr>
          <w:rStyle w:val="HideTWBExt"/>
        </w:rPr>
        <w:t>&lt;ANo&gt;</w:t>
      </w:r>
      <w:r>
        <w:t>A10-0104</w:t>
      </w:r>
      <w:r>
        <w:rPr>
          <w:rStyle w:val="HideTWBExt"/>
        </w:rPr>
        <w:t>&lt;/ANo&gt;</w:t>
      </w:r>
      <w:r>
        <w:t>/</w:t>
      </w:r>
      <w:r>
        <w:rPr>
          <w:rStyle w:val="HideTWBExt"/>
        </w:rPr>
        <w:t>&lt;NumAm&gt;</w:t>
      </w:r>
      <w:r>
        <w:t>127</w:t>
      </w:r>
      <w:r>
        <w:rPr>
          <w:rStyle w:val="HideTWBExt"/>
        </w:rPr>
        <w:t>&lt;/NumAm&gt;</w:t>
      </w:r>
    </w:p>
    <w:p>
      <w:pPr>
        <w:pStyle w:val="AmNumberTabs"/>
      </w:pPr>
      <w:r>
        <w:t>Amendment</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Volker Schnurrbusch, Marc Jongen, Anja Arndt</w:t>
      </w:r>
      <w:r>
        <w:rPr>
          <w:rStyle w:val="HideTWBExt"/>
          <w:b w:val="0"/>
        </w:rPr>
        <w:t>&lt;/Members&gt;</w:t>
      </w:r>
    </w:p>
    <w:p>
      <w:r>
        <w:rPr>
          <w:rStyle w:val="HideTWBExt"/>
        </w:rPr>
        <w:t>&lt;AuNomDe&gt;</w:t>
      </w:r>
      <w:r>
        <w:rPr>
          <w:rStyle w:val="HideTWBInt"/>
        </w:rPr>
        <w:t>{ESN}</w:t>
      </w:r>
      <w:r>
        <w:t>on behalf of the ESN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A10-0104/2026</w:t>
      </w:r>
    </w:p>
    <w:p>
      <w:pPr>
        <w:pStyle w:val="NormalBold"/>
      </w:pPr>
      <w:r>
        <w:rPr>
          <w:rStyle w:val="HideTWBExt"/>
        </w:rPr>
        <w:t>&lt;Rapporteur&gt;</w:t>
      </w:r>
      <w:r>
        <w:t>Dimitris Tsiodras, Piotr Müller</w:t>
      </w:r>
      <w:r>
        <w:rPr>
          <w:rStyle w:val="HideTWBExt"/>
        </w:rPr>
        <w:t>&lt;/Rapporteur&gt;</w:t>
      </w:r>
    </w:p>
    <w:p>
      <w:r>
        <w:rPr>
          <w:rStyle w:val="HideTWBExt"/>
        </w:rPr>
        <w:t>&lt;Titre&gt;</w:t>
      </w:r>
      <w:r>
        <w:t>Simplification of certain requirements and procedures for chemical products</w:t>
      </w:r>
      <w:r>
        <w:rPr>
          <w:rStyle w:val="HideTWBExt"/>
        </w:rPr>
        <w:t>&lt;/Titre&gt;</w:t>
      </w:r>
    </w:p>
    <w:p>
      <w:pPr>
        <w:pStyle w:val="Normal12a"/>
      </w:pPr>
      <w:r>
        <w:rPr>
          <w:rStyle w:val="HideTWBExt"/>
        </w:rPr>
        <w:t>&lt;DocRef&gt;</w:t>
      </w:r>
      <w:r>
        <w:t>(COM(2025)0531 – C10-0143/2025 – 2025/0531(COD))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 – paragraph 1 – point 2 – point a – point ii</w:t>
      </w:r>
      <w:r>
        <w:rPr>
          <w:rStyle w:val="HideTWBExt"/>
        </w:rPr>
        <w:t>&lt;/Article&gt;</w:t>
      </w:r>
    </w:p>
    <w:p>
      <w:r>
        <w:rPr>
          <w:rStyle w:val="HideTWBExt"/>
        </w:rPr>
        <w:t>&lt;DocAmend2&gt;</w:t>
      </w:r>
      <w:r>
        <w:t>Regulation (EC) No 1223/2009</w:t>
      </w:r>
      <w:r>
        <w:rPr>
          <w:rStyle w:val="HideTWBExt"/>
        </w:rPr>
        <w:t>&lt;/DocAmend2&gt;</w:t>
      </w:r>
    </w:p>
    <w:p>
      <w:r>
        <w:rPr>
          <w:rStyle w:val="HideTWBExt"/>
        </w:rPr>
        <w:t>&lt;Article2&gt;</w:t>
      </w:r>
      <w:r>
        <w:t>Article 15 – paragraph 2 – subparagraph 3 – point c</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is technically feasible and economically viable;</w:t>
            </w:r>
          </w:p>
        </w:tc>
        <w:tc>
          <w:tcPr>
            <w:tcW w:w="4876" w:type="dxa"/>
            <w:tcBorders>
              <w:top w:val="nil"/>
              <w:left w:val="nil"/>
              <w:bottom w:val="nil"/>
              <w:right w:val="nil"/>
            </w:tcBorders>
          </w:tcPr>
          <w:p>
            <w:pPr>
              <w:pStyle w:val="Normal6a"/>
            </w:pPr>
            <w:r>
              <w:t>(c)</w:t>
            </w:r>
            <w:r>
              <w:tab/>
            </w:r>
            <w:r>
              <w:t xml:space="preserve">is technically feasible and economically viable </w:t>
            </w:r>
            <w:r>
              <w:rPr>
                <w:b/>
                <w:i/>
              </w:rPr>
              <w:t>for the economic operators concerned, including small and medium-sized enterprises, taking account of reformulation costs and the investment required to adapt production processes</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An alternative is not economically viable merely because it exists. Manufacturers must be able to introduce it without disproportionate reformulation costs or investment requirements. SMEs should not be forced out of the market by requirements that only large manufacturers can afford to meet.</w:t>
      </w:r>
    </w:p>
    <w:p>
      <w:pPr>
        <w:sectPr>
          <w:type w:val="nextPage"/>
          <w:pgSz w:w="11909" w:h="16834"/>
          <w:pgMar w:top="1134" w:right="1417" w:bottom="1417" w:left="1417" w:header="1134" w:footer="567"/>
          <w:cols w:space="720"/>
        </w:sectPr>
      </w:pPr>
      <w:r>
        <w:rPr>
          <w:rStyle w:val="HideTWBExt"/>
        </w:rPr>
        <w:t>&lt;/Amend&gt;</w:t>
      </w:r>
    </w:p>
    <w:p>
      <w:pPr>
        <w:pStyle w:val="AmDateTab"/>
      </w:pPr>
      <w:r>
        <w:rPr>
          <w:rStyle w:val="HideTWBExt"/>
        </w:rPr>
        <w:t>&lt;Amend&gt;</w:t>
      </w:r>
      <w:r>
        <w:rPr>
          <w:rStyle w:val="HideTWBExt"/>
        </w:rPr>
        <w:t>&lt;Date&gt;</w:t>
      </w:r>
      <w:r>
        <w:rPr>
          <w:rStyle w:val="HideTWBInt"/>
        </w:rPr>
        <w:t>{14/10/2026}</w:t>
      </w:r>
      <w:r>
        <w:t>14.10.2026</w:t>
      </w:r>
      <w:r>
        <w:rPr>
          <w:rStyle w:val="HideTWBExt"/>
        </w:rPr>
        <w:t>&lt;/Date&gt;</w:t>
      </w:r>
      <w:r>
        <w:tab/>
      </w:r>
      <w:r>
        <w:rPr>
          <w:rStyle w:val="HideTWBExt"/>
        </w:rPr>
        <w:t>&lt;ANo&gt;</w:t>
      </w:r>
      <w:r>
        <w:t>A10-0104</w:t>
      </w:r>
      <w:r>
        <w:rPr>
          <w:rStyle w:val="HideTWBExt"/>
        </w:rPr>
        <w:t>&lt;/ANo&gt;</w:t>
      </w:r>
      <w:r>
        <w:t>/</w:t>
      </w:r>
      <w:r>
        <w:rPr>
          <w:rStyle w:val="HideTWBExt"/>
        </w:rPr>
        <w:t>&lt;NumAm&gt;</w:t>
      </w:r>
      <w:r>
        <w:t>128</w:t>
      </w:r>
      <w:r>
        <w:rPr>
          <w:rStyle w:val="HideTWBExt"/>
        </w:rPr>
        <w:t>&lt;/NumAm&gt;</w:t>
      </w:r>
    </w:p>
    <w:p>
      <w:pPr>
        <w:pStyle w:val="AmNumberTabs"/>
      </w:pPr>
      <w:r>
        <w:t>Amendment</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Volker Schnurrbusch, Marc Jongen, Anja Arndt</w:t>
      </w:r>
      <w:r>
        <w:rPr>
          <w:rStyle w:val="HideTWBExt"/>
          <w:b w:val="0"/>
        </w:rPr>
        <w:t>&lt;/Members&gt;</w:t>
      </w:r>
    </w:p>
    <w:p>
      <w:r>
        <w:rPr>
          <w:rStyle w:val="HideTWBExt"/>
        </w:rPr>
        <w:t>&lt;AuNomDe&gt;</w:t>
      </w:r>
      <w:r>
        <w:rPr>
          <w:rStyle w:val="HideTWBInt"/>
        </w:rPr>
        <w:t>{ESN}</w:t>
      </w:r>
      <w:r>
        <w:t>on behalf of the ESN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A10-0104/2026</w:t>
      </w:r>
    </w:p>
    <w:p>
      <w:pPr>
        <w:pStyle w:val="NormalBold"/>
      </w:pPr>
      <w:r>
        <w:rPr>
          <w:rStyle w:val="HideTWBExt"/>
        </w:rPr>
        <w:t>&lt;Rapporteur&gt;</w:t>
      </w:r>
      <w:r>
        <w:t>Dimitris Tsiodras, Piotr Müller</w:t>
      </w:r>
      <w:r>
        <w:rPr>
          <w:rStyle w:val="HideTWBExt"/>
        </w:rPr>
        <w:t>&lt;/Rapporteur&gt;</w:t>
      </w:r>
    </w:p>
    <w:p>
      <w:r>
        <w:rPr>
          <w:rStyle w:val="HideTWBExt"/>
        </w:rPr>
        <w:t>&lt;Titre&gt;</w:t>
      </w:r>
      <w:r>
        <w:t>Simplification of certain requirements and procedures for chemical products</w:t>
      </w:r>
      <w:r>
        <w:rPr>
          <w:rStyle w:val="HideTWBExt"/>
        </w:rPr>
        <w:t>&lt;/Titre&gt;</w:t>
      </w:r>
    </w:p>
    <w:p>
      <w:pPr>
        <w:pStyle w:val="Normal12a"/>
      </w:pPr>
      <w:r>
        <w:rPr>
          <w:rStyle w:val="HideTWBExt"/>
        </w:rPr>
        <w:t>&lt;DocRef&gt;</w:t>
      </w:r>
      <w:r>
        <w:t>(COM(2025)0531 – C10-0143/2025 – 2025/0531(COD))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3 – paragraph 1 – point 9 – point b</w:t>
      </w:r>
      <w:r>
        <w:rPr>
          <w:rStyle w:val="HideTWBExt"/>
        </w:rPr>
        <w:t>&lt;/Article&gt;</w:t>
      </w:r>
    </w:p>
    <w:p>
      <w:r>
        <w:rPr>
          <w:rStyle w:val="HideTWBExt"/>
        </w:rPr>
        <w:t>&lt;DocAmend2&gt;</w:t>
      </w:r>
      <w:r>
        <w:t>Regulation (EU) 2019/1009</w:t>
      </w:r>
      <w:r>
        <w:rPr>
          <w:rStyle w:val="HideTWBExt"/>
        </w:rPr>
        <w:t>&lt;/DocAmend2&gt;</w:t>
      </w:r>
    </w:p>
    <w:p>
      <w:r>
        <w:rPr>
          <w:rStyle w:val="HideTWBExt"/>
        </w:rPr>
        <w:t>&lt;Article2&gt;</w:t>
      </w:r>
      <w:r>
        <w:t>Article 42 – paragraph 4a (new)</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the following paragraph 4a is inserted:</w:t>
            </w:r>
          </w:p>
        </w:tc>
        <w:tc>
          <w:tcPr>
            <w:tcW w:w="4876" w:type="dxa"/>
            <w:tcBorders>
              <w:top w:val="nil"/>
              <w:left w:val="nil"/>
              <w:bottom w:val="nil"/>
              <w:right w:val="nil"/>
            </w:tcBorders>
          </w:tcPr>
          <w:p>
            <w:pPr>
              <w:pStyle w:val="Normal6a"/>
            </w:pPr>
            <w:r>
              <w:rPr>
                <w:b/>
                <w:i/>
              </w:rPr>
              <w:t>deleted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4a.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The Commission may also adopt delegated acts pursuant to paragraph 1 amending Annex II to set out criteria and a methodology for the assessment of micro-organisms other than those listed in Annex II, which, if compliance with those criteria is demonstrated in the conformity assessment of the EU fertilising product in accordance with that methodology, may be used as component material in EU fertilising products. The criteria and methodology shall allow for verification that the micro-organisms fulfil the criteria in paragraph 1, point (b), and provide, as a minimum, for the consideration of the following elements: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scientific literature reporting about safe production, conservation and use of the micro-organism;</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taxonomic relation of the micro-organism to micro-organisms species fulfilling the requirements for a Qualified Presumption of Safety as established by the European Food Safety Authority;</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information on the production process of the micro-organism, including, where relevant, the composition of the cultivation medium, processing methods such as spray drying, fluid-bed drying, static drying, centrifugation, deactivation by heat, filtration and grinding;</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information on the identity and residue levels of residual intermediates, toxins or microbial metabolites in the component material;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natural occurrence, survival and mobility in the environment;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 susceptibility to all relevant antimicrobial agents as defined in the Annex, Introduction to Part B, point (ii)(28), to Commission Regulation (EU) No 283/2013*, with the exception of intrinsic resistance.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*Commission Regulation (EU) No 283/2013 of 1 March 2013 setting out the data requirements for active substances, in accordance with Regulation (EC) No 1107/2009 of the European Parliament and of the Council concerning the placing of plant protection products on the market (OJ L 93, 3.4.2013, p. 1, ELI: http://data.europa.eu/eli/reg/2013/283/oj).’</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conditions under which unlisted micro-organisms may enter the EU fertilising products market should be determined by Parliament and the Council through the ordinary legislative procedure. The Commission should not receive an additional power to establish this framework through delegated acts. Simplification must preserve democratic accountability and scientific safety requirements.</w:t>
      </w:r>
    </w:p>
    <w:p>
      <w:pPr>
        <w:sectPr>
          <w:type w:val="nextPage"/>
          <w:pgSz w:w="11909" w:h="16834"/>
          <w:pgMar w:top="1134" w:right="1417" w:bottom="1417" w:left="1417" w:header="1134" w:footer="567"/>
          <w:cols w:space="720"/>
        </w:sectPr>
      </w:pPr>
      <w:r>
        <w:rPr>
          <w:rStyle w:val="HideTWBExt"/>
        </w:rPr>
        <w:t>&lt;/Amend&gt;</w:t>
      </w:r>
    </w:p>
    <w:p>
      <w:pPr>
        <w:pStyle w:val="AmDateTab"/>
      </w:pPr>
      <w:r>
        <w:rPr>
          <w:rStyle w:val="HideTWBExt"/>
        </w:rPr>
        <w:t>&lt;Amend&gt;</w:t>
      </w:r>
      <w:r>
        <w:rPr>
          <w:rStyle w:val="HideTWBExt"/>
        </w:rPr>
        <w:t>&lt;Date&gt;</w:t>
      </w:r>
      <w:r>
        <w:rPr>
          <w:rStyle w:val="HideTWBInt"/>
        </w:rPr>
        <w:t>{14/10/2026}</w:t>
      </w:r>
      <w:r>
        <w:t>14.10.2026</w:t>
      </w:r>
      <w:r>
        <w:rPr>
          <w:rStyle w:val="HideTWBExt"/>
        </w:rPr>
        <w:t>&lt;/Date&gt;</w:t>
      </w:r>
      <w:r>
        <w:tab/>
      </w:r>
      <w:r>
        <w:rPr>
          <w:rStyle w:val="HideTWBExt"/>
        </w:rPr>
        <w:t>&lt;ANo&gt;</w:t>
      </w:r>
      <w:r>
        <w:t>A10-0104</w:t>
      </w:r>
      <w:r>
        <w:rPr>
          <w:rStyle w:val="HideTWBExt"/>
        </w:rPr>
        <w:t>&lt;/ANo&gt;</w:t>
      </w:r>
      <w:r>
        <w:t>/</w:t>
      </w:r>
      <w:r>
        <w:rPr>
          <w:rStyle w:val="HideTWBExt"/>
        </w:rPr>
        <w:t>&lt;NumAm&gt;</w:t>
      </w:r>
      <w:r>
        <w:t>129</w:t>
      </w:r>
      <w:r>
        <w:rPr>
          <w:rStyle w:val="HideTWBExt"/>
        </w:rPr>
        <w:t>&lt;/NumAm&gt;</w:t>
      </w:r>
    </w:p>
    <w:p>
      <w:pPr>
        <w:pStyle w:val="AmNumberTabs"/>
      </w:pPr>
      <w:r>
        <w:t>Amendment</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Volker Schnurrbusch, Marc Jongen, Anja Arndt</w:t>
      </w:r>
      <w:r>
        <w:rPr>
          <w:rStyle w:val="HideTWBExt"/>
          <w:b w:val="0"/>
        </w:rPr>
        <w:t>&lt;/Members&gt;</w:t>
      </w:r>
    </w:p>
    <w:p>
      <w:r>
        <w:rPr>
          <w:rStyle w:val="HideTWBExt"/>
        </w:rPr>
        <w:t>&lt;AuNomDe&gt;</w:t>
      </w:r>
      <w:r>
        <w:rPr>
          <w:rStyle w:val="HideTWBInt"/>
        </w:rPr>
        <w:t>{ESN}</w:t>
      </w:r>
      <w:r>
        <w:t>on behalf of the ESN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A10-0104/2026</w:t>
      </w:r>
    </w:p>
    <w:p>
      <w:pPr>
        <w:pStyle w:val="NormalBold"/>
      </w:pPr>
      <w:r>
        <w:rPr>
          <w:rStyle w:val="HideTWBExt"/>
        </w:rPr>
        <w:t>&lt;Rapporteur&gt;</w:t>
      </w:r>
      <w:r>
        <w:t>Dimitris Tsiodras, Piotr Müller</w:t>
      </w:r>
      <w:r>
        <w:rPr>
          <w:rStyle w:val="HideTWBExt"/>
        </w:rPr>
        <w:t>&lt;/Rapporteur&gt;</w:t>
      </w:r>
    </w:p>
    <w:p>
      <w:r>
        <w:rPr>
          <w:rStyle w:val="HideTWBExt"/>
        </w:rPr>
        <w:t>&lt;Titre&gt;</w:t>
      </w:r>
      <w:r>
        <w:t>Simplification of certain requirements and procedures for chemical products</w:t>
      </w:r>
      <w:r>
        <w:rPr>
          <w:rStyle w:val="HideTWBExt"/>
        </w:rPr>
        <w:t>&lt;/Titre&gt;</w:t>
      </w:r>
    </w:p>
    <w:p>
      <w:pPr>
        <w:pStyle w:val="Normal12a"/>
      </w:pPr>
      <w:r>
        <w:rPr>
          <w:rStyle w:val="HideTWBExt"/>
        </w:rPr>
        <w:t>&lt;DocRef&gt;</w:t>
      </w:r>
      <w:r>
        <w:t>(COM(2025)0531 – C10-0143/2025 – 2025/0531(COD))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3 – paragraph 1 – point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Article 43 is deleted;</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Parliament and the Council must retain the ability to scrutinise changes to each component material category separately. Bundling unrelated changes into a single delegated act forces legislators to accept or reject the entire package. Administrative convenience for the Commission does not justify weakening parliamentary control.</w:t>
      </w:r>
    </w:p>
    <w:p>
      <w:r>
        <w:rPr>
          <w:rStyle w:val="HideTWBExt"/>
        </w:rPr>
        <w:t>&lt;/Amend&gt;</w:t>
      </w:r>
    </w:p>
    <w:p>
      <w:r>
        <w:rPr>
          <w:rStyle w:val="HideTWBExt"/>
        </w:rPr>
        <w:t>&lt;/RepeatBlock-Amend&gt;</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AM\P10_AMA(2026)0104(120-129)_EN.docx</w:t>
    </w:r>
    <w:r>
      <w:rPr>
        <w:rStyle w:val="HideTWBExt"/>
      </w:rPr>
      <w:t>&lt;/PathFdR&gt;</w:t>
    </w:r>
    <w:r>
      <w:tab/>
    </w:r>
    <w:r>
      <w:tab/>
    </w:r>
    <w:r>
      <w:t>PE</w:t>
    </w:r>
    <w:r>
      <w:rPr>
        <w:rStyle w:val="HideTWBExt"/>
      </w:rPr>
      <w:t>&lt;NoPE&gt;</w:t>
    </w:r>
    <w:r>
      <w:t>783.026</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465045 HideTWBExt;}{\s16\ql \li0\ri0\nowidctlpar\wrapdefault\aspalpha\aspnum\faauto\adjustright\rin0\lin0\itap0 \rtlch\fcs1 \af0\afs20\alang1025 \ltrch\fcs0 &#13;_x000a_\b\fs24\lang2057\langfe2057\cgrid\langnp2057\langfenp2057 \sbasedon0 \snext16 \spriority0 \styrsid8465045 NormalBold;}}{\*\rsidtbl \rsid24658\rsid358857\rsid735077\rsid787282\rsid2892074\rsid3622648\rsid4666813\rsid5708216\rsid6641733\rsid7553164&#13;_x000a_\rsid8465045\rsid8465581\rsid8681905\rsid8721650\rsid8724649\rsid9636012\rsid9862312\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6\dy26\hr20\min40}{\revtim\yr2019\mo6\dy26\hr20\min40}&#13;_x000a_{\version1}{\edmins0}{\nofpages1}{\nofwords13}{\nofchars75}{\*\company European Parliament}{\nofcharsws87}{\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46504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721650 &#13;_x000a_\chftnsep &#13;_x000a_\par }}{\*\ftnsepc \ltrpar \pard\plain \ltrpar\ql \li0\ri0\widctlpar\wrapdefault\aspalpha\aspnum\faauto\adjustright\rin0\lin0\itap0 \rtlch\fcs1 \af0\afs20\alang1025 \ltrch\fcs0 \fs24\lang2057\langfe2057\cgrid\langnp2057\langfenp2057 {\rtlch\fcs1 \af0 &#13;_x000a_\ltrch\fcs0 \insrsid8721650 \chftnsepc &#13;_x000a_\par }}{\*\aftnsep \ltrpar \pard\plain \ltrpar\ql \li0\ri0\widctlpar\wrapdefault\aspalpha\aspnum\faauto\adjustright\rin0\lin0\itap0 \rtlch\fcs1 \af0\afs20\alang1025 \ltrch\fcs0 \fs24\lang2057\langfe2057\cgrid\langnp2057\langfenp2057 {\rtlch\fcs1 \af0 &#13;_x000a_\ltrch\fcs0 \insrsid8721650 \chftnsep &#13;_x000a_\par }}{\*\aftnsepc \ltrpar \pard\plain \ltrpar\ql \li0\ri0\widctlpar\wrapdefault\aspalpha\aspnum\faauto\adjustright\rin0\lin0\itap0 \rtlch\fcs1 \af0\afs20\alang1025 \ltrch\fcs0 \fs24\lang2057\langfe2057\cgrid\langnp2057\langfenp2057 {\rtlch\fcs1 \af0 &#13;_x000a_\ltrch\fcs0 \insrsid872165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nowidctlpar\wrapdefault\aspalpha\aspnum\faauto\adjustright\rin0\lin0\itap0\pararsid8465045 \rtlch\fcs1 \af0\afs20\alang1025 \ltrch\fcs0 \b\fs24\lang2057\langfe2057\cgrid\langnp2057\langfenp2057 {\rtlch\fcs1 \af0 \ltrch\fcs0 &#13;_x000a_\cs15\b0\v\f1\fs20\cf9\lang1024\langfe1024\noproof\insrsid8465045\charrsid14699840 {\*\bkmkstart By}&lt;}{\rtlch\fcs1 \af0 \ltrch\fcs0 \cs15\b0\v\f1\fs20\cf9\lang1024\langfe1024\noproof\insrsid8465045 By&gt;&lt;}{\rtlch\fcs1 \af0 \ltrch\fcs0 &#13;_x000a_\cs15\b0\v\f1\fs20\cf9\lang1024\langfe1024\noproof\insrsid8465045\charrsid14699840 Members&gt;}{\rtlch\fcs1 \af0 \ltrch\fcs0 \insrsid8465045\charrsid14699840 [ZMEMBERS]}{\rtlch\fcs1 \af0 \ltrch\fcs0 &#13;_x000a_\cs15\b0\v\f1\fs20\cf9\lang1024\langfe1024\noproof\insrsid8465045\charrsid14699840 &lt;/Members&gt;}{\rtlch\fcs1 \af0 \ltrch\fcs0 \insrsid8465045\charrsid14699840 &#13;_x000a_\par }\pard\plain \ltrpar\ql \li0\ri0\widctlpar\wrapdefault\aspalpha\aspnum\faauto\adjustright\rin0\lin0\itap0\pararsid8465045 \rtlch\fcs1 \af0\afs20\alang1025 \ltrch\fcs0 \fs24\lang2057\langfe2057\cgrid\langnp2057\langfenp2057 {\rtlch\fcs1 \af0 \ltrch\fcs0 &#13;_x000a_\cs15\v\f1\fs20\cf9\lang1024\langfe1024\noproof\langnp1043\insrsid8465045\charrsid5922106 &lt;AuNomDe&gt;&lt;OptDel&gt;}{\rtlch\fcs1 \af0 \ltrch\fcs0 \lang1024\langfe1024\noproof\langnp1043\insrsid8465045\charrsid5922106 [ZONBEHALF]}{\rtlch\fcs1 \af0 \ltrch\fcs0 &#13;_x000a_\cs15\v\f1\fs20\cf9\lang1024\langfe1024\noproof\langnp1043\insrsid8465045\charrsid5922106 &lt;/OptDel&gt;&lt;/AuNomDe&gt;}{\rtlch\fcs1 \af0 \ltrch\fcs0 \lang1043\langfe2057\langnp1043\insrsid8465045\charrsid5922106 &#13;_x000a_\par }{\rtlch\fcs1 \af0 \ltrch\fcs0 \cs15\v\f1\fs20\cf9\lang1024\langfe1024\noproof\insrsid8465045\charrsid6839579 &lt;/By&gt;}{\rtlch\fcs1 \af0 \ltrch\fcs0 \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65&#13;_x000a_08934e2c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6452211 HideTWBExt;}{\s16\ql \li0\ri0\nowidctlpar\tqr\tx9072\wrapdefault\aspalpha\aspnum\faauto\adjustright\rin0\lin0\itap0 \rtlch\fcs1 \af0\afs20\alang1025 \ltrch\fcs0 &#13;_x000a_\b\fs24\lang2057\langfe2057\cgrid\langnp2057\langfenp2057 \sbasedon0 \snext16 \spriority0 \styrsid16452211 AmDocTypeTab;}{\s17\ql \li0\ri0\sa240\nowidctlpar\wrapdefault\aspalpha\aspnum\faauto\adjustright\rin0\lin0\itap0 \rtlch\fcs1 \af0\afs20\alang1025 &#13;_x000a_\ltrch\fcs0 \fs24\lang2057\langfe2057\cgrid\langnp2057\langfenp2057 \sbasedon0 \snext17 \spriority0 \styrsid16452211 Normal12a;}{\s18\ql \li-851\ri-851\widctlpar\tqc\tx4535\tqr\tx9921\wrapdefault\aspalpha\aspnum\faauto\adjustright\rin-851\lin-851\itap0 &#13;_x000a_\rtlch\fcs1 \af1\afs20\alang1025 \ltrch\fcs0 \b\f1\fs48\lang2057\langfe2057\cgrid\langnp2057\langfenp2057 \sbasedon0 \snext0 \spriority0 \styrsid16452211 EPFooter2;}{&#13;_x000a_\s19\ql \li0\ri0\nowidctlpar\wrapdefault\aspalpha\aspnum\faauto\adjustright\rin0\lin0\itap0 \rtlch\fcs1 \af0\afs20\alang1025 \ltrch\fcs0 \b\fs24\lang2057\langfe2057\cgrid\langnp2057\langfenp2057 \sbasedon0 \snext19 \spriority0 \styrsid16452211 &#13;_x000a_NormalBold;}{\s20\qr \li0\ri0\sb240\sa240\nowidctlpar\wrapdefault\aspalpha\aspnum\faauto\adjustright\rin0\lin0\itap0 \rtlch\fcs1 \af0\afs20\alang1025 \ltrch\fcs0 \fs24\lang2057\langfe2057\cgrid\langnp2057\langfenp2057 &#13;_x000a_\sbasedon0 \snext20 \spriority0 \styrsid16452211 AmOrLang;}{\s21\ql \li0\ri0\sa120\nowidctlpar\wrapdefault\aspalpha\aspnum\faauto\adjustright\rin0\lin0\itap0 \rtlch\fcs1 \af0\afs20\alang1025 \ltrch\fcs0 &#13;_x000a_\fs24\lang2057\langfe2057\cgrid\langnp2057\langfenp2057 \sbasedon0 \snext21 \spriority0 \styrsid16452211 Normal6a;}{\s22\qc \li0\ri0\sb240\sa240\nowidctlpar\wrapdefault\aspalpha\aspnum\faauto\adjustright\rin0\lin0\itap0 \rtlch\fcs1 \af0\afs20\alang1025 &#13;_x000a_\ltrch\fcs0 \i\fs24\lang2057\langfe2057\cgrid\langnp2057\langfenp2057 \sbasedon0 \snext22 \spriority0 \styrsid16452211 AmCrossRef;}{\s23\qc \li0\ri0\sb240\sa240\keepn\nowidctlpar\wrapdefault\aspalpha\aspnum\faauto\adjustright\rin0\lin0\itap0 \rtlch\fcs1 &#13;_x000a_\af0\afs20\alang1025 \ltrch\fcs0 \i\fs24\lang2057\langfe2057\cgrid\langnp2057\langfenp2057 \sbasedon0 \snext25 \spriority0 \styrsid16452211 AmJustTitle;}{\s24\ql \li0\ri0\nowidctlpar&#13;_x000a_\tqr\tx9072\wrapdefault\aspalpha\aspnum\faauto\adjustright\rin0\lin0\itap0 \rtlch\fcs1 \af0\afs20\alang1025 \ltrch\fcs0 \fs24\lang2057\langfe2057\cgrid\langnp2057\langfenp2057 \sbasedon0 \snext24 \spriority0 \styrsid16452211 AmDateTab;}{&#13;_x000a_\s25\ql \li0\ri0\sa240\nowidctlpar\wrapdefault\aspalpha\aspnum\faauto\adjustright\rin0\lin0\itap0 \rtlch\fcs1 \af0\afs20\alang1025 \ltrch\fcs0 \i\fs24\lang2057\langfe2057\cgrid\langnp2057\langfenp2057 \sbasedon0 \snext25 \spriority0 \styrsid16452211 &#13;_x000a_AmJustText;}{\s26\qc \li0\ri0\sa240\nowidctlpar\wrapdefault\aspalpha\aspnum\faauto\adjustright\rin0\lin0\itap0 \rtlch\fcs1 \af0\afs20\alang1025 \ltrch\fcs0 \i\fs24\lang2057\langfe2057\cgrid\langnp2057\langfenp2057 &#13;_x000a_\sbasedon0 \snext26 \spriority0 \styrsid16452211 AmColumnHeading;}{\s27\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7 \spriority0 \styrsid16452211 AmNumberTabs;}{\s28\ql \li0\ri0\sb240\sa240\nowidctlpar&#13;_x000a_\tqc\tx4535\tqr\tx9071\wrapdefault\aspalpha\aspnum\faauto\adjustright\rin0\lin0\itap0 \rtlch\fcs1 \af0\afs20\alang1025 \ltrch\fcs0 \fs22\lang2057\langfe2057\cgrid\langnp2057\langfenp2057 \sbasedon0 \snext28 \spriority0 \styrsid16452211 EPFooter;}}&#13;_x000a_{\*\rsidtbl \rsid24658\rsid89252\rsid358857\rsid735077\rsid787282\rsid2892074\rsid3622648\rsid4666813\rsid5708216\rsid6641733\rsid7553164\rsid8465581\rsid8681905\rsid8724649\rsid9636012\rsid9862312\rsid11215221\rsid11370291\rsid11434737\rsid11607138&#13;_x000a_\rsid11824949\rsid12154954\rsid14424199\rsid15204470\rsid15285974\rsid15535219\rsid15950462\rsid16324206\rsid16452211\rsid16662270}{\mmathPr\mmathFont34\mbrkBin0\mbrkBinSub0\msmallFrac0\mdispDef1\mlMargin0\mrMargin0\mdefJc1\mwrapIndent1440\mintLim0&#13;_x000a_\mnaryLim1}{\info{\author FELIX Karina}{\operator FELIX Karina}{\creatim\yr2019\mo6\dy26\hr20\min40}{\revtim\yr2019\mo6\dy26\hr20\min40}{\version1}{\edmins0}{\nofpages2}{\nofwords111}{\nofchars634}{\*\company European Parliament}{\nofcharsws744}{\vern97}}&#13;_x000a_{\*\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aftnnar\noxlattoyen\expshrtn\noultrlspc\dntblnsbdb\nospaceforul\formshade\horzdoc\dghspace180\dgvspace180\dghorigin1701\dgvorigin1984\dghshow0\dgvshow0&#13;_x000a_\jexpand\viewkind1\viewscale100\pgbrdrhead\pgbrdrfoot\nolnhtadjtbl\nojkernpunct\rsidroot1645221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9252 &#13;_x000a_\chftnsep &#13;_x000a_\par }}{\*\ftnsepc \ltrpar \pard\plain \ltrpar\ql \li0\ri0\widctlpar\wrapdefault\aspalpha\aspnum\faauto\adjustright\rin0\lin0\itap0 \rtlch\fcs1 \af0\afs20\alang1025 \ltrch\fcs0 \fs24\lang2057\langfe2057\cgrid\langnp2057\langfenp2057 {\rtlch\fcs1 \af0 &#13;_x000a_\ltrch\fcs0 \insrsid89252 \chftnsepc &#13;_x000a_\par }}{\*\aftnsep \ltrpar \pard\plain \ltrpar\ql \li0\ri0\widctlpar\wrapdefault\aspalpha\aspnum\faauto\adjustright\rin0\lin0\itap0 \rtlch\fcs1 \af0\afs20\alang1025 \ltrch\fcs0 \fs24\lang2057\langfe2057\cgrid\langnp2057\langfenp2057 {\rtlch\fcs1 \af0 &#13;_x000a_\ltrch\fcs0 \insrsid89252 \chftnsep &#13;_x000a_\par }}{\*\aftnsepc \ltrpar \pard\plain \ltrpar\ql \li0\ri0\widctlpar\wrapdefault\aspalpha\aspnum\faauto\adjustright\rin0\lin0\itap0 \rtlch\fcs1 \af0\afs20\alang1025 \ltrch\fcs0 \fs24\lang2057\langfe2057\cgrid\langnp2057\langfenp2057 {\rtlch\fcs1 \af0 &#13;_x000a_\ltrch\fcs0 \insrsid89252 \chftnsepc &#13;_x000a_\par }}\ltrpar \sectd \ltrsect\psz9\linex0\headery1134\footery567\sectlinegrid326\sectdefaultcl\sectrsid4791376\sftnbj\saftnnar\sftnrestart {\footerr \ltrpar \pard\plain \ltrpar\s28\ql \li0\ri0\sb240\sa240\nowidctlpar&#13;_x000a_\tqc\tx4535\tqr\tx9071\wrapdefault\aspalpha\aspnum\faauto\adjustright\rin0\lin0\itap0\pararsid11812909 \rtlch\fcs1 \af0\afs20\alang1025 \ltrch\fcs0 \fs22\lang2057\langfe2057\cgrid\langnp2057\langfenp2057 {\rtlch\fcs1 \af0 \ltrch\fcs0 &#13;_x000a_\cs15\v\f1\fs20\cf9\lang1024\langfe1024\noproof\insrsid16452211 &lt;PathFdR&gt;}{\rtlch\fcs1 \af0 \ltrch\fcs0 \insrsid16452211 [ZPATH]}{\rtlch\fcs1 \af0 \ltrch\fcs0 \cs15\v\f1\fs20\cf9\lang1024\langfe1024\noproof\insrsid16452211 &lt;/PathFdR&gt;}{\rtlch\fcs1 \af0 &#13;_x000a_\ltrch\fcs0 \insrsid16452211 \tab \tab PE}{\rtlch\fcs1 \af0 \ltrch\fcs0 \cs15\v\f1\fs20\cf9\lang1024\langfe1024\noproof\insrsid16452211 &lt;NoPE&gt;}{\rtlch\fcs1 \af0 \ltrch\fcs0 \insrsid16452211 [ZNRPE]}{\rtlch\fcs1 \af0 \ltrch\fcs0 &#13;_x000a_\cs15\v\f1\fs20\cf9\lang1024\langfe1024\noproof\insrsid16452211 &lt;/NoPE&gt;&lt;Version&gt;}{\rtlch\fcs1 \af0 \ltrch\fcs0 \insrsid16452211 [ZNRV]}{\rtlch\fcs1 \af0 \ltrch\fcs0 \cs15\v\f1\fs20\cf9\lang1024\langfe1024\noproof\insrsid16452211 &lt;/Version&gt;}{\rtlch\fcs1 &#13;_x000a_\af0 \ltrch\fcs0 \insrsid16452211 &#13;_x000a_\par }\pard\plain \ltrpar\s18\ql \li-851\ri-851\widctlpar\tqc\tx4535\tqr\tx9921\wrapdefault\aspalpha\aspnum\faauto\adjustright\rin-851\lin-851\itap0\pararsid11740041 \rtlch\fcs1 \af1\afs20\alang1025 \ltrch\fcs0 &#13;_x000a_\b\f1\fs48\lang2057\langfe2057\cgrid\langnp2057\langfenp2057 {\field{\*\fldinst {\rtlch\fcs1 \af1 \ltrch\fcs0 \insrsid16452211  DOCPROPERTY &quot;&lt;Extension&gt;&quot; }}{\fldrslt {\rtlch\fcs1 \af1 \ltrch\fcs0 \insrsid16452211 XX}}}\sectd \ltrsect&#13;_x000a_\linex0\endnhere\sectdefaultcl\sftnbj {\rtlch\fcs1 \af1 \ltrch\fcs0 \insrsid16452211\charrsid5530783 \tab }{\rtlch\fcs1 \af1\afs22 \ltrch\fcs0 \b0\i\fs22\cf16\insrsid16452211\charrsid10767834 #(STD@_Motto#}{\rtlch\fcs1 \af1 \ltrch\fcs0 &#13;_x000a_\insrsid16452211\charrsid5530783 \tab }{\field{\*\fldinst {\rtlch\fcs1 \af1 \ltrch\fcs0 \insrsid16452211  DOCPROPERTY &quot;&lt;Extension&gt;&quot; }}{\fldrslt {\rtlch\fcs1 \af1 \ltrch\fcs0 \insrsid16452211 XX}}}\sectd \ltrsect\linex0\endnhere\sectdefaultcl\sftnbj {&#13;_x000a_\rtlch\fcs1 \af1 \ltrch\fcs0 \insrsid16452211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nowidctlpar&#13;_x000a_\tqr\tx9072\wrapdefault\aspalpha\aspnum\faauto\adjustright\rin0\lin0\itap0\pararsid16452211 \rtlch\fcs1 \af0\afs20\alang1025 \ltrch\fcs0 \fs24\lang2057\langfe2057\cgrid\langnp2057\langfenp2057 {\rtlch\fcs1 \af0 \ltrch\fcs0 &#13;_x000a_\cs15\v\f1\fs20\cf9\lang1024\langfe1024\noproof\insrsid16452211\charrsid14699840 {\*\bkmkstart restart}&lt;Amend&gt;&lt;Date&gt;}{\rtlch\fcs1 \af0 \ltrch\fcs0 \lang1024\langfe1024\noproof\insrsid16452211\charrsid14699840 [ZDATE]}{\rtlch\fcs1 \af0 \ltrch\fcs0 &#13;_x000a_\cs15\v\f1\fs20\cf9\lang1024\langfe1024\noproof\insrsid16452211\charrsid14699840 &lt;/Date&gt;}{\rtlch\fcs1 \af0 \ltrch\fcs0 \lang1024\langfe1024\noproof\insrsid16452211\charrsid14699840 \tab }{\rtlch\fcs1 \af0 \ltrch\fcs0 &#13;_x000a_\cs15\v\f1\fs20\cf9\lang1024\langfe1024\noproof\insrsid16452211\charrsid14699840 &lt;ANo&gt;}{\rtlch\fcs1 \af0 \ltrch\fcs0 \lang1024\langfe1024\noproof\insrsid16452211\charrsid14699840 [ZNRA]}{\rtlch\fcs1 \af0 \ltrch\fcs0 &#13;_x000a_\cs15\v\f1\fs20\cf9\lang1024\langfe1024\noproof\insrsid16452211\charrsid14699840 &lt;/ANo&gt;}{\rtlch\fcs1 \af0 \ltrch\fcs0 \lang1024\langfe1024\noproof\insrsid16452211\charrsid14699840 /}{\rtlch\fcs1 \af0 \ltrch\fcs0 &#13;_x000a_\cs15\v\f1\fs20\cf9\lang1024\langfe1024\noproof\insrsid16452211\charrsid14699840 &lt;NumAm&gt;}{\rtlch\fcs1 \af0 \ltrch\fcs0 \lang1024\langfe1024\noproof\insrsid16452211\charrsid14699840 [ZNRAM]}{\rtlch\fcs1 \af0 \ltrch\fcs0 &#13;_x000a_\cs15\v\f1\fs20\cf9\lang1024\langfe1024\noproof\insrsid16452211\charrsid14699840 &lt;/NumAm&gt;}{\rtlch\fcs1 \af0 \ltrch\fcs0 \lang1024\langfe1024\noproof\insrsid16452211\charrsid14699840 &#13;_x000a_\par }\pard\plain \ltrpar\s27\ql \li0\ri0\sb240\nowidctlpar&#13;_x000a_\tx879\tx936\tx1021\tx1077\tx1134\tx1191\tx1247\tx1304\tx1361\tx1418\tx1474\tx1531\tx1588\tx1644\tx1701\tx1758\tx1814\tx1871\tx2070\tx2126\tx3374\tx3430\wrapdefault\aspalpha\aspnum\faauto\adjustright\rin0\lin0\itap0\pararsid16452211 \rtlch\fcs1 &#13;_x000a_\af0\afs20\alang1025 \ltrch\fcs0 \b\fs24\lang2057\langfe2057\cgrid\langnp2057\langfenp2057 {\rtlch\fcs1 \af0 \ltrch\fcs0 \insrsid16452211\charrsid14699840 [ZDOCTYPE]\tab \tab }{\rtlch\fcs1 \af0 \ltrch\fcs0 &#13;_x000a_\cs15\b0\v\f1\fs20\cf9\insrsid16452211\charrsid14699840 &lt;NumAm&gt;}{\rtlch\fcs1 \af0 \ltrch\fcs0 \insrsid16452211\charrsid14699840 [ZNRAM]}{\rtlch\fcs1 \af0 \ltrch\fcs0 \cs15\b0\v\f1\fs20\cf9\insrsid16452211\charrsid14699840 &lt;/NumAm&gt;}{\rtlch\fcs1 \af0 &#13;_x000a_\ltrch\fcs0 \insrsid16452211\charrsid14699840 &#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insrsid16452211\charrsid14699840 &lt;RepeatBlock-By&gt;}{\rtlch\fcs1 \af0 \ltrch\fcs0 \lang1024\langfe1024\noproof\insrsid16452211\charrsid14699840 [RepeatMembers]}{\rtlch\fcs1 \af0 \ltrch\fcs0 &#13;_x000a_\cs15\b0\v\f1\fs20\cf9\lang1024\langfe1024\noproof\insrsid16452211\charrsid14699840 {\*\bkmkstart By}&lt;}{\rtlch\fcs1 \af0 \ltrch\fcs0 \cs15\b0\v\f1\fs20\cf9\lang1024\langfe1024\noproof\insrsid16452211 By&gt;&lt;}{\rtlch\fcs1 \af0 \ltrch\fcs0 &#13;_x000a_\cs15\b0\v\f1\fs20\cf9\lang1024\langfe1024\noproof\insrsid16452211\charrsid14699840 Members&gt;}{\rtlch\fcs1 \af0 \ltrch\fcs0 \insrsid16452211\charrsid14699840 [ZMEMBERS]}{\rtlch\fcs1 \af0 \ltrch\fcs0 &#13;_x000a_\cs15\b0\v\f1\fs20\cf9\lang1024\langfe1024\noproof\insrsid16452211\charrsid14699840 &lt;/Members&gt;}{\rtlch\fcs1 \af0 \ltrch\fcs0 \insrsid16452211\charrsid14699840 &#13;_x000a_\par }\pard\plain \ltrpar\ql \li0\ri0\widctlpar\wrapdefault\aspalpha\aspnum\faauto\adjustright\rin0\lin0\itap0\pararsid16452211 \rtlch\fcs1 \af0\afs20\alang1025 \ltrch\fcs0 \fs24\lang2057\langfe2057\cgrid\langnp2057\langfenp2057 {\rtlch\fcs1 \af0 \ltrch\fcs0 &#13;_x000a_\cs15\v\f1\fs20\cf9\lang1024\langfe1024\noproof\langnp1043\insrsid16452211\charrsid5922106 &lt;AuNomDe&gt;&lt;OptDel&gt;}{\rtlch\fcs1 \af0 \ltrch\fcs0 \lang1024\langfe1024\noproof\langnp1043\insrsid16452211\charrsid5922106 [ZONBEHALF]}{\rtlch\fcs1 \af0 \ltrch\fcs0 &#13;_x000a_\cs15\v\f1\fs20\cf9\lang1024\langfe1024\noproof\langnp1043\insrsid16452211\charrsid5922106 &lt;/OptDel&gt;&lt;/AuNomDe&gt;}{\rtlch\fcs1 \af0 \ltrch\fcs0 \lang1043\langfe2057\langnp1043\insrsid16452211\charrsid5922106 &#13;_x000a_\par }{\rtlch\fcs1 \af0 \ltrch\fcs0 \cs15\v\f1\fs20\cf9\lang1024\langfe1024\noproof\insrsid16452211\charrsid6839579 &lt;/By&gt;}{\rtlch\fcs1 \af0 \ltrch\fcs0 \insrsid16452211\charrsid14699840 {\*\bkmkend By}&lt;&lt;&lt;}{\rtlch\fcs1 \af0 \ltrch\fcs0 &#13;_x000a_\cs15\v\f1\fs20\cf9\lang1024\langfe1024\noproof\insrsid16452211\charrsid14699840 &lt;/RepeatBlock-By&gt;}{\rtlch\fcs1 \af0 \ltrch\fcs0 \insrsid16452211\charrsid14699840 &#13;_x000a_\par }\pard\plain \ltrpar\s16\ql \li0\ri0\nowidctlpar\tqr\tx9072\wrapdefault\aspalpha\aspnum\faauto\adjustright\rin0\lin0\itap0\pararsid16452211 \rtlch\fcs1 \af0\afs20\alang1025 \ltrch\fcs0 \b\fs24\lang2057\langfe2057\cgrid\langnp2057\langfenp2057 {&#13;_x000a_\rtlch\fcs1 \af0 \ltrch\fcs0 \cs15\b0\v\f1\fs20\cf9\lang1024\langfe1024\noproof\insrsid16452211\charrsid14699840 &lt;TitreType&gt;}{\rtlch\fcs1 \af0 \ltrch\fcs0 \insrsid16452211\charrsid14699840 [ZAMENDDOCTYPE]}{\rtlch\fcs1 \af0 \ltrch\fcs0 &#13;_x000a_\cs15\b0\v\f1\fs20\cf9\lang1024\langfe1024\noproof\insrsid16452211\charrsid14699840 &lt;/TitreType&gt;}{\rtlch\fcs1 \af0 \ltrch\fcs0 \lang1024\langfe1024\noproof\insrsid16452211\charrsid14699840 \tab [ZNRA]/[ZDOCYEAR]&#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langnp1036\insrsid16452211\charrsid6839579 &lt;Rapporteur&gt;}{\rtlch\fcs1 \af0 \ltrch\fcs0 \lang1024\langfe1024\noproof\langnp1036\insrsid16452211\charrsid6839579 [ZAUTHORNAME]}{\rtlch\fcs1 \af0 &#13;_x000a_\ltrch\fcs0 \cs15\b0\v\f1\fs20\cf9\lang1024\langfe1024\noproof\langnp1036\insrsid16452211\charrsid6839579 &lt;/Rapporteur&gt;}{\rtlch\fcs1 \af0 \ltrch\fcs0 \lang1024\langfe1024\noproof\langnp1036\insrsid16452211\charrsid6839579 &#13;_x000a_\par }\pard\plain \ltrpar\ql \li0\ri0\widctlpar\wrapdefault\aspalpha\aspnum\faauto\adjustright\rin0\lin0\itap0\pararsid16452211 \rtlch\fcs1 \af0\afs20\alang1025 \ltrch\fcs0 \fs24\lang2057\langfe2057\cgrid\langnp2057\langfenp2057 {\rtlch\fcs1 \af0 \ltrch\fcs0 &#13;_x000a_\cs15\v\f1\fs20\cf9\lang1024\langfe1024\noproof\langnp1036\insrsid16452211\charrsid6839579 &lt;Titre&gt;}{\rtlch\fcs1 \af0 \ltrch\fcs0 \lang1024\langfe1024\noproof\langnp1036\insrsid16452211\charrsid6839579 [ZTITLE]}{\rtlch\fcs1 \af0 \ltrch\fcs0 &#13;_x000a_\cs15\v\f1\fs20\cf9\lang1024\langfe1024\noproof\langnp1036\insrsid16452211\charrsid6839579 &lt;/Titre&gt;}{\rtlch\fcs1 \af0 \ltrch\fcs0 \lang1036\langfe2057\langnp1036\insrsid16452211\charrsid6839579 &#13;_x000a_\par }\pard\plain \ltrpar\s17\ql \li0\ri0\sa240\nowidctlpar\wrapdefault\aspalpha\aspnum\faauto\adjustright\rin0\lin0\itap0\pararsid16452211 \rtlch\fcs1 \af0\afs20\alang1025 \ltrch\fcs0 \fs24\lang2057\langfe2057\cgrid\langnp2057\langfenp2057 {\rtlch\fcs1 \af0 &#13;_x000a_\ltrch\fcs0 \cs15\v\f1\fs20\cf9\lang1024\langfe1024\noproof\langnp1036\insrsid16452211\charrsid6839579 &lt;DocRef&gt;}{\rtlch\fcs1 \af0 \ltrch\fcs0 \lang1036\langfe2057\langnp1036\insrsid16452211\charrsid6839579 [ZDOCREF]}{\rtlch\fcs1 \af0 \ltrch\fcs0 &#13;_x000a_\cs15\v\f1\fs20\cf9\lang1024\langfe1024\noproof\langnp1036\insrsid16452211\charrsid6839579 &lt;/DocRef&gt;}{\rtlch\fcs1 \af0 \ltrch\fcs0 \lang1036\langfe2057\langnp1036\insrsid16452211\charrsid6839579 &#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langnp1036\insrsid16452211\charrsid6839579 &lt;DocAmend&gt;}{\rtlch\fcs1 \af0 \ltrch\fcs0 \lang1036\langfe2057\langnp1036\insrsid16452211\charrsid6839579 [ZAMDOC][ZAMACT]}{\rtlch\fcs1 \af0 &#13;_x000a_\ltrch\fcs0 \cs15\b0\v\f1\fs20\cf9\lang1024\langfe1024\noproof\langnp1036\insrsid16452211\charrsid6839579 &lt;/DocAmend&gt;}{\rtlch\fcs1 \af0 \ltrch\fcs0 \lang1036\langfe2057\langnp1036\insrsid16452211\charrsid6839579 &#13;_x000a_\par }{\rtlch\fcs1 \af0 \ltrch\fcs0 \cs15\b0\v\f1\fs20\cf9\lang1024\langfe1024\noproof\langnp1036\insrsid16452211\charrsid6839579 &lt;Article&gt;}{\rtlch\fcs1 \af0 \ltrch\fcs0 \lang1036\langfe2057\langnp1036\insrsid16452211\charrsid6839579 [ZAMPART]}{\rtlch\fcs1 &#13;_x000a_\af0 \ltrch\fcs0 \cs15\b0\v\f1\fs20\cf9\lang1024\langfe1024\noproof\langnp1036\insrsid16452211\charrsid6839579 &lt;/Article&gt;}{\rtlch\fcs1 \af0 \ltrch\fcs0 \lang1036\langfe2057\langnp1036\insrsid16452211\charrsid6839579 &#13;_x000a_\par }\pard\plain \ltrpar\ql \li0\ri0\widctlpar\wrapdefault\aspalpha\aspnum\faauto\adjustright\rin0\lin0\itap0\pararsid16452211 \rtlch\fcs1 \af0\afs20\alang1025 \ltrch\fcs0 \fs24\lang2057\langfe2057\cgrid\langnp2057\langfenp2057 {\rtlch\fcs1 \af0 \ltrch\fcs0 &#13;_x000a_\cs15\v\f1\fs20\cf9\lang1036\langfe2057\langnp1036\insrsid16452211\charrsid6839579 &lt;DocAmend2&gt;&lt;OptDel&gt;}{\rtlch\fcs1 \af0 \ltrch\fcs0 \lang1036\langfe2057\langnp1036\insrsid16452211\charrsid6839579 [ZNRACT]}{\rtlch\fcs1 \af0 \ltrch\fcs0 &#13;_x000a_\cs15\v\f1\fs20\cf9\lang1036\langfe2057\langnp1036\insrsid16452211\charrsid6839579 &lt;/OptDel&gt;&lt;/DocAmend2&gt;}{\rtlch\fcs1 \af0 \ltrch\fcs0 \lang1036\langfe2057\langnp1036\insrsid16452211\charrsid6839579 &#13;_x000a_\par }{\rtlch\fcs1 \af0 \ltrch\fcs0 \cs15\v\f1\fs20\cf9\lang1036\langfe2057\langnp1036\insrsid16452211\charrsid6839579 &lt;Article2&gt;&lt;OptDel&gt;}{\rtlch\fcs1 \af0 \ltrch\fcs0 \lang1036\langfe2057\langnp1036\insrsid16452211\charrsid6839579 [ZACTPART]}{\rtlch\fcs1 &#13;_x000a_\af0 \ltrch\fcs0 \cs15\v\f1\fs20\cf9\lang1036\langfe2057\langnp1036\insrsid16452211\charrsid6839579 &lt;/OptDel&gt;&lt;/Article2&gt;}{\rtlch\fcs1 \af0 \ltrch\fcs0 \lang1036\langfe2057\langnp1036\insrsid16452211\charrsid6839579 &#13;_x000a_\par \ltrrow}\trowd \irow0\irowband0\ltrrow\ts11\trqc\trgaph340\trleft-340\trftsWidth3\trwWidth9752\trftsWidthB3\trpaddl340\trpaddr340\trpaddfl3\trpaddft3\trpaddfb3\trpaddfr3\tblrsid9389144\tblind0\tblindtype3 \clvertalt\clbrdrt\brdrtbl \clbrdrl\brdrtbl &#13;_x000a_\clbrdrb\brdrtbl \clbrdrr\brdrtbl \cltxlrtb\clftsWidth3\clwWidth9752\clshdrawnil \cellx9412\pard\plain \ltrpar\ql \li0\ri0\keepn\widctlpar\intbl\wrapdefault\aspalpha\aspnum\faauto\adjustright\rin0\lin0\pararsid3097865 \rtlch\fcs1 \af0\afs20\alang1025 &#13;_x000a_\ltrch\fcs0 \fs24\lang2057\langfe2057\cgrid\langnp2057\langfenp2057 {\rtlch\fcs1 \af0 \ltrch\fcs0 \lang1036\langfe2057\langnp1036\insrsid16452211\charrsid6839579 \cell }\pard\plain \ltrpar&#13;_x000a_\ql \li0\ri0\widctlpar\intbl\wrapdefault\aspalpha\aspnum\faauto\adjustright\rin0\lin0 \rtlch\fcs1 \af0\afs20\alang1025 \ltrch\fcs0 \fs24\lang2057\langfe2057\cgrid\langnp2057\langfenp2057 {\rtlch\fcs1 \af0 \ltrch\fcs0 &#13;_x000a_\lang1036\langfe2057\langnp1036\insrsid16452211\charrsid6839579 \trowd \irow0\irowband0\ltrrow&#13;_x000a_\ts11\trqc\trgaph340\trleft-340\trftsWidth3\trwWidth9752\trftsWidthB3\trpaddl340\trpaddr340\trpaddfl3\trpaddft3\trpaddfb3\trpaddfr3\tblrsid9389144\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6\qc \li0\ri0\sa240\keepn\nowidctlpar\intbl\wrapdefault\aspalpha\aspnum\faauto\adjustright\rin0\lin0\pararsid3097865 \rtlch\fcs1 \af0\afs20\alang1025 \ltrch\fcs0 \i\fs24\lang2057\langfe2057\cgrid\langnp2057\langfenp2057 {\rtlch\fcs1 \af0 \ltrch\fcs0 &#13;_x000a_\insrsid16452211\charrsid14699840 [ZLEFT]\cell [ZRIGHT]\cell }\pard\plain \ltrpar\ql \li0\ri0\widctlpar\intbl\wrapdefault\aspalpha\aspnum\faauto\adjustright\rin0\lin0 \rtlch\fcs1 \af0\afs20\alang1025 \ltrch\fcs0 &#13;_x000a_\fs24\lang2057\langfe2057\cgrid\langnp2057\langfenp2057 {\rtlch\fcs1 \af0 \ltrch\fcs0 \insrsid16452211\charrsid14699840 \trowd \irow1\irowband1\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21\ql \li0\ri0\sa120\nowidctlpar\intbl\wrapdefault\aspalpha\aspnum\faauto\adjustright\rin0\lin0\pararsid9389144 \rtlch\fcs1 \af0\afs20\alang1025 \ltrch\fcs0 \fs24\lang2057\langfe2057\cgrid\langnp2057\langfenp2057 {\rtlch\fcs1 \af0 \ltrch\fcs0 &#13;_x000a_\insrsid16452211\charrsid14699840 [ZTEXTL]\cell [ZTEXTR]}{\rtlch\fcs1 \af0\afs24 \ltrch\fcs0 \insrsid16452211\charrsid14699840 \cell }\pard\plain \ltrpar\ql \li0\ri0\widctlpar\intbl\wrapdefault\aspalpha\aspnum\faauto\adjustright\rin0\lin0 \rtlch\fcs1 &#13;_x000a_\af0\afs20\alang1025 \ltrch\fcs0 \fs24\lang2057\langfe2057\cgrid\langnp2057\langfenp2057 {\rtlch\fcs1 \af0 \ltrch\fcs0 \insrsid16452211\charrsid14699840 \trowd \irow2\irowband2\lastrow \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0\qr \li0\ri0\sb240\sa240\nowidctlpar\wrapdefault\aspalpha\aspnum\faauto\adjustright\rin0\lin0\itap0\pararsid16452211 \rtlch\fcs1 \af0\afs20\alang1025 \ltrch\fcs0 \fs24\lang2057\langfe2057\cgrid\langnp2057\langfenp2057 {\rtlch\fcs1 \af0 \ltrch\fcs0 &#13;_x000a_\insrsid16452211\charrsid14699840 Or. }{\rtlch\fcs1 \af0 \ltrch\fcs0 \cs15\v\f1\fs20\cf9\lang1024\langfe1024\noproof\insrsid16452211\charrsid14699840 &lt;Original&gt;}{\rtlch\fcs1 \af0 \ltrch\fcs0 \insrsid16452211\charrsid14699840 [ZORLANG]}{\rtlch\fcs1 \af0 &#13;_x000a_\ltrch\fcs0 \cs15\v\f1\fs20\cf9\lang1024\langfe1024\noproof\insrsid16452211\charrsid14699840 &lt;/Original&gt;}{\rtlch\fcs1 \af0 \ltrch\fcs0 \insrsid16452211\charrsid14699840 &#13;_x000a_\par }\pard\plain \ltrpar\s22\qc \li0\ri0\sb240\sa240\nowidctlpar\wrapdefault\aspalpha\aspnum\faauto\adjustright\rin0\lin0\itap0\pararsid16452211 \rtlch\fcs1 \af0\afs20\alang1025 \ltrch\fcs0 \i\fs24\lang2057\langfe2057\cgrid\langnp2057\langfenp2057 {&#13;_x000a_\rtlch\fcs1 \af0 \ltrch\fcs0 \cs15\i0\v\f1\fs20\cf9\lang1024\langfe1024\noproof\insrsid16452211\charrsid14699840 &lt;OptDel&gt;}{\rtlch\fcs1 \af0 \ltrch\fcs0 \insrsid16452211\charrsid14699840 [ZCROSSREF]}{\rtlch\fcs1 \af0 \ltrch\fcs0 &#13;_x000a_\cs15\i0\v\f1\fs20\cf9\lang1024\langfe1024\noproof\insrsid16452211\charrsid14699840 &lt;/OptDel&gt;}{\rtlch\fcs1 \af0 \ltrch\fcs0 \insrsid16452211\charrsid14699840 &#13;_x000a_\par }\pard\plain \ltrpar\s23\qc \li0\ri0\sb240\sa240\keepn\nowidctlpar\wrapdefault\aspalpha\aspnum\faauto\adjustright\rin0\lin0\itap0\pararsid16452211 \rtlch\fcs1 \af0\afs20\alang1025 \ltrch\fcs0 \i\fs24\lang2057\langfe2057\cgrid\langnp2057\langfenp2057 {&#13;_x000a_\rtlch\fcs1 \af0 \ltrch\fcs0 \cs15\i0\v\f1\fs20\cf9\lang1024\langfe1024\noproof\insrsid16452211\charrsid14699840 &lt;TitreJust&gt;}{\rtlch\fcs1 \af0 \ltrch\fcs0 \insrsid16452211\charrsid14699840 [ZJUSTIFICATION]}{\rtlch\fcs1 \af0 \ltrch\fcs0 &#13;_x000a_\cs15\i0\v\f1\fs20\cf9\lang1024\langfe1024\noproof\insrsid16452211\charrsid14699840 &lt;/TitreJust&gt;}{\rtlch\fcs1 \af0 \ltrch\fcs0 \insrsid16452211\charrsid14699840 &#13;_x000a_\par }\pard\plain \ltrpar\s25\ql \li0\ri0\sa240\nowidctlpar\wrapdefault\aspalpha\aspnum\faauto\adjustright\rin0\lin0\itap0\pararsid16452211 \rtlch\fcs1 \af0\afs20\alang1025 \ltrch\fcs0 \i\fs24\lang2057\langfe2057\cgrid\langnp2057\langfenp2057 {\rtlch\fcs1 &#13;_x000a_\af0 \ltrch\fcs0 \cs15\i0\v\f1\fs20\cf9\lang1024\langfe1024\noproof\insrsid16452211\charrsid14699840 &lt;OptDelPrev&gt;}{\rtlch\fcs1 \af0 \ltrch\fcs0 \insrsid16452211\charrsid14699840 [ZTEXTJUST]}{\rtlch\fcs1 \af0 \ltrch\fcs0 &#13;_x000a_\cs15\i0\v\f1\fs20\cf9\lang1024\langfe1024\noproof\insrsid16452211\charrsid14699840 &lt;/OptDelPrev&gt;}{\rtlch\fcs1 \af0 \ltrch\fcs0 \insrsid16452211\charrsid14699840 &#13;_x000a_\par }\pard\plain \ltrpar\ql \li0\ri0\widctlpar\wrapdefault\aspalpha\aspnum\faauto\adjustright\rin0\lin0\itap0\pararsid16452211 \rtlch\fcs1 \af0\afs20\alang1025 \ltrch\fcs0 \fs24\lang2057\langfe2057\cgrid\langnp2057\langfenp2057 {\rtlch\fcs1 \af0 \ltrch\fcs0 &#13;_x000a_\lang1024\langfe1024\noproof\insrsid16452211\charrsid14699840 \sect }\sectd \ltrsect\psz9\linex0\headery1134\footery505\endnhere\titlepg\sectdefaultcl\sectrsid14424199\sftnbj\sftnrestart \pard\plain \ltrpar&#13;_x000a_\ql \li0\ri0\widctlpar\wrapdefault\aspalpha\aspnum\faauto\adjustright\rin0\lin0\itap0\pararsid16452211 \rtlch\fcs1 \af0\afs20\alang1025 \ltrch\fcs0 \fs24\lang2057\langfe2057\cgrid\langnp2057\langfenp2057 {\rtlch\fcs1 \af0 \ltrch\fcs0 &#13;_x000a_\cs15\v\f1\fs20\cf9\lang1024\langfe1024\noproof\insrsid16452211\charrsid14699840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8f&#13;_x000a_84924e2c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Bold">
    <w:name w:val="NormalBold"/>
    <w:basedOn w:val="Normal"/>
    <w:pPr>
      <w:widowControl/>
    </w:pPr>
    <w:rPr>
      <w:b/>
    </w:rPr>
  </w:style>
  <w:style w:type="paragraph" w:customStyle="1" w:styleId="Normal12a">
    <w:name w:val="Normal12a"/>
    <w:basedOn w:val="Normal"/>
    <w:pPr>
      <w:widowControl/>
      <w:spacing w:after="240"/>
    </w:pPr>
  </w:style>
  <w:style w:type="character" w:customStyle="1" w:styleId="HideTWBExt">
    <w:name w:val="HideTWBExt"/>
    <w:rPr>
      <w:rFonts w:ascii="Arial" w:hAnsi="Arial"/>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widowControl/>
      <w:spacing w:after="240"/>
      <w:outlineLvl w:val="9"/>
    </w:pPr>
    <w:rPr>
      <w:b/>
      <w:color w:val="2E74B5"/>
      <w:sz w:val="32"/>
      <w:shd w:val="pct50" w:color="auto" w:fill="auto" w:themeColor="accent1" w:themeFill="accent1"/>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12</Pages>
  <Words>2240</Words>
  <Characters>13360</Characters>
  <Application>Microsoft Office Word</Application>
  <DocSecurity>0</DocSecurity>
  <Lines>1</Lines>
  <Paragraphs>194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_</vt:lpwstr>
  </property>
  <property fmtid="{D5CDD505-2E9C-101B-9397-08002B2CF9AE}" pid="4" name="&lt;Model&gt;">
    <vt:lpwstr>AM_Ple_LegReport</vt:lpwstr>
  </property>
  <property fmtid="{D5CDD505-2E9C-101B-9397-08002B2CF9AE}" pid="5" name="&lt;Type&gt;">
    <vt:lpwstr>AM</vt:lpwstr>
  </property>
  <property fmtid="{D5CDD505-2E9C-101B-9397-08002B2CF9AE}" pid="6" name="dmxml.render.id">
    <vt:lpwstr>655488</vt:lpwstr>
  </property>
  <property fmtid="{D5CDD505-2E9C-101B-9397-08002B2CF9AE}" pid="7" name="dmxml.render.traceId">
    <vt:lpwstr>6acfa41ea0459ce42531e070b942579a</vt:lpwstr>
  </property>
  <property fmtid="{D5CDD505-2E9C-101B-9397-08002B2CF9AE}" pid="8" name="FooterPath">
    <vt:lpwstr>AM\P10_AMA(2026)0104(120-129)_EN.docx</vt:lpwstr>
  </property>
  <property fmtid="{D5CDD505-2E9C-101B-9397-08002B2CF9AE}" pid="9" name="PE Number">
    <vt:lpwstr>783.026</vt:lpwstr>
  </property>
  <property fmtid="{D5CDD505-2E9C-101B-9397-08002B2CF9AE}" pid="10" name="UID">
    <vt:lpwstr>eu.europa.europarl-DIN1-2026-0000282635_01.00-en-01.00_text-xml</vt:lpwstr>
  </property>
</Properties>
</file>