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30250" w14:textId="77777777" w:rsidR="00EB3CC0" w:rsidRPr="009F640C" w:rsidRDefault="00D56625">
      <w:pPr>
        <w:pStyle w:val="AmDateTab"/>
      </w:pPr>
      <w:r w:rsidRPr="009F640C">
        <w:rPr>
          <w:rStyle w:val="HideTWBExt"/>
        </w:rPr>
        <w:t>&lt;RepeatBlock-Amend&gt;&lt;Amend&gt;&lt;Date&gt;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26</w:t>
      </w:r>
      <w:r w:rsidRPr="009F640C">
        <w:rPr>
          <w:rStyle w:val="HideTWBExt"/>
        </w:rPr>
        <w:t>&lt;/NumAm&gt;</w:t>
      </w:r>
    </w:p>
    <w:p w14:paraId="700C77DF"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26</w:t>
      </w:r>
      <w:r w:rsidRPr="009F640C">
        <w:rPr>
          <w:rStyle w:val="HideTWBExt"/>
        </w:rPr>
        <w:t>&lt;/NumAm&gt;</w:t>
      </w:r>
    </w:p>
    <w:p w14:paraId="295FAAC9" w14:textId="77777777" w:rsidR="00EB3CC0" w:rsidRPr="009F640C" w:rsidRDefault="00D56625">
      <w:pPr>
        <w:pStyle w:val="NormalBold"/>
      </w:pPr>
      <w:r w:rsidRPr="009F640C">
        <w:rPr>
          <w:rStyle w:val="HideTWBExt"/>
          <w:b w:val="0"/>
        </w:rPr>
        <w:t>&lt;RepeatBlock-By&gt;&lt;By&gt;&lt;Members&gt;</w:t>
      </w:r>
      <w:r w:rsidRPr="009F640C">
        <w:t>Manon Aubry, Pernando Barrena Arza, Danilo Della Valle, Lynn Boylan, Younous Omarjee, Marina Mesure, Anthony Smith, Leila Chaibi, Arash Saeidi, Rima Hassan, Damien Carême, Emma Fourreau, Irene Montero, Rudi Kennes</w:t>
      </w:r>
      <w:r w:rsidRPr="009F640C">
        <w:rPr>
          <w:rStyle w:val="HideTWBExt"/>
          <w:b w:val="0"/>
        </w:rPr>
        <w:t>&lt;/Members&gt;</w:t>
      </w:r>
    </w:p>
    <w:p w14:paraId="5627B5C3" w14:textId="6C042AAD"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4C74E463" w14:textId="77777777" w:rsidR="00EB3CC0" w:rsidRPr="009F640C" w:rsidRDefault="00D56625">
      <w:pPr>
        <w:pStyle w:val="NormalBold"/>
      </w:pPr>
      <w:r w:rsidRPr="009F640C">
        <w:rPr>
          <w:rStyle w:val="HideTWBExt"/>
          <w:b w:val="0"/>
        </w:rPr>
        <w:t>&lt;/By&gt;&lt;/RepeatBlock-By&gt;</w:t>
      </w:r>
    </w:p>
    <w:p w14:paraId="3B6A8F0B"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01FE741D" w14:textId="20DC2C8E" w:rsidR="00EB3CC0" w:rsidRPr="009F640C" w:rsidRDefault="00D56625">
      <w:pPr>
        <w:pStyle w:val="NormalBold"/>
      </w:pPr>
      <w:r w:rsidRPr="009F640C">
        <w:rPr>
          <w:rStyle w:val="HideTWBExt"/>
        </w:rPr>
        <w:t>&lt;Rapporteur&gt;</w:t>
      </w:r>
      <w:r w:rsidRPr="009F640C">
        <w:t>Javi López</w:t>
      </w:r>
      <w:r w:rsidR="00CD5EFF" w:rsidRPr="009F640C">
        <w:t xml:space="preserve">, </w:t>
      </w:r>
      <w:r w:rsidR="00CD5EFF" w:rsidRPr="009F640C">
        <w:rPr>
          <w:bCs/>
        </w:rPr>
        <w:t>Borja Giménez Larraz</w:t>
      </w:r>
      <w:r w:rsidRPr="009F640C">
        <w:rPr>
          <w:rStyle w:val="HideTWBExt"/>
        </w:rPr>
        <w:t>&lt;/Rapporteur&gt;</w:t>
      </w:r>
    </w:p>
    <w:p w14:paraId="19B92B38" w14:textId="6864F0B5"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6FBBBD0A"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1050143C"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6B24EEFA" w14:textId="77777777" w:rsidR="00EB3CC0" w:rsidRPr="009F640C" w:rsidRDefault="00D56625">
      <w:pPr>
        <w:pStyle w:val="NormalBold"/>
      </w:pPr>
      <w:r w:rsidRPr="009F640C">
        <w:rPr>
          <w:rStyle w:val="HideTWBExt"/>
        </w:rPr>
        <w:t>&lt;Article&gt;</w:t>
      </w:r>
      <w:r w:rsidRPr="009F640C">
        <w:t>Paragraph 38</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6D0D102B" w14:textId="77777777">
        <w:trPr>
          <w:trHeight w:hRule="exact" w:val="240"/>
          <w:jc w:val="center"/>
        </w:trPr>
        <w:tc>
          <w:tcPr>
            <w:tcW w:w="9752" w:type="dxa"/>
            <w:gridSpan w:val="2"/>
            <w:tcBorders>
              <w:top w:val="nil"/>
              <w:left w:val="nil"/>
              <w:bottom w:val="nil"/>
              <w:right w:val="nil"/>
            </w:tcBorders>
          </w:tcPr>
          <w:p w14:paraId="02F0DAF8" w14:textId="77777777" w:rsidR="00EB3CC0" w:rsidRPr="009F640C" w:rsidRDefault="00EB3CC0"/>
        </w:tc>
      </w:tr>
      <w:tr w:rsidR="00EB3CC0" w:rsidRPr="009F640C" w14:paraId="76C6733D" w14:textId="77777777">
        <w:trPr>
          <w:trHeight w:val="240"/>
          <w:jc w:val="center"/>
        </w:trPr>
        <w:tc>
          <w:tcPr>
            <w:tcW w:w="4876" w:type="dxa"/>
            <w:tcBorders>
              <w:top w:val="nil"/>
              <w:left w:val="nil"/>
              <w:bottom w:val="nil"/>
              <w:right w:val="nil"/>
            </w:tcBorders>
          </w:tcPr>
          <w:p w14:paraId="293224AE"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03B5F6B7" w14:textId="77777777" w:rsidR="00EB3CC0" w:rsidRPr="009F640C" w:rsidRDefault="00D56625">
            <w:pPr>
              <w:pStyle w:val="AmColumnHeading"/>
            </w:pPr>
            <w:r w:rsidRPr="009F640C">
              <w:t>Amendment</w:t>
            </w:r>
          </w:p>
        </w:tc>
      </w:tr>
      <w:tr w:rsidR="00EB3CC0" w:rsidRPr="009F640C" w14:paraId="2FC62C43" w14:textId="77777777">
        <w:trPr>
          <w:jc w:val="center"/>
        </w:trPr>
        <w:tc>
          <w:tcPr>
            <w:tcW w:w="4876" w:type="dxa"/>
            <w:tcBorders>
              <w:top w:val="nil"/>
              <w:left w:val="nil"/>
              <w:bottom w:val="nil"/>
              <w:right w:val="nil"/>
            </w:tcBorders>
          </w:tcPr>
          <w:p w14:paraId="363FE42C" w14:textId="4836BF72" w:rsidR="00EB3CC0" w:rsidRPr="009F640C" w:rsidRDefault="00D56625">
            <w:pPr>
              <w:pStyle w:val="Normal6a"/>
            </w:pPr>
            <w:r w:rsidRPr="009F640C">
              <w:t>38.</w:t>
            </w:r>
            <w:r w:rsidRPr="009F640C">
              <w:tab/>
              <w:t>Recognises Mexico</w:t>
            </w:r>
            <w:r w:rsidR="009F640C">
              <w:t>’</w:t>
            </w:r>
            <w:r w:rsidRPr="009F640C">
              <w:t>s growing importance as both an expanding market and a strategic partner in the supply of critical raw materials</w:t>
            </w:r>
            <w:r w:rsidRPr="009F640C">
              <w:rPr>
                <w:b/>
                <w:i/>
              </w:rPr>
              <w:t>, offering the EU opportunities to enhance its resilience and deepen transatlantic ties</w:t>
            </w:r>
            <w:r w:rsidRPr="009F640C">
              <w:t>; notes Mexico</w:t>
            </w:r>
            <w:r w:rsidR="009F640C">
              <w:t>’</w:t>
            </w:r>
            <w:r w:rsidRPr="009F640C">
              <w:t>s vital role as a producer of critical raw materials, particularly as the source of 33 % of the EU</w:t>
            </w:r>
            <w:r w:rsidR="009F640C">
              <w:t>’</w:t>
            </w:r>
            <w:r w:rsidRPr="009F640C">
              <w:t xml:space="preserve">s fluorspar imports, which is critical for the steel, iron and refrigeration supply chains; </w:t>
            </w:r>
            <w:r w:rsidRPr="009F640C">
              <w:rPr>
                <w:b/>
                <w:i/>
              </w:rPr>
              <w:t>supports the Agreement</w:t>
            </w:r>
            <w:r w:rsidR="009F640C">
              <w:rPr>
                <w:b/>
                <w:i/>
              </w:rPr>
              <w:t>’</w:t>
            </w:r>
            <w:r w:rsidRPr="009F640C">
              <w:rPr>
                <w:b/>
                <w:i/>
              </w:rPr>
              <w:t>s aim of ensuring a more secure and diversified supply of critical</w:t>
            </w:r>
            <w:r w:rsidRPr="009F640C">
              <w:t xml:space="preserve"> raw materials </w:t>
            </w:r>
            <w:r w:rsidRPr="009F640C">
              <w:rPr>
                <w:b/>
                <w:i/>
              </w:rPr>
              <w:t>essential for</w:t>
            </w:r>
            <w:r w:rsidRPr="009F640C">
              <w:t xml:space="preserve"> the EU</w:t>
            </w:r>
            <w:r w:rsidR="009F640C">
              <w:t>’</w:t>
            </w:r>
            <w:r w:rsidRPr="009F640C">
              <w:t xml:space="preserve">s </w:t>
            </w:r>
            <w:r w:rsidRPr="009F640C">
              <w:rPr>
                <w:b/>
                <w:i/>
              </w:rPr>
              <w:t>green and digital transition through improved market access and</w:t>
            </w:r>
            <w:r w:rsidRPr="009F640C">
              <w:t xml:space="preserve"> provisions </w:t>
            </w:r>
            <w:r w:rsidRPr="009F640C">
              <w:rPr>
                <w:b/>
                <w:i/>
              </w:rPr>
              <w:t>on non-discrimination,</w:t>
            </w:r>
            <w:r w:rsidRPr="009F640C">
              <w:t xml:space="preserve"> such as the prohibition of </w:t>
            </w:r>
            <w:r w:rsidRPr="009F640C">
              <w:rPr>
                <w:b/>
                <w:i/>
              </w:rPr>
              <w:t>import and</w:t>
            </w:r>
            <w:r w:rsidRPr="009F640C">
              <w:t xml:space="preserve"> export monopolies and </w:t>
            </w:r>
            <w:r w:rsidRPr="009F640C">
              <w:rPr>
                <w:b/>
                <w:i/>
              </w:rPr>
              <w:t>a</w:t>
            </w:r>
            <w:r w:rsidRPr="009F640C">
              <w:t xml:space="preserve"> ban on dual pricing; calls for EU and Mexican authorities to ensure that the Agreement effectively promotes compliance with the highest sustainability standards in the extraction and processing of raw materials, and that all mining projects enabled by the Agreement meaningfully involve and contribute to delivering tangible benefits to local and indigenous communities; calls for the EU to actively support Mexico in its efforts to move up the value chain, as well as in enhancing social, environmental and </w:t>
            </w:r>
            <w:r w:rsidRPr="009F640C">
              <w:lastRenderedPageBreak/>
              <w:t>human rights standards in the mining sector;</w:t>
            </w:r>
          </w:p>
        </w:tc>
        <w:tc>
          <w:tcPr>
            <w:tcW w:w="4876" w:type="dxa"/>
            <w:tcBorders>
              <w:top w:val="nil"/>
              <w:left w:val="nil"/>
              <w:bottom w:val="nil"/>
              <w:right w:val="nil"/>
            </w:tcBorders>
          </w:tcPr>
          <w:p w14:paraId="4C212CF2" w14:textId="0A1C050D" w:rsidR="00EB3CC0" w:rsidRPr="009F640C" w:rsidRDefault="00D56625">
            <w:pPr>
              <w:pStyle w:val="Normal6a"/>
            </w:pPr>
            <w:r w:rsidRPr="009F640C">
              <w:lastRenderedPageBreak/>
              <w:t>38.</w:t>
            </w:r>
            <w:r w:rsidRPr="009F640C">
              <w:tab/>
              <w:t>Recognises Mexico</w:t>
            </w:r>
            <w:r w:rsidR="009F640C">
              <w:t>’</w:t>
            </w:r>
            <w:r w:rsidRPr="009F640C">
              <w:t>s growing importance as both an expanding market and a strategic partner in the supply of critical raw materials; notes Mexico</w:t>
            </w:r>
            <w:r w:rsidR="009F640C">
              <w:t>’</w:t>
            </w:r>
            <w:r w:rsidRPr="009F640C">
              <w:t>s vital role as a producer of critical raw materials, particularly as the source of 33 % of the EU</w:t>
            </w:r>
            <w:r w:rsidR="009F640C">
              <w:t>’</w:t>
            </w:r>
            <w:r w:rsidRPr="009F640C">
              <w:t xml:space="preserve">s fluorspar imports, which is critical for the steel, iron and refrigeration supply chains; </w:t>
            </w:r>
            <w:r w:rsidRPr="009F640C">
              <w:rPr>
                <w:b/>
                <w:i/>
              </w:rPr>
              <w:t>expresses concern that the Agreement reflects a</w:t>
            </w:r>
            <w:r w:rsidR="00EA6049" w:rsidRPr="009F640C">
              <w:rPr>
                <w:b/>
                <w:i/>
              </w:rPr>
              <w:t>n</w:t>
            </w:r>
            <w:r w:rsidRPr="009F640C">
              <w:rPr>
                <w:b/>
                <w:i/>
              </w:rPr>
              <w:t xml:space="preserve"> EU approach focused on securing access to</w:t>
            </w:r>
            <w:r w:rsidRPr="009F640C">
              <w:t xml:space="preserve"> raw materials </w:t>
            </w:r>
            <w:r w:rsidRPr="009F640C">
              <w:rPr>
                <w:b/>
                <w:i/>
              </w:rPr>
              <w:t>without a strategy to reduce overall resource consumption; warns that</w:t>
            </w:r>
            <w:r w:rsidRPr="009F640C">
              <w:t xml:space="preserve"> the EU</w:t>
            </w:r>
            <w:r w:rsidR="009F640C">
              <w:t>’</w:t>
            </w:r>
            <w:r w:rsidRPr="009F640C">
              <w:t xml:space="preserve">s </w:t>
            </w:r>
            <w:r w:rsidRPr="009F640C">
              <w:rPr>
                <w:b/>
                <w:i/>
              </w:rPr>
              <w:t>continued and unsustainable pursuit of external raw material supplies risks perpetuating patterns of neo-</w:t>
            </w:r>
            <w:proofErr w:type="spellStart"/>
            <w:r w:rsidRPr="009F640C">
              <w:rPr>
                <w:b/>
                <w:i/>
              </w:rPr>
              <w:t>extractivism</w:t>
            </w:r>
            <w:proofErr w:type="spellEnd"/>
            <w:r w:rsidRPr="009F640C">
              <w:rPr>
                <w:b/>
                <w:i/>
              </w:rPr>
              <w:t xml:space="preserve"> and reinforcing the </w:t>
            </w:r>
            <w:r w:rsidR="004735D2" w:rsidRPr="009F640C">
              <w:rPr>
                <w:b/>
                <w:i/>
              </w:rPr>
              <w:t>E</w:t>
            </w:r>
            <w:r w:rsidRPr="009F640C">
              <w:rPr>
                <w:b/>
                <w:i/>
              </w:rPr>
              <w:t>U</w:t>
            </w:r>
            <w:r w:rsidR="009F640C">
              <w:rPr>
                <w:b/>
                <w:i/>
              </w:rPr>
              <w:t>’</w:t>
            </w:r>
            <w:r w:rsidRPr="009F640C">
              <w:rPr>
                <w:b/>
                <w:i/>
              </w:rPr>
              <w:t>s structural dependency on imported raw materials and goods, rather than addressing underlying demand; stresses that</w:t>
            </w:r>
            <w:r w:rsidRPr="009F640C">
              <w:t xml:space="preserve"> provisions such as the prohibition of export monopolies and </w:t>
            </w:r>
            <w:r w:rsidRPr="009F640C">
              <w:rPr>
                <w:b/>
                <w:i/>
              </w:rPr>
              <w:t>the</w:t>
            </w:r>
            <w:r w:rsidRPr="009F640C">
              <w:t xml:space="preserve"> ban on dual pricing </w:t>
            </w:r>
            <w:r w:rsidRPr="009F640C">
              <w:rPr>
                <w:b/>
                <w:i/>
              </w:rPr>
              <w:t>significantly constrain Mexico</w:t>
            </w:r>
            <w:r w:rsidR="009F640C">
              <w:rPr>
                <w:b/>
                <w:i/>
              </w:rPr>
              <w:t>’</w:t>
            </w:r>
            <w:r w:rsidRPr="009F640C">
              <w:rPr>
                <w:b/>
                <w:i/>
              </w:rPr>
              <w:t xml:space="preserve">s ability to pursue domestic industrial policies, develop local value chains and ensure </w:t>
            </w:r>
            <w:r w:rsidR="004735D2" w:rsidRPr="009F640C">
              <w:rPr>
                <w:b/>
                <w:i/>
              </w:rPr>
              <w:t xml:space="preserve">the </w:t>
            </w:r>
            <w:r w:rsidRPr="009F640C">
              <w:rPr>
                <w:b/>
                <w:i/>
              </w:rPr>
              <w:t>fair distribution of resource wealth; regrets the lack of binding safeguards for environmental protection, indigenous rights and local communities</w:t>
            </w:r>
            <w:r w:rsidRPr="009F640C">
              <w:t xml:space="preserve">; calls for EU and Mexican authorities to </w:t>
            </w:r>
            <w:r w:rsidRPr="009F640C">
              <w:lastRenderedPageBreak/>
              <w:t xml:space="preserve">ensure that the Agreement effectively promotes compliance with the highest sustainability standards in the extraction and processing of raw materials, and that all mining projects enabled by the Agreement meaningfully involve and contribute to delivering tangible benefits to local and indigenous communities; calls for the EU to actively support Mexico in its efforts to move up the value chain, as well as in enhancing social, environmental and human rights standards in the mining sector; </w:t>
            </w:r>
            <w:r w:rsidRPr="009F640C">
              <w:rPr>
                <w:b/>
                <w:i/>
              </w:rPr>
              <w:t xml:space="preserve">calls for a fundamental reorientation of trade policy towards reducing resource dependency, promoting circular economy approaches and ensuring that raw material partnerships are based on sustainability, equity and support for </w:t>
            </w:r>
            <w:r w:rsidR="004735D2" w:rsidRPr="009F640C">
              <w:rPr>
                <w:b/>
                <w:i/>
              </w:rPr>
              <w:t>value add</w:t>
            </w:r>
            <w:r w:rsidR="00281448" w:rsidRPr="009F640C">
              <w:rPr>
                <w:b/>
                <w:i/>
              </w:rPr>
              <w:t>ition</w:t>
            </w:r>
            <w:r w:rsidR="004735D2" w:rsidRPr="009F640C">
              <w:rPr>
                <w:b/>
                <w:i/>
              </w:rPr>
              <w:t xml:space="preserve"> in </w:t>
            </w:r>
            <w:r w:rsidRPr="009F640C">
              <w:rPr>
                <w:b/>
                <w:i/>
              </w:rPr>
              <w:t>third countries;</w:t>
            </w:r>
          </w:p>
        </w:tc>
      </w:tr>
    </w:tbl>
    <w:p w14:paraId="609CD2D7" w14:textId="77777777" w:rsidR="00EB3CC0" w:rsidRPr="009F640C" w:rsidRDefault="00D56625">
      <w:pPr>
        <w:pStyle w:val="AmOrLang"/>
      </w:pPr>
      <w:r w:rsidRPr="009F640C">
        <w:lastRenderedPageBreak/>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7B516D66" w14:textId="77777777" w:rsidR="00EB3CC0" w:rsidRPr="009F640C" w:rsidRDefault="00D56625">
      <w:pPr>
        <w:sectPr w:rsidR="00EB3CC0" w:rsidRPr="009F640C">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9F640C">
        <w:rPr>
          <w:rStyle w:val="HideTWBExt"/>
        </w:rPr>
        <w:t>&lt;/Amend&gt;</w:t>
      </w:r>
    </w:p>
    <w:p w14:paraId="7DDEE673"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27</w:t>
      </w:r>
      <w:r w:rsidRPr="009F640C">
        <w:rPr>
          <w:rStyle w:val="HideTWBExt"/>
        </w:rPr>
        <w:t>&lt;/NumAm&gt;</w:t>
      </w:r>
    </w:p>
    <w:p w14:paraId="6B3BC87B"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27</w:t>
      </w:r>
      <w:r w:rsidRPr="009F640C">
        <w:rPr>
          <w:rStyle w:val="HideTWBExt"/>
        </w:rPr>
        <w:t>&lt;/NumAm&gt;</w:t>
      </w:r>
    </w:p>
    <w:p w14:paraId="6F86F684"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Leila Chaibi, Arash Saeidi, Rima Hassan, Damien Carême, Emma Fourreau, Irene Montero, Rudi Kennes</w:t>
      </w:r>
      <w:r w:rsidRPr="009F640C">
        <w:rPr>
          <w:rStyle w:val="HideTWBExt"/>
          <w:b w:val="0"/>
        </w:rPr>
        <w:t>&lt;/Members&gt;</w:t>
      </w:r>
    </w:p>
    <w:p w14:paraId="27AC0C15" w14:textId="5FEDF359"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0E584B49" w14:textId="77777777" w:rsidR="00EB3CC0" w:rsidRPr="009F640C" w:rsidRDefault="00D56625">
      <w:pPr>
        <w:pStyle w:val="NormalBold"/>
      </w:pPr>
      <w:r w:rsidRPr="009F640C">
        <w:rPr>
          <w:rStyle w:val="HideTWBExt"/>
          <w:b w:val="0"/>
        </w:rPr>
        <w:t>&lt;/By&gt;&lt;/RepeatBlock-By&gt;</w:t>
      </w:r>
    </w:p>
    <w:p w14:paraId="6C4CF833"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3B7B765A"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60E11938" w14:textId="5189F444"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36916BD6"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03E2B934"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2BE7A5CE" w14:textId="77777777" w:rsidR="00EB3CC0" w:rsidRPr="009F640C" w:rsidRDefault="00D56625">
      <w:pPr>
        <w:pStyle w:val="NormalBold"/>
      </w:pPr>
      <w:r w:rsidRPr="009F640C">
        <w:rPr>
          <w:rStyle w:val="HideTWBExt"/>
        </w:rPr>
        <w:t>&lt;Article&gt;</w:t>
      </w:r>
      <w:r w:rsidRPr="009F640C">
        <w:t>Paragraph 40</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0F85E979" w14:textId="77777777">
        <w:trPr>
          <w:trHeight w:hRule="exact" w:val="240"/>
          <w:jc w:val="center"/>
        </w:trPr>
        <w:tc>
          <w:tcPr>
            <w:tcW w:w="9752" w:type="dxa"/>
            <w:gridSpan w:val="2"/>
            <w:tcBorders>
              <w:top w:val="nil"/>
              <w:left w:val="nil"/>
              <w:bottom w:val="nil"/>
              <w:right w:val="nil"/>
            </w:tcBorders>
          </w:tcPr>
          <w:p w14:paraId="70D0A63A" w14:textId="77777777" w:rsidR="00EB3CC0" w:rsidRPr="009F640C" w:rsidRDefault="00EB3CC0"/>
        </w:tc>
      </w:tr>
      <w:tr w:rsidR="00EB3CC0" w:rsidRPr="009F640C" w14:paraId="422CBCF6" w14:textId="77777777">
        <w:trPr>
          <w:trHeight w:val="240"/>
          <w:jc w:val="center"/>
        </w:trPr>
        <w:tc>
          <w:tcPr>
            <w:tcW w:w="4876" w:type="dxa"/>
            <w:tcBorders>
              <w:top w:val="nil"/>
              <w:left w:val="nil"/>
              <w:bottom w:val="nil"/>
              <w:right w:val="nil"/>
            </w:tcBorders>
          </w:tcPr>
          <w:p w14:paraId="1F5A77BD"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6CB04AA6" w14:textId="77777777" w:rsidR="00EB3CC0" w:rsidRPr="009F640C" w:rsidRDefault="00D56625">
            <w:pPr>
              <w:pStyle w:val="AmColumnHeading"/>
            </w:pPr>
            <w:r w:rsidRPr="009F640C">
              <w:t>Amendment</w:t>
            </w:r>
          </w:p>
        </w:tc>
      </w:tr>
      <w:tr w:rsidR="00EB3CC0" w:rsidRPr="009F640C" w14:paraId="7C5FD306" w14:textId="77777777">
        <w:trPr>
          <w:jc w:val="center"/>
        </w:trPr>
        <w:tc>
          <w:tcPr>
            <w:tcW w:w="4876" w:type="dxa"/>
            <w:tcBorders>
              <w:top w:val="nil"/>
              <w:left w:val="nil"/>
              <w:bottom w:val="nil"/>
              <w:right w:val="nil"/>
            </w:tcBorders>
          </w:tcPr>
          <w:p w14:paraId="495A108B" w14:textId="1F0068E9" w:rsidR="00EB3CC0" w:rsidRPr="009F640C" w:rsidRDefault="00D56625">
            <w:pPr>
              <w:pStyle w:val="Normal6a"/>
            </w:pPr>
            <w:r w:rsidRPr="009F640C">
              <w:t>40.</w:t>
            </w:r>
            <w:r w:rsidRPr="009F640C">
              <w:tab/>
            </w:r>
            <w:r w:rsidRPr="009F640C">
              <w:rPr>
                <w:b/>
                <w:i/>
              </w:rPr>
              <w:t>Regrets</w:t>
            </w:r>
            <w:r w:rsidRPr="009F640C">
              <w:t xml:space="preserve"> the absence of a dedicated and comprehensive chapter on energy in the Agreement</w:t>
            </w:r>
            <w:r w:rsidRPr="009F640C">
              <w:rPr>
                <w:b/>
                <w:i/>
              </w:rPr>
              <w:t>, given the sector</w:t>
            </w:r>
            <w:r w:rsidR="009F640C">
              <w:rPr>
                <w:b/>
                <w:i/>
              </w:rPr>
              <w:t>’</w:t>
            </w:r>
            <w:r w:rsidRPr="009F640C">
              <w:rPr>
                <w:b/>
                <w:i/>
              </w:rPr>
              <w:t>s strategic importance for competitiveness and energy security; acknowledges that this could constitute a source of legal uncertainty, affecting investment decisions</w:t>
            </w:r>
            <w:r w:rsidRPr="009F640C">
              <w:t>; considers that enhanced regulatory cooperation between the EU and Mexico in the energy sector would contribute to creating a more predictable environment for investment; recognises the significant involvement of EU companies in Mexico</w:t>
            </w:r>
            <w:r w:rsidR="009F640C">
              <w:t>’</w:t>
            </w:r>
            <w:r w:rsidRPr="009F640C">
              <w:t>s energy sector, particularly in the field of renewable energies; stresses the need to ensure a fair, stable, non-discriminatory and predictable investment environment for these companies that supports energy cooperation and a phase-out of the use of fossil fuels in both regions; welcomes the fact that the parties have committed to reviewing the energy provisions within three years of the Agreement</w:t>
            </w:r>
            <w:r w:rsidR="009F640C">
              <w:t>’</w:t>
            </w:r>
            <w:r w:rsidRPr="009F640C">
              <w:t xml:space="preserve">s entry into force; calls on the Commission to ensure that the review of the energy-related provisions leads to strengthened commitments </w:t>
            </w:r>
            <w:r w:rsidRPr="009F640C">
              <w:rPr>
                <w:b/>
                <w:i/>
              </w:rPr>
              <w:t xml:space="preserve">on legal certainty, transparency and non-discrimination for investors, in particular in renewable energy, electricity networks, </w:t>
            </w:r>
            <w:r w:rsidRPr="009F640C">
              <w:rPr>
                <w:b/>
                <w:i/>
              </w:rPr>
              <w:lastRenderedPageBreak/>
              <w:t>energy efficiency, storage and clean technologies</w:t>
            </w:r>
            <w:r w:rsidRPr="009F640C">
              <w:t>; calls on the Commission to report to Parliament on the outcome of this review;</w:t>
            </w:r>
          </w:p>
        </w:tc>
        <w:tc>
          <w:tcPr>
            <w:tcW w:w="4876" w:type="dxa"/>
            <w:tcBorders>
              <w:top w:val="nil"/>
              <w:left w:val="nil"/>
              <w:bottom w:val="nil"/>
              <w:right w:val="nil"/>
            </w:tcBorders>
          </w:tcPr>
          <w:p w14:paraId="1F3982E8" w14:textId="55F948BB" w:rsidR="00EB3CC0" w:rsidRPr="009F640C" w:rsidRDefault="00D56625">
            <w:pPr>
              <w:pStyle w:val="Normal6a"/>
            </w:pPr>
            <w:r w:rsidRPr="009F640C">
              <w:lastRenderedPageBreak/>
              <w:t>40.</w:t>
            </w:r>
            <w:r w:rsidRPr="009F640C">
              <w:tab/>
            </w:r>
            <w:r w:rsidRPr="009F640C">
              <w:rPr>
                <w:b/>
                <w:i/>
              </w:rPr>
              <w:t>Notes</w:t>
            </w:r>
            <w:r w:rsidRPr="009F640C">
              <w:t xml:space="preserve"> the absence of a dedicated and comprehensive chapter on energy in the Agreement; considers that enhanced regulatory cooperation between the EU and Mexico in the energy sector would contribute to creating a more predictable environment for investment; recognises the significant involvement of EU companies in Mexico</w:t>
            </w:r>
            <w:r w:rsidR="009F640C">
              <w:t>’</w:t>
            </w:r>
            <w:r w:rsidRPr="009F640C">
              <w:t>s energy sector, particularly in the field of renewable energies; stresses the need to ensure a fair, stable, non-discriminatory and predictable investment environment for these companies that supports energy cooperation and a phase-out of the use of fossil fuels in both regions; welcomes the fact that the parties have committed to reviewing the energy provisions within three years of the Agreement</w:t>
            </w:r>
            <w:r w:rsidR="009F640C">
              <w:t>’</w:t>
            </w:r>
            <w:r w:rsidRPr="009F640C">
              <w:t>s entry into force; calls on the Commission to ensure that the review of the energy-related provisions leads to strengthened commitments; calls on the Commission to report to Parliament on the outcome of this review;</w:t>
            </w:r>
          </w:p>
        </w:tc>
      </w:tr>
    </w:tbl>
    <w:p w14:paraId="032F77BB"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4F10FFCC"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5A321E29"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28</w:t>
      </w:r>
      <w:r w:rsidRPr="009F640C">
        <w:rPr>
          <w:rStyle w:val="HideTWBExt"/>
        </w:rPr>
        <w:t>&lt;/NumAm&gt;</w:t>
      </w:r>
    </w:p>
    <w:p w14:paraId="4FBBEEB3"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28</w:t>
      </w:r>
      <w:r w:rsidRPr="009F640C">
        <w:rPr>
          <w:rStyle w:val="HideTWBExt"/>
        </w:rPr>
        <w:t>&lt;/NumAm&gt;</w:t>
      </w:r>
    </w:p>
    <w:p w14:paraId="77C120C4"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Leila Chaibi, Arash Saeidi, Rima Hassan, Damien Carême, Emma Fourreau, Irene Montero, Rudi Kennes</w:t>
      </w:r>
      <w:r w:rsidRPr="009F640C">
        <w:rPr>
          <w:rStyle w:val="HideTWBExt"/>
          <w:b w:val="0"/>
        </w:rPr>
        <w:t>&lt;/Members&gt;</w:t>
      </w:r>
    </w:p>
    <w:p w14:paraId="4712F3F1" w14:textId="469D8422"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3D253E64" w14:textId="77777777" w:rsidR="00EB3CC0" w:rsidRPr="009F640C" w:rsidRDefault="00D56625">
      <w:pPr>
        <w:pStyle w:val="NormalBold"/>
      </w:pPr>
      <w:r w:rsidRPr="009F640C">
        <w:rPr>
          <w:rStyle w:val="HideTWBExt"/>
          <w:b w:val="0"/>
        </w:rPr>
        <w:t>&lt;/By&gt;&lt;/RepeatBlock-By&gt;</w:t>
      </w:r>
    </w:p>
    <w:p w14:paraId="58D75400"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0A783F41"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3D11938E" w14:textId="23E2EE49" w:rsidR="00EB3CC0" w:rsidRPr="009F640C" w:rsidRDefault="00D56625">
      <w:r w:rsidRPr="009F640C">
        <w:rPr>
          <w:rStyle w:val="HideTWBExt"/>
        </w:rPr>
        <w:t>&lt;Titre&gt;</w:t>
      </w:r>
      <w:r w:rsidRPr="009F640C">
        <w:t>EU</w:t>
      </w:r>
      <w:r w:rsidR="009C5353" w:rsidRPr="009F640C">
        <w:t>-</w:t>
      </w:r>
      <w:r w:rsidRPr="009F640C">
        <w:t>Mexico Political, Economic and Cooperation Strategic Partnership Agreement (Interim report)</w:t>
      </w:r>
      <w:r w:rsidRPr="009F640C">
        <w:rPr>
          <w:rStyle w:val="HideTWBExt"/>
        </w:rPr>
        <w:t>&lt;/Titre&gt;</w:t>
      </w:r>
    </w:p>
    <w:p w14:paraId="66567A56"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1EA02796"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011B6004" w14:textId="77777777" w:rsidR="00EB3CC0" w:rsidRPr="009F640C" w:rsidRDefault="00D56625">
      <w:pPr>
        <w:pStyle w:val="NormalBold"/>
      </w:pPr>
      <w:r w:rsidRPr="009F640C">
        <w:rPr>
          <w:rStyle w:val="HideTWBExt"/>
        </w:rPr>
        <w:t>&lt;Article&gt;</w:t>
      </w:r>
      <w:r w:rsidRPr="009F640C">
        <w:t>Paragraph 41</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1BDF6152" w14:textId="77777777">
        <w:trPr>
          <w:trHeight w:hRule="exact" w:val="240"/>
          <w:jc w:val="center"/>
        </w:trPr>
        <w:tc>
          <w:tcPr>
            <w:tcW w:w="9752" w:type="dxa"/>
            <w:gridSpan w:val="2"/>
            <w:tcBorders>
              <w:top w:val="nil"/>
              <w:left w:val="nil"/>
              <w:bottom w:val="nil"/>
              <w:right w:val="nil"/>
            </w:tcBorders>
          </w:tcPr>
          <w:p w14:paraId="123F279D" w14:textId="77777777" w:rsidR="00EB3CC0" w:rsidRPr="009F640C" w:rsidRDefault="00EB3CC0"/>
        </w:tc>
      </w:tr>
      <w:tr w:rsidR="00EB3CC0" w:rsidRPr="009F640C" w14:paraId="1E58820F" w14:textId="77777777">
        <w:trPr>
          <w:trHeight w:val="240"/>
          <w:jc w:val="center"/>
        </w:trPr>
        <w:tc>
          <w:tcPr>
            <w:tcW w:w="4876" w:type="dxa"/>
            <w:tcBorders>
              <w:top w:val="nil"/>
              <w:left w:val="nil"/>
              <w:bottom w:val="nil"/>
              <w:right w:val="nil"/>
            </w:tcBorders>
          </w:tcPr>
          <w:p w14:paraId="63A53701"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543C0A00" w14:textId="77777777" w:rsidR="00EB3CC0" w:rsidRPr="009F640C" w:rsidRDefault="00D56625">
            <w:pPr>
              <w:pStyle w:val="AmColumnHeading"/>
            </w:pPr>
            <w:r w:rsidRPr="009F640C">
              <w:t>Amendment</w:t>
            </w:r>
          </w:p>
        </w:tc>
      </w:tr>
      <w:tr w:rsidR="00EB3CC0" w:rsidRPr="009F640C" w14:paraId="469A9FA1" w14:textId="77777777">
        <w:trPr>
          <w:jc w:val="center"/>
        </w:trPr>
        <w:tc>
          <w:tcPr>
            <w:tcW w:w="4876" w:type="dxa"/>
            <w:tcBorders>
              <w:top w:val="nil"/>
              <w:left w:val="nil"/>
              <w:bottom w:val="nil"/>
              <w:right w:val="nil"/>
            </w:tcBorders>
          </w:tcPr>
          <w:p w14:paraId="44824E0B" w14:textId="4DC27FCF" w:rsidR="00EB3CC0" w:rsidRPr="009F640C" w:rsidRDefault="00D56625">
            <w:pPr>
              <w:pStyle w:val="Normal6a"/>
            </w:pPr>
            <w:r w:rsidRPr="009F640C">
              <w:t>41.</w:t>
            </w:r>
            <w:r w:rsidRPr="009F640C">
              <w:tab/>
              <w:t xml:space="preserve">Stresses the </w:t>
            </w:r>
            <w:r w:rsidRPr="009F640C">
              <w:rPr>
                <w:b/>
                <w:i/>
              </w:rPr>
              <w:t>significance of the parties</w:t>
            </w:r>
            <w:r w:rsidR="009F640C">
              <w:rPr>
                <w:b/>
                <w:i/>
              </w:rPr>
              <w:t>’</w:t>
            </w:r>
            <w:r w:rsidRPr="009F640C">
              <w:rPr>
                <w:b/>
                <w:i/>
              </w:rPr>
              <w:t xml:space="preserve"> commitment to maintaining</w:t>
            </w:r>
            <w:r w:rsidRPr="009F640C">
              <w:t xml:space="preserve"> public procurement procedures </w:t>
            </w:r>
            <w:r w:rsidRPr="009F640C">
              <w:rPr>
                <w:b/>
                <w:i/>
              </w:rPr>
              <w:t>that are transparent, predictable and consistent with international best practice, as a crucial step towards ensuring legal certainty and fair competition; highlights</w:t>
            </w:r>
            <w:r w:rsidRPr="009F640C">
              <w:t xml:space="preserve"> the fact that the Agreement extends unprecedented market access for European bidders to the procurement markets of 14 Mexican states and to a broader range of public contracts on the Mexican market, including those related to public-private partnerships; notes that </w:t>
            </w:r>
            <w:r w:rsidRPr="009F640C">
              <w:rPr>
                <w:b/>
                <w:i/>
              </w:rPr>
              <w:t>the Agreement will entail a significant expansion of</w:t>
            </w:r>
            <w:r w:rsidRPr="009F640C">
              <w:t xml:space="preserve"> procurement </w:t>
            </w:r>
            <w:r w:rsidRPr="009F640C">
              <w:rPr>
                <w:b/>
                <w:i/>
              </w:rPr>
              <w:t>opportunities for European companies; encourages further promotion of access for European companies to</w:t>
            </w:r>
            <w:r w:rsidRPr="009F640C">
              <w:t xml:space="preserve"> public procurement </w:t>
            </w:r>
            <w:r w:rsidRPr="009F640C">
              <w:rPr>
                <w:b/>
                <w:i/>
              </w:rPr>
              <w:t>markets in all Mexican states; welcomes the fact</w:t>
            </w:r>
            <w:r w:rsidRPr="009F640C">
              <w:t xml:space="preserve"> that the </w:t>
            </w:r>
            <w:r w:rsidRPr="009F640C">
              <w:rPr>
                <w:b/>
                <w:i/>
              </w:rPr>
              <w:t>Agreement allows procuring entities to take into account environmental and social considerations throughout the</w:t>
            </w:r>
            <w:r w:rsidRPr="009F640C">
              <w:t xml:space="preserve"> procurement </w:t>
            </w:r>
            <w:r w:rsidRPr="009F640C">
              <w:rPr>
                <w:b/>
                <w:i/>
              </w:rPr>
              <w:t>procedure</w:t>
            </w:r>
            <w:r w:rsidRPr="009F640C">
              <w:t>;</w:t>
            </w:r>
          </w:p>
        </w:tc>
        <w:tc>
          <w:tcPr>
            <w:tcW w:w="4876" w:type="dxa"/>
            <w:tcBorders>
              <w:top w:val="nil"/>
              <w:left w:val="nil"/>
              <w:bottom w:val="nil"/>
              <w:right w:val="nil"/>
            </w:tcBorders>
          </w:tcPr>
          <w:p w14:paraId="55F8D89B" w14:textId="75BCDA11" w:rsidR="00EB3CC0" w:rsidRPr="009F640C" w:rsidRDefault="00D56625">
            <w:pPr>
              <w:pStyle w:val="Normal6a"/>
            </w:pPr>
            <w:r w:rsidRPr="009F640C">
              <w:t>41.</w:t>
            </w:r>
            <w:r w:rsidRPr="009F640C">
              <w:tab/>
              <w:t xml:space="preserve">Stresses the </w:t>
            </w:r>
            <w:r w:rsidRPr="009F640C">
              <w:rPr>
                <w:b/>
                <w:i/>
              </w:rPr>
              <w:t>importance of transparent</w:t>
            </w:r>
            <w:r w:rsidRPr="009F640C">
              <w:t xml:space="preserve"> public procurement procedures</w:t>
            </w:r>
            <w:r w:rsidRPr="009F640C">
              <w:rPr>
                <w:b/>
                <w:i/>
              </w:rPr>
              <w:t>; notes</w:t>
            </w:r>
            <w:r w:rsidRPr="009F640C">
              <w:t xml:space="preserve"> the fact that the Agreement extends unprecedented market access for European bidders to the procurement markets of 14 Mexican states and to a broader range of public contracts on the Mexican market, including those related to public-private partnerships; notes that </w:t>
            </w:r>
            <w:r w:rsidRPr="009F640C">
              <w:rPr>
                <w:b/>
                <w:i/>
              </w:rPr>
              <w:t>public</w:t>
            </w:r>
            <w:r w:rsidRPr="009F640C">
              <w:t xml:space="preserve"> procurement </w:t>
            </w:r>
            <w:r w:rsidRPr="009F640C">
              <w:rPr>
                <w:b/>
                <w:i/>
              </w:rPr>
              <w:t>is a key tool for domestic economic development and industrial policy; recalls that</w:t>
            </w:r>
            <w:r w:rsidRPr="009F640C">
              <w:t xml:space="preserve"> public procurement </w:t>
            </w:r>
            <w:r w:rsidRPr="009F640C">
              <w:rPr>
                <w:b/>
                <w:i/>
              </w:rPr>
              <w:t>represents around 14</w:t>
            </w:r>
            <w:r w:rsidR="009F640C">
              <w:rPr>
                <w:b/>
                <w:i/>
              </w:rPr>
              <w:t> </w:t>
            </w:r>
            <w:r w:rsidRPr="009F640C">
              <w:rPr>
                <w:b/>
                <w:i/>
              </w:rPr>
              <w:t>% of EU GDP and</w:t>
            </w:r>
            <w:r w:rsidRPr="009F640C">
              <w:t xml:space="preserve"> that the </w:t>
            </w:r>
            <w:r w:rsidRPr="009F640C">
              <w:rPr>
                <w:b/>
                <w:i/>
              </w:rPr>
              <w:t>EU is currently revising its framework to strengthen its use in support of strategic sectors, sustainability objectives and local value creation; stresses, therefore, that trade agreements should not restrict the ability of governments to use public</w:t>
            </w:r>
            <w:r w:rsidRPr="009F640C">
              <w:t xml:space="preserve"> procurement </w:t>
            </w:r>
            <w:r w:rsidRPr="009F640C">
              <w:rPr>
                <w:b/>
                <w:i/>
              </w:rPr>
              <w:t>to pursue legitimate public policies</w:t>
            </w:r>
            <w:r w:rsidR="00281448" w:rsidRPr="009F640C">
              <w:rPr>
                <w:b/>
                <w:i/>
              </w:rPr>
              <w:t xml:space="preserve"> and</w:t>
            </w:r>
            <w:r w:rsidRPr="009F640C">
              <w:rPr>
                <w:b/>
                <w:i/>
              </w:rPr>
              <w:t xml:space="preserve"> prioriti</w:t>
            </w:r>
            <w:r w:rsidR="00281448" w:rsidRPr="009F640C">
              <w:rPr>
                <w:b/>
                <w:i/>
              </w:rPr>
              <w:t>s</w:t>
            </w:r>
            <w:r w:rsidRPr="009F640C">
              <w:rPr>
                <w:b/>
                <w:i/>
              </w:rPr>
              <w:t>e domestic companies and national development objectives</w:t>
            </w:r>
            <w:r w:rsidRPr="009F640C">
              <w:t>;</w:t>
            </w:r>
          </w:p>
        </w:tc>
      </w:tr>
    </w:tbl>
    <w:p w14:paraId="34EABDDA"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2C823049"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19831D10"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29</w:t>
      </w:r>
      <w:r w:rsidRPr="009F640C">
        <w:rPr>
          <w:rStyle w:val="HideTWBExt"/>
        </w:rPr>
        <w:t>&lt;/NumAm&gt;</w:t>
      </w:r>
    </w:p>
    <w:p w14:paraId="55FEBFA9"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29</w:t>
      </w:r>
      <w:r w:rsidRPr="009F640C">
        <w:rPr>
          <w:rStyle w:val="HideTWBExt"/>
        </w:rPr>
        <w:t>&lt;/NumAm&gt;</w:t>
      </w:r>
    </w:p>
    <w:p w14:paraId="290B8FDC"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Leila Chaibi, Arash Saeidi, Rima Hassan, Damien Carême, Emma Fourreau, Irene Montero, Rudi Kennes</w:t>
      </w:r>
      <w:r w:rsidRPr="009F640C">
        <w:rPr>
          <w:rStyle w:val="HideTWBExt"/>
          <w:b w:val="0"/>
        </w:rPr>
        <w:t>&lt;/Members&gt;</w:t>
      </w:r>
    </w:p>
    <w:p w14:paraId="3B9AC01E" w14:textId="3806D875"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3AC90688" w14:textId="77777777" w:rsidR="00EB3CC0" w:rsidRPr="009F640C" w:rsidRDefault="00D56625">
      <w:pPr>
        <w:pStyle w:val="NormalBold"/>
      </w:pPr>
      <w:r w:rsidRPr="009F640C">
        <w:rPr>
          <w:rStyle w:val="HideTWBExt"/>
          <w:b w:val="0"/>
        </w:rPr>
        <w:t>&lt;/By&gt;&lt;/RepeatBlock-By&gt;</w:t>
      </w:r>
    </w:p>
    <w:p w14:paraId="4D0C5BC2"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421F4AF3"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35C53E05" w14:textId="687E9983"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6AE91D68"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0C1A0596"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5D55070F" w14:textId="77777777" w:rsidR="00EB3CC0" w:rsidRPr="009F640C" w:rsidRDefault="00D56625">
      <w:pPr>
        <w:pStyle w:val="NormalBold"/>
      </w:pPr>
      <w:r w:rsidRPr="009F640C">
        <w:rPr>
          <w:rStyle w:val="HideTWBExt"/>
        </w:rPr>
        <w:t>&lt;Article&gt;</w:t>
      </w:r>
      <w:r w:rsidRPr="009F640C">
        <w:t>Paragraph 44</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768A81C8" w14:textId="77777777">
        <w:trPr>
          <w:trHeight w:hRule="exact" w:val="240"/>
          <w:jc w:val="center"/>
        </w:trPr>
        <w:tc>
          <w:tcPr>
            <w:tcW w:w="9752" w:type="dxa"/>
            <w:gridSpan w:val="2"/>
            <w:tcBorders>
              <w:top w:val="nil"/>
              <w:left w:val="nil"/>
              <w:bottom w:val="nil"/>
              <w:right w:val="nil"/>
            </w:tcBorders>
          </w:tcPr>
          <w:p w14:paraId="21FCB3CD" w14:textId="77777777" w:rsidR="00EB3CC0" w:rsidRPr="009F640C" w:rsidRDefault="00EB3CC0"/>
        </w:tc>
      </w:tr>
      <w:tr w:rsidR="00EB3CC0" w:rsidRPr="009F640C" w14:paraId="7FFE5A7E" w14:textId="77777777">
        <w:trPr>
          <w:trHeight w:val="240"/>
          <w:jc w:val="center"/>
        </w:trPr>
        <w:tc>
          <w:tcPr>
            <w:tcW w:w="4876" w:type="dxa"/>
            <w:tcBorders>
              <w:top w:val="nil"/>
              <w:left w:val="nil"/>
              <w:bottom w:val="nil"/>
              <w:right w:val="nil"/>
            </w:tcBorders>
          </w:tcPr>
          <w:p w14:paraId="3AA1CC58"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6C291B04" w14:textId="77777777" w:rsidR="00EB3CC0" w:rsidRPr="009F640C" w:rsidRDefault="00D56625">
            <w:pPr>
              <w:pStyle w:val="AmColumnHeading"/>
            </w:pPr>
            <w:r w:rsidRPr="009F640C">
              <w:t>Amendment</w:t>
            </w:r>
          </w:p>
        </w:tc>
      </w:tr>
      <w:tr w:rsidR="00EB3CC0" w:rsidRPr="009F640C" w14:paraId="27990436" w14:textId="77777777">
        <w:trPr>
          <w:jc w:val="center"/>
        </w:trPr>
        <w:tc>
          <w:tcPr>
            <w:tcW w:w="4876" w:type="dxa"/>
            <w:tcBorders>
              <w:top w:val="nil"/>
              <w:left w:val="nil"/>
              <w:bottom w:val="nil"/>
              <w:right w:val="nil"/>
            </w:tcBorders>
          </w:tcPr>
          <w:p w14:paraId="5BE27F4B" w14:textId="77777777" w:rsidR="00EB3CC0" w:rsidRPr="009F640C" w:rsidRDefault="00D56625">
            <w:pPr>
              <w:pStyle w:val="Normal6a"/>
            </w:pPr>
            <w:r w:rsidRPr="009F640C">
              <w:t>44.</w:t>
            </w:r>
            <w:r w:rsidRPr="009F640C">
              <w:tab/>
            </w:r>
            <w:r w:rsidRPr="009F640C">
              <w:rPr>
                <w:b/>
                <w:i/>
              </w:rPr>
              <w:t>Welcomes the enhanced</w:t>
            </w:r>
            <w:r w:rsidRPr="009F640C">
              <w:t xml:space="preserve"> protection and enforcement of intellectual property rights, which </w:t>
            </w:r>
            <w:r w:rsidRPr="009F640C">
              <w:rPr>
                <w:b/>
                <w:i/>
              </w:rPr>
              <w:t>will offer EU innovators, creative industries and artists significantly stronger safeguards in Mexico than those provided under</w:t>
            </w:r>
            <w:r w:rsidRPr="009F640C">
              <w:t xml:space="preserve"> the WTO TRIPS Agreement;</w:t>
            </w:r>
          </w:p>
        </w:tc>
        <w:tc>
          <w:tcPr>
            <w:tcW w:w="4876" w:type="dxa"/>
            <w:tcBorders>
              <w:top w:val="nil"/>
              <w:left w:val="nil"/>
              <w:bottom w:val="nil"/>
              <w:right w:val="nil"/>
            </w:tcBorders>
          </w:tcPr>
          <w:p w14:paraId="1B3A5343" w14:textId="37017968" w:rsidR="00EB3CC0" w:rsidRPr="009F640C" w:rsidRDefault="00D56625">
            <w:pPr>
              <w:pStyle w:val="Normal6a"/>
            </w:pPr>
            <w:r w:rsidRPr="009F640C">
              <w:t>44.</w:t>
            </w:r>
            <w:r w:rsidRPr="009F640C">
              <w:tab/>
            </w:r>
            <w:r w:rsidRPr="009F640C">
              <w:rPr>
                <w:b/>
                <w:i/>
              </w:rPr>
              <w:t>Raises concerns regarding the strengthened</w:t>
            </w:r>
            <w:r w:rsidRPr="009F640C">
              <w:t xml:space="preserve"> protection and enforcement of intellectual property rights, which </w:t>
            </w:r>
            <w:r w:rsidRPr="009F640C">
              <w:rPr>
                <w:b/>
                <w:i/>
              </w:rPr>
              <w:t>go beyond</w:t>
            </w:r>
            <w:r w:rsidRPr="009F640C">
              <w:t xml:space="preserve"> the WTO TRIPS Agreement; </w:t>
            </w:r>
            <w:r w:rsidRPr="009F640C">
              <w:rPr>
                <w:b/>
                <w:i/>
              </w:rPr>
              <w:t>warns</w:t>
            </w:r>
            <w:r w:rsidR="00281448" w:rsidRPr="009F640C">
              <w:rPr>
                <w:b/>
                <w:i/>
              </w:rPr>
              <w:t>,</w:t>
            </w:r>
            <w:r w:rsidRPr="009F640C">
              <w:rPr>
                <w:b/>
                <w:i/>
              </w:rPr>
              <w:t xml:space="preserve"> in particular</w:t>
            </w:r>
            <w:r w:rsidR="00281448" w:rsidRPr="009F640C">
              <w:rPr>
                <w:b/>
                <w:i/>
              </w:rPr>
              <w:t>,</w:t>
            </w:r>
            <w:r w:rsidRPr="009F640C">
              <w:rPr>
                <w:b/>
                <w:i/>
              </w:rPr>
              <w:t xml:space="preserve"> that the inclusion of provisions aligned with </w:t>
            </w:r>
            <w:r w:rsidR="00281448" w:rsidRPr="009F640C">
              <w:rPr>
                <w:b/>
                <w:i/>
              </w:rPr>
              <w:t xml:space="preserve">the 1991 International Convention for the Protection of New Varieties of Plants </w:t>
            </w:r>
            <w:r w:rsidR="006F441A">
              <w:rPr>
                <w:b/>
                <w:i/>
              </w:rPr>
              <w:t xml:space="preserve">(UPOV) </w:t>
            </w:r>
            <w:r w:rsidRPr="009F640C">
              <w:rPr>
                <w:b/>
                <w:i/>
              </w:rPr>
              <w:t>may negatively affect farmers</w:t>
            </w:r>
            <w:r w:rsidR="009F640C">
              <w:rPr>
                <w:b/>
                <w:i/>
              </w:rPr>
              <w:t>’</w:t>
            </w:r>
            <w:r w:rsidRPr="009F640C">
              <w:rPr>
                <w:b/>
                <w:i/>
              </w:rPr>
              <w:t xml:space="preserve"> rights, seed sovereignty and biodiversity; further expresses concern about provisions on supplementary protection for pharmaceutical products in cases of delays in marketing approval, which may extend market exclusivity, delay access to affordable medicines and increase costs for public health systems; calls for a balanced approach to intellectual property that safeguards innovation while protecting public interest objectives</w:t>
            </w:r>
            <w:r w:rsidR="00281448" w:rsidRPr="009F640C">
              <w:rPr>
                <w:b/>
                <w:i/>
              </w:rPr>
              <w:t>;</w:t>
            </w:r>
          </w:p>
        </w:tc>
      </w:tr>
    </w:tbl>
    <w:p w14:paraId="34436169"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17FCD22A"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591740A4"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30</w:t>
      </w:r>
      <w:r w:rsidRPr="009F640C">
        <w:rPr>
          <w:rStyle w:val="HideTWBExt"/>
        </w:rPr>
        <w:t>&lt;/NumAm&gt;</w:t>
      </w:r>
    </w:p>
    <w:p w14:paraId="6C17B3EF"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30</w:t>
      </w:r>
      <w:r w:rsidRPr="009F640C">
        <w:rPr>
          <w:rStyle w:val="HideTWBExt"/>
        </w:rPr>
        <w:t>&lt;/NumAm&gt;</w:t>
      </w:r>
    </w:p>
    <w:p w14:paraId="645EC84A" w14:textId="77777777" w:rsidR="00EB3CC0" w:rsidRPr="009F640C" w:rsidRDefault="00D56625">
      <w:pPr>
        <w:pStyle w:val="NormalBold"/>
      </w:pPr>
      <w:r w:rsidRPr="009F640C">
        <w:rPr>
          <w:rStyle w:val="HideTWBExt"/>
          <w:b w:val="0"/>
        </w:rPr>
        <w:t>&lt;RepeatBlock-By&gt;&lt;By&gt;&lt;Members&gt;</w:t>
      </w:r>
      <w:r w:rsidRPr="009F640C">
        <w:t>Manon Aubry, Pernando Barrena Arza, Danilo Della Valle, Lynn Boylan, Younous Omarjee, Marina Mesure, Anthony Smith, Leila Chaibi, Arash Saeidi, Rima Hassan, Damien Carême, Emma Fourreau, Irene Montero, Rudi Kennes</w:t>
      </w:r>
      <w:r w:rsidRPr="009F640C">
        <w:rPr>
          <w:rStyle w:val="HideTWBExt"/>
          <w:b w:val="0"/>
        </w:rPr>
        <w:t>&lt;/Members&gt;</w:t>
      </w:r>
    </w:p>
    <w:p w14:paraId="2336B173" w14:textId="6CB8E1DC"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04425835" w14:textId="77777777" w:rsidR="00EB3CC0" w:rsidRPr="009F640C" w:rsidRDefault="00D56625">
      <w:pPr>
        <w:pStyle w:val="NormalBold"/>
      </w:pPr>
      <w:r w:rsidRPr="009F640C">
        <w:rPr>
          <w:rStyle w:val="HideTWBExt"/>
          <w:b w:val="0"/>
        </w:rPr>
        <w:t>&lt;/By&gt;&lt;/RepeatBlock-By&gt;</w:t>
      </w:r>
    </w:p>
    <w:p w14:paraId="003E8B0D"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458B17CE"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2E4F0C81" w14:textId="7CE07314"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299F81DD"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6745BC52"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7956891A" w14:textId="77777777" w:rsidR="00EB3CC0" w:rsidRPr="009F640C" w:rsidRDefault="00D56625">
      <w:pPr>
        <w:pStyle w:val="NormalBold"/>
      </w:pPr>
      <w:r w:rsidRPr="009F640C">
        <w:rPr>
          <w:rStyle w:val="HideTWBExt"/>
        </w:rPr>
        <w:t>&lt;Article&gt;</w:t>
      </w:r>
      <w:r w:rsidRPr="009F640C">
        <w:t>Paragraph 45</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4EBFB242" w14:textId="77777777">
        <w:trPr>
          <w:trHeight w:hRule="exact" w:val="240"/>
          <w:jc w:val="center"/>
        </w:trPr>
        <w:tc>
          <w:tcPr>
            <w:tcW w:w="9752" w:type="dxa"/>
            <w:gridSpan w:val="2"/>
            <w:tcBorders>
              <w:top w:val="nil"/>
              <w:left w:val="nil"/>
              <w:bottom w:val="nil"/>
              <w:right w:val="nil"/>
            </w:tcBorders>
          </w:tcPr>
          <w:p w14:paraId="07D69931" w14:textId="77777777" w:rsidR="00EB3CC0" w:rsidRPr="009F640C" w:rsidRDefault="00EB3CC0"/>
        </w:tc>
      </w:tr>
      <w:tr w:rsidR="00EB3CC0" w:rsidRPr="009F640C" w14:paraId="1B3305A7" w14:textId="77777777">
        <w:trPr>
          <w:trHeight w:val="240"/>
          <w:jc w:val="center"/>
        </w:trPr>
        <w:tc>
          <w:tcPr>
            <w:tcW w:w="4876" w:type="dxa"/>
            <w:tcBorders>
              <w:top w:val="nil"/>
              <w:left w:val="nil"/>
              <w:bottom w:val="nil"/>
              <w:right w:val="nil"/>
            </w:tcBorders>
          </w:tcPr>
          <w:p w14:paraId="2B26766E"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7D9A1560" w14:textId="77777777" w:rsidR="00EB3CC0" w:rsidRPr="009F640C" w:rsidRDefault="00D56625">
            <w:pPr>
              <w:pStyle w:val="AmColumnHeading"/>
            </w:pPr>
            <w:r w:rsidRPr="009F640C">
              <w:t>Amendment</w:t>
            </w:r>
          </w:p>
        </w:tc>
      </w:tr>
      <w:tr w:rsidR="00EB3CC0" w:rsidRPr="009F640C" w14:paraId="4B1A8440" w14:textId="77777777">
        <w:trPr>
          <w:jc w:val="center"/>
        </w:trPr>
        <w:tc>
          <w:tcPr>
            <w:tcW w:w="4876" w:type="dxa"/>
            <w:tcBorders>
              <w:top w:val="nil"/>
              <w:left w:val="nil"/>
              <w:bottom w:val="nil"/>
              <w:right w:val="nil"/>
            </w:tcBorders>
          </w:tcPr>
          <w:p w14:paraId="0F6CA23A" w14:textId="77777777" w:rsidR="00EB3CC0" w:rsidRPr="009F640C" w:rsidRDefault="00D56625">
            <w:pPr>
              <w:pStyle w:val="Normal6a"/>
            </w:pPr>
            <w:r w:rsidRPr="009F640C">
              <w:t>45.</w:t>
            </w:r>
            <w:r w:rsidRPr="009F640C">
              <w:tab/>
            </w:r>
            <w:r w:rsidRPr="009F640C">
              <w:rPr>
                <w:b/>
                <w:i/>
              </w:rPr>
              <w:t>Acknowledges</w:t>
            </w:r>
            <w:r w:rsidRPr="009F640C">
              <w:t xml:space="preserve"> the fact that the Agreement contains robust provisions on investment protection designed to </w:t>
            </w:r>
            <w:r w:rsidRPr="009F640C">
              <w:rPr>
                <w:b/>
                <w:i/>
              </w:rPr>
              <w:t>increase investor confidence and ensure a fair and predictable regulatory environment; supports the replacement of the outdated investor-state dispute settlement mechanism with the new</w:t>
            </w:r>
            <w:r w:rsidRPr="009F640C">
              <w:t xml:space="preserve"> Investment </w:t>
            </w:r>
            <w:r w:rsidRPr="009F640C">
              <w:rPr>
                <w:b/>
                <w:i/>
              </w:rPr>
              <w:t>Court System; notes that EU</w:t>
            </w:r>
            <w:r w:rsidRPr="009F640C">
              <w:t xml:space="preserve"> investment </w:t>
            </w:r>
            <w:r w:rsidRPr="009F640C">
              <w:rPr>
                <w:b/>
                <w:i/>
              </w:rPr>
              <w:t>stocks in Mexico reached EUR 209 billion in 2023, and believes that replacing the outdated dispute settlement system with</w:t>
            </w:r>
            <w:r w:rsidRPr="009F640C">
              <w:t xml:space="preserve"> the Investment Court System </w:t>
            </w:r>
            <w:r w:rsidRPr="009F640C">
              <w:rPr>
                <w:b/>
                <w:i/>
              </w:rPr>
              <w:t>will further secure significant</w:t>
            </w:r>
            <w:r w:rsidRPr="009F640C">
              <w:t xml:space="preserve"> investment </w:t>
            </w:r>
            <w:r w:rsidRPr="009F640C">
              <w:rPr>
                <w:b/>
                <w:i/>
              </w:rPr>
              <w:t>ties</w:t>
            </w:r>
            <w:r w:rsidRPr="009F640C">
              <w:t>; urges the parties to ensure the consistency of investment protection provisions with environmental policies, labour rights and human rights;</w:t>
            </w:r>
          </w:p>
        </w:tc>
        <w:tc>
          <w:tcPr>
            <w:tcW w:w="4876" w:type="dxa"/>
            <w:tcBorders>
              <w:top w:val="nil"/>
              <w:left w:val="nil"/>
              <w:bottom w:val="nil"/>
              <w:right w:val="nil"/>
            </w:tcBorders>
          </w:tcPr>
          <w:p w14:paraId="55983448" w14:textId="781E54F2" w:rsidR="00EB3CC0" w:rsidRPr="009F640C" w:rsidRDefault="00D56625">
            <w:pPr>
              <w:pStyle w:val="Normal6a"/>
            </w:pPr>
            <w:r w:rsidRPr="009F640C">
              <w:t>45.</w:t>
            </w:r>
            <w:r w:rsidRPr="009F640C">
              <w:tab/>
            </w:r>
            <w:r w:rsidRPr="009F640C">
              <w:rPr>
                <w:b/>
                <w:i/>
              </w:rPr>
              <w:t>Regrets</w:t>
            </w:r>
            <w:r w:rsidRPr="009F640C">
              <w:t xml:space="preserve"> the fact that the Agreement contains robust provisions on investment protection designed to </w:t>
            </w:r>
            <w:r w:rsidRPr="009F640C">
              <w:rPr>
                <w:b/>
                <w:i/>
              </w:rPr>
              <w:t xml:space="preserve">protect investors; notes the lack </w:t>
            </w:r>
            <w:r w:rsidR="00281448" w:rsidRPr="009F640C">
              <w:rPr>
                <w:b/>
                <w:i/>
              </w:rPr>
              <w:t xml:space="preserve">of </w:t>
            </w:r>
            <w:r w:rsidRPr="009F640C">
              <w:rPr>
                <w:b/>
                <w:i/>
              </w:rPr>
              <w:t>evidence that</w:t>
            </w:r>
            <w:r w:rsidRPr="009F640C">
              <w:t xml:space="preserve"> </w:t>
            </w:r>
            <w:r w:rsidRPr="009F640C">
              <w:rPr>
                <w:b/>
                <w:bCs/>
                <w:i/>
                <w:iCs/>
              </w:rPr>
              <w:t>investment</w:t>
            </w:r>
            <w:r w:rsidRPr="009F640C">
              <w:t xml:space="preserve"> </w:t>
            </w:r>
            <w:r w:rsidRPr="009F640C">
              <w:rPr>
                <w:b/>
                <w:i/>
              </w:rPr>
              <w:t>protection provisions help attract foreign direct</w:t>
            </w:r>
            <w:r w:rsidRPr="009F640C">
              <w:t xml:space="preserve"> investment</w:t>
            </w:r>
            <w:r w:rsidRPr="009F640C">
              <w:rPr>
                <w:b/>
                <w:i/>
              </w:rPr>
              <w:t>; expresses concern that</w:t>
            </w:r>
            <w:r w:rsidRPr="009F640C">
              <w:t xml:space="preserve"> the Investment Court System </w:t>
            </w:r>
            <w:r w:rsidR="00281448" w:rsidRPr="009F640C">
              <w:rPr>
                <w:b/>
                <w:bCs/>
                <w:i/>
                <w:iCs/>
              </w:rPr>
              <w:t>c</w:t>
            </w:r>
            <w:r w:rsidRPr="009F640C">
              <w:rPr>
                <w:b/>
                <w:i/>
              </w:rPr>
              <w:t xml:space="preserve">ontinues to grant foreign investors privileged access to a parallel dispute settlement system </w:t>
            </w:r>
            <w:r w:rsidR="00281448" w:rsidRPr="009F640C">
              <w:rPr>
                <w:b/>
                <w:i/>
              </w:rPr>
              <w:t xml:space="preserve">that is </w:t>
            </w:r>
            <w:r w:rsidRPr="009F640C">
              <w:rPr>
                <w:b/>
                <w:i/>
              </w:rPr>
              <w:t xml:space="preserve">unavailable to workers, communities or affected citizens; warns that </w:t>
            </w:r>
            <w:r w:rsidR="00281448" w:rsidRPr="009F640C">
              <w:rPr>
                <w:b/>
                <w:i/>
              </w:rPr>
              <w:t>this</w:t>
            </w:r>
            <w:r w:rsidRPr="009F640C">
              <w:rPr>
                <w:b/>
                <w:i/>
              </w:rPr>
              <w:t xml:space="preserve"> may allow investors to challenge legitimate public policy measures, creating regulatory chill and undermining </w:t>
            </w:r>
            <w:r w:rsidR="00281448" w:rsidRPr="009F640C">
              <w:rPr>
                <w:b/>
                <w:i/>
              </w:rPr>
              <w:t>state</w:t>
            </w:r>
            <w:r w:rsidRPr="009F640C">
              <w:rPr>
                <w:b/>
                <w:i/>
              </w:rPr>
              <w:t xml:space="preserve"> sovereignty and democratic decision-making; notes the inconsistency with the EU</w:t>
            </w:r>
            <w:r w:rsidR="009F640C">
              <w:rPr>
                <w:b/>
                <w:i/>
              </w:rPr>
              <w:t>’</w:t>
            </w:r>
            <w:r w:rsidRPr="009F640C">
              <w:rPr>
                <w:b/>
                <w:i/>
              </w:rPr>
              <w:t xml:space="preserve">s withdrawal from the Energy Charter Treaty </w:t>
            </w:r>
            <w:r w:rsidR="00281448" w:rsidRPr="009F640C">
              <w:rPr>
                <w:b/>
                <w:i/>
              </w:rPr>
              <w:t>because of</w:t>
            </w:r>
            <w:r w:rsidRPr="009F640C">
              <w:rPr>
                <w:b/>
                <w:i/>
              </w:rPr>
              <w:t xml:space="preserve"> similar concerns over investor claims against public-interest regulation; calls on the Commission to review the agreement with Mexico with a view to excluding</w:t>
            </w:r>
            <w:r w:rsidRPr="009F640C">
              <w:t xml:space="preserve"> investment </w:t>
            </w:r>
            <w:r w:rsidRPr="009F640C">
              <w:rPr>
                <w:b/>
                <w:i/>
              </w:rPr>
              <w:t>protection provisions, as in more recent FTA negotiations</w:t>
            </w:r>
            <w:r w:rsidRPr="009F640C">
              <w:t xml:space="preserve">; urges the parties to ensure the consistency of investment protection provisions with environmental policies, labour rights and human rights; </w:t>
            </w:r>
            <w:r w:rsidRPr="009F640C">
              <w:rPr>
                <w:b/>
                <w:i/>
              </w:rPr>
              <w:t>calls on the Commission to ensure obligations for investors and access to justice for affected communities;</w:t>
            </w:r>
          </w:p>
        </w:tc>
      </w:tr>
    </w:tbl>
    <w:p w14:paraId="535059C6" w14:textId="77777777" w:rsidR="00EB3CC0" w:rsidRPr="009F640C" w:rsidRDefault="00D56625">
      <w:pPr>
        <w:pStyle w:val="AmOrLang"/>
      </w:pPr>
      <w:r w:rsidRPr="009F640C">
        <w:lastRenderedPageBreak/>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4C90E88E"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6E367171"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31</w:t>
      </w:r>
      <w:r w:rsidRPr="009F640C">
        <w:rPr>
          <w:rStyle w:val="HideTWBExt"/>
        </w:rPr>
        <w:t>&lt;/NumAm&gt;</w:t>
      </w:r>
    </w:p>
    <w:p w14:paraId="39AADE6F"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31</w:t>
      </w:r>
      <w:r w:rsidRPr="009F640C">
        <w:rPr>
          <w:rStyle w:val="HideTWBExt"/>
        </w:rPr>
        <w:t>&lt;/NumAm&gt;</w:t>
      </w:r>
    </w:p>
    <w:p w14:paraId="6B240ED4" w14:textId="77777777" w:rsidR="00EB3CC0" w:rsidRPr="009F640C" w:rsidRDefault="00D56625">
      <w:pPr>
        <w:pStyle w:val="NormalBold"/>
      </w:pPr>
      <w:r w:rsidRPr="009F640C">
        <w:rPr>
          <w:rStyle w:val="HideTWBExt"/>
          <w:b w:val="0"/>
        </w:rPr>
        <w:t>&lt;RepeatBlock-By&gt;&lt;By&gt;&lt;Members&gt;</w:t>
      </w:r>
      <w:r w:rsidRPr="009F640C">
        <w:t>Danilo Della Valle, Lynn Boylan, Arash Saeidi</w:t>
      </w:r>
      <w:r w:rsidRPr="009F640C">
        <w:rPr>
          <w:rStyle w:val="HideTWBExt"/>
          <w:b w:val="0"/>
        </w:rPr>
        <w:t>&lt;/Members&gt;</w:t>
      </w:r>
    </w:p>
    <w:p w14:paraId="6159D84B" w14:textId="69765E9F"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4ECBAA0F" w14:textId="77777777" w:rsidR="00EB3CC0" w:rsidRPr="009F640C" w:rsidRDefault="00D56625">
      <w:pPr>
        <w:pStyle w:val="NormalBold"/>
      </w:pPr>
      <w:r w:rsidRPr="009F640C">
        <w:rPr>
          <w:rStyle w:val="HideTWBExt"/>
          <w:b w:val="0"/>
        </w:rPr>
        <w:t>&lt;/By&gt;&lt;/RepeatBlock-By&gt;</w:t>
      </w:r>
    </w:p>
    <w:p w14:paraId="7647E21B"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041D1747"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0263001B" w14:textId="7A883815"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2B07B65F"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61EC1495"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38DE8034" w14:textId="77777777" w:rsidR="00EB3CC0" w:rsidRPr="009F640C" w:rsidRDefault="00D56625">
      <w:pPr>
        <w:pStyle w:val="NormalBold"/>
      </w:pPr>
      <w:r w:rsidRPr="009F640C">
        <w:rPr>
          <w:rStyle w:val="HideTWBExt"/>
        </w:rPr>
        <w:t>&lt;Article&gt;</w:t>
      </w:r>
      <w:r w:rsidRPr="009F640C">
        <w:t>Paragraph 45 b (new)</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6EEAB7D1" w14:textId="77777777">
        <w:trPr>
          <w:trHeight w:hRule="exact" w:val="240"/>
          <w:jc w:val="center"/>
        </w:trPr>
        <w:tc>
          <w:tcPr>
            <w:tcW w:w="9752" w:type="dxa"/>
            <w:gridSpan w:val="2"/>
            <w:tcBorders>
              <w:top w:val="nil"/>
              <w:left w:val="nil"/>
              <w:bottom w:val="nil"/>
              <w:right w:val="nil"/>
            </w:tcBorders>
          </w:tcPr>
          <w:p w14:paraId="4AE93031" w14:textId="77777777" w:rsidR="00EB3CC0" w:rsidRPr="009F640C" w:rsidRDefault="00EB3CC0"/>
        </w:tc>
      </w:tr>
      <w:tr w:rsidR="00EB3CC0" w:rsidRPr="009F640C" w14:paraId="0978FF91" w14:textId="77777777">
        <w:trPr>
          <w:trHeight w:val="240"/>
          <w:jc w:val="center"/>
        </w:trPr>
        <w:tc>
          <w:tcPr>
            <w:tcW w:w="4876" w:type="dxa"/>
            <w:tcBorders>
              <w:top w:val="nil"/>
              <w:left w:val="nil"/>
              <w:bottom w:val="nil"/>
              <w:right w:val="nil"/>
            </w:tcBorders>
          </w:tcPr>
          <w:p w14:paraId="3D9ABBF8"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7429FA6C" w14:textId="77777777" w:rsidR="00EB3CC0" w:rsidRPr="009F640C" w:rsidRDefault="00D56625">
            <w:pPr>
              <w:pStyle w:val="AmColumnHeading"/>
            </w:pPr>
            <w:r w:rsidRPr="009F640C">
              <w:t>Amendment</w:t>
            </w:r>
          </w:p>
        </w:tc>
      </w:tr>
      <w:tr w:rsidR="00EB3CC0" w:rsidRPr="009F640C" w14:paraId="0812C182" w14:textId="77777777">
        <w:trPr>
          <w:jc w:val="center"/>
        </w:trPr>
        <w:tc>
          <w:tcPr>
            <w:tcW w:w="4876" w:type="dxa"/>
            <w:tcBorders>
              <w:top w:val="nil"/>
              <w:left w:val="nil"/>
              <w:bottom w:val="nil"/>
              <w:right w:val="nil"/>
            </w:tcBorders>
          </w:tcPr>
          <w:p w14:paraId="01F11ABF" w14:textId="77777777" w:rsidR="00EB3CC0" w:rsidRPr="009F640C" w:rsidRDefault="00EB3CC0">
            <w:pPr>
              <w:pStyle w:val="Normal6a"/>
            </w:pPr>
          </w:p>
        </w:tc>
        <w:tc>
          <w:tcPr>
            <w:tcW w:w="4876" w:type="dxa"/>
            <w:tcBorders>
              <w:top w:val="nil"/>
              <w:left w:val="nil"/>
              <w:bottom w:val="nil"/>
              <w:right w:val="nil"/>
            </w:tcBorders>
          </w:tcPr>
          <w:p w14:paraId="199BC64A" w14:textId="3F23CDF8" w:rsidR="00EB3CC0" w:rsidRPr="009F640C" w:rsidRDefault="00D56625">
            <w:pPr>
              <w:pStyle w:val="Normal6a"/>
            </w:pPr>
            <w:r w:rsidRPr="009F640C">
              <w:rPr>
                <w:b/>
                <w:i/>
              </w:rPr>
              <w:t>45b.</w:t>
            </w:r>
            <w:r w:rsidRPr="009F640C">
              <w:tab/>
            </w:r>
            <w:r w:rsidRPr="009F640C">
              <w:rPr>
                <w:b/>
                <w:i/>
              </w:rPr>
              <w:t xml:space="preserve">Denounces the inconsistency of certain Member States, notably Italy, which withdrew from the Energy Charter Treaty to escape investor-state dispute settlement (ISDS) constraints on public policy; emphasises that the Investment Court System replicates the core features of ISDS by enabling investors to challenge public-interest regulation before an international tribunal; calls on the Commission and </w:t>
            </w:r>
            <w:r w:rsidR="0080503D" w:rsidRPr="009F640C">
              <w:rPr>
                <w:b/>
                <w:i/>
              </w:rPr>
              <w:t xml:space="preserve">the </w:t>
            </w:r>
            <w:r w:rsidRPr="009F640C">
              <w:rPr>
                <w:b/>
                <w:i/>
              </w:rPr>
              <w:t xml:space="preserve">Member States to ensure </w:t>
            </w:r>
            <w:r w:rsidR="00EA6049" w:rsidRPr="009F640C">
              <w:rPr>
                <w:b/>
                <w:i/>
              </w:rPr>
              <w:t>consistency</w:t>
            </w:r>
            <w:r w:rsidRPr="009F640C">
              <w:rPr>
                <w:b/>
                <w:i/>
              </w:rPr>
              <w:t xml:space="preserve"> with the E</w:t>
            </w:r>
            <w:r w:rsidR="0080503D" w:rsidRPr="009F640C">
              <w:rPr>
                <w:b/>
                <w:i/>
              </w:rPr>
              <w:t xml:space="preserve">nergy </w:t>
            </w:r>
            <w:r w:rsidRPr="009F640C">
              <w:rPr>
                <w:b/>
                <w:i/>
              </w:rPr>
              <w:t>C</w:t>
            </w:r>
            <w:r w:rsidR="0080503D" w:rsidRPr="009F640C">
              <w:rPr>
                <w:b/>
                <w:i/>
              </w:rPr>
              <w:t xml:space="preserve">harter </w:t>
            </w:r>
            <w:r w:rsidRPr="009F640C">
              <w:rPr>
                <w:b/>
                <w:i/>
              </w:rPr>
              <w:t>T</w:t>
            </w:r>
            <w:r w:rsidR="0080503D" w:rsidRPr="009F640C">
              <w:rPr>
                <w:b/>
                <w:i/>
              </w:rPr>
              <w:t>reaty</w:t>
            </w:r>
            <w:r w:rsidRPr="009F640C">
              <w:rPr>
                <w:b/>
                <w:i/>
              </w:rPr>
              <w:t xml:space="preserve"> withdrawal and to safeguard the right to regulate in the public interest;</w:t>
            </w:r>
          </w:p>
        </w:tc>
      </w:tr>
    </w:tbl>
    <w:p w14:paraId="52963A51"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68482810"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3335EA92"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32</w:t>
      </w:r>
      <w:r w:rsidRPr="009F640C">
        <w:rPr>
          <w:rStyle w:val="HideTWBExt"/>
        </w:rPr>
        <w:t>&lt;/NumAm&gt;</w:t>
      </w:r>
    </w:p>
    <w:p w14:paraId="3674A713"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32</w:t>
      </w:r>
      <w:r w:rsidRPr="009F640C">
        <w:rPr>
          <w:rStyle w:val="HideTWBExt"/>
        </w:rPr>
        <w:t>&lt;/NumAm&gt;</w:t>
      </w:r>
    </w:p>
    <w:p w14:paraId="343A5B0C"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Arash Saeidi, Rima Hassan, Damien Carême, Emma Fourreau, Irene Montero, Rudi Kennes</w:t>
      </w:r>
      <w:r w:rsidRPr="009F640C">
        <w:rPr>
          <w:rStyle w:val="HideTWBExt"/>
          <w:b w:val="0"/>
        </w:rPr>
        <w:t>&lt;/Members&gt;</w:t>
      </w:r>
    </w:p>
    <w:p w14:paraId="3DC3985A" w14:textId="5BA16AF3"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13B888FE" w14:textId="77777777" w:rsidR="00EB3CC0" w:rsidRPr="009F640C" w:rsidRDefault="00D56625">
      <w:pPr>
        <w:pStyle w:val="NormalBold"/>
      </w:pPr>
      <w:r w:rsidRPr="009F640C">
        <w:rPr>
          <w:rStyle w:val="HideTWBExt"/>
          <w:b w:val="0"/>
        </w:rPr>
        <w:t>&lt;/By&gt;&lt;/RepeatBlock-By&gt;</w:t>
      </w:r>
    </w:p>
    <w:p w14:paraId="296C3903"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6B129F4F"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5AFEDD45" w14:textId="7EE1FB89"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7E7B8A3C"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64732EC2"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31D5B832" w14:textId="77777777" w:rsidR="00EB3CC0" w:rsidRPr="009F640C" w:rsidRDefault="00D56625">
      <w:pPr>
        <w:pStyle w:val="NormalBold"/>
      </w:pPr>
      <w:r w:rsidRPr="009F640C">
        <w:rPr>
          <w:rStyle w:val="HideTWBExt"/>
        </w:rPr>
        <w:t>&lt;Article&gt;</w:t>
      </w:r>
      <w:r w:rsidRPr="009F640C">
        <w:t>Paragraph 48</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2726938C" w14:textId="77777777">
        <w:trPr>
          <w:trHeight w:hRule="exact" w:val="240"/>
          <w:jc w:val="center"/>
        </w:trPr>
        <w:tc>
          <w:tcPr>
            <w:tcW w:w="9752" w:type="dxa"/>
            <w:gridSpan w:val="2"/>
            <w:tcBorders>
              <w:top w:val="nil"/>
              <w:left w:val="nil"/>
              <w:bottom w:val="nil"/>
              <w:right w:val="nil"/>
            </w:tcBorders>
          </w:tcPr>
          <w:p w14:paraId="6F082955" w14:textId="77777777" w:rsidR="00EB3CC0" w:rsidRPr="009F640C" w:rsidRDefault="00EB3CC0"/>
        </w:tc>
      </w:tr>
      <w:tr w:rsidR="00EB3CC0" w:rsidRPr="009F640C" w14:paraId="4A4F7090" w14:textId="77777777">
        <w:trPr>
          <w:trHeight w:val="240"/>
          <w:jc w:val="center"/>
        </w:trPr>
        <w:tc>
          <w:tcPr>
            <w:tcW w:w="4876" w:type="dxa"/>
            <w:tcBorders>
              <w:top w:val="nil"/>
              <w:left w:val="nil"/>
              <w:bottom w:val="nil"/>
              <w:right w:val="nil"/>
            </w:tcBorders>
          </w:tcPr>
          <w:p w14:paraId="0DF72A78"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5E24F171" w14:textId="77777777" w:rsidR="00EB3CC0" w:rsidRPr="009F640C" w:rsidRDefault="00D56625">
            <w:pPr>
              <w:pStyle w:val="AmColumnHeading"/>
            </w:pPr>
            <w:r w:rsidRPr="009F640C">
              <w:t>Amendment</w:t>
            </w:r>
          </w:p>
        </w:tc>
      </w:tr>
      <w:tr w:rsidR="00EB3CC0" w:rsidRPr="009F640C" w14:paraId="55DF913D" w14:textId="77777777">
        <w:trPr>
          <w:jc w:val="center"/>
        </w:trPr>
        <w:tc>
          <w:tcPr>
            <w:tcW w:w="4876" w:type="dxa"/>
            <w:tcBorders>
              <w:top w:val="nil"/>
              <w:left w:val="nil"/>
              <w:bottom w:val="nil"/>
              <w:right w:val="nil"/>
            </w:tcBorders>
          </w:tcPr>
          <w:p w14:paraId="649E2F75" w14:textId="77777777" w:rsidR="00EB3CC0" w:rsidRPr="009F640C" w:rsidRDefault="00D56625">
            <w:pPr>
              <w:pStyle w:val="Normal6a"/>
            </w:pPr>
            <w:r w:rsidRPr="009F640C">
              <w:t>48.</w:t>
            </w:r>
            <w:r w:rsidRPr="009F640C">
              <w:tab/>
              <w:t xml:space="preserve">Acknowledges the fact that both parties continue to face, at various levels, challenges related to corruption and governance; welcomes and encourages further efforts to strengthen democratic institutions, the rule of law and institutional transparency; commends the inclusion, for the first time in an EU trade agreement, of a dedicated protocol on the prevention of and fight against corruption and the creation of a dedicated </w:t>
            </w:r>
            <w:proofErr w:type="spellStart"/>
            <w:r w:rsidRPr="009F640C">
              <w:t>sub-committee</w:t>
            </w:r>
            <w:proofErr w:type="spellEnd"/>
            <w:r w:rsidRPr="009F640C">
              <w:t xml:space="preserve"> on anti-corruption on trade and investment; recalls the importance of the meaningful and active participation of civil society actors in the fight against corruption, and calls on the parties to ensure their involvement in the protocol and in the dedicated </w:t>
            </w:r>
            <w:proofErr w:type="spellStart"/>
            <w:r w:rsidRPr="009F640C">
              <w:t>sub-committee</w:t>
            </w:r>
            <w:proofErr w:type="spellEnd"/>
            <w:r w:rsidRPr="009F640C">
              <w:t xml:space="preserve"> on anti-corruption on trade and investment established by it; calls on the parties to swiftly bring the anti-corruption protocol and the </w:t>
            </w:r>
            <w:proofErr w:type="spellStart"/>
            <w:r w:rsidRPr="009F640C">
              <w:t>sub-committee</w:t>
            </w:r>
            <w:proofErr w:type="spellEnd"/>
            <w:r w:rsidRPr="009F640C">
              <w:t xml:space="preserve"> into operation and to strengthen the protocol; acknowledges the fact that the Agreement contains firm commitments to fighting organised crime and money-laundering; highlights the importance of maintaining strong accountability and oversight mechanisms to mitigate potential risks of corruption; underlines the importance of continued </w:t>
            </w:r>
            <w:r w:rsidRPr="009F640C">
              <w:lastRenderedPageBreak/>
              <w:t>efforts to uphold the rule of law, promote and protect human rights and strengthen democratic institutions in Mexico; emphasises that sustained progress in these areas is crucial for strengthening EU-Mexico relations;</w:t>
            </w:r>
          </w:p>
        </w:tc>
        <w:tc>
          <w:tcPr>
            <w:tcW w:w="4876" w:type="dxa"/>
            <w:tcBorders>
              <w:top w:val="nil"/>
              <w:left w:val="nil"/>
              <w:bottom w:val="nil"/>
              <w:right w:val="nil"/>
            </w:tcBorders>
          </w:tcPr>
          <w:p w14:paraId="238F91F8" w14:textId="66CE1D59" w:rsidR="00EB3CC0" w:rsidRPr="009F640C" w:rsidRDefault="00D56625">
            <w:pPr>
              <w:pStyle w:val="Normal6a"/>
            </w:pPr>
            <w:r w:rsidRPr="009F640C">
              <w:lastRenderedPageBreak/>
              <w:t>48.</w:t>
            </w:r>
            <w:r w:rsidRPr="009F640C">
              <w:tab/>
              <w:t xml:space="preserve">Acknowledges the fact that both parties continue to face, at various levels, challenges related to corruption and governance; welcomes and encourages further efforts to strengthen democratic institutions, the rule of law and institutional transparency; commends the inclusion, for the first time in an EU trade agreement, of a dedicated protocol on the prevention of and fight against corruption and the creation of a dedicated </w:t>
            </w:r>
            <w:proofErr w:type="spellStart"/>
            <w:r w:rsidRPr="009F640C">
              <w:t>sub-committee</w:t>
            </w:r>
            <w:proofErr w:type="spellEnd"/>
            <w:r w:rsidRPr="009F640C">
              <w:t xml:space="preserve"> on anti-corruption on trade and investment; recalls the importance of the meaningful and active participation of civil society actors in the fight against corruption, and calls on the parties to ensure their involvement in the protocol and in the dedicated </w:t>
            </w:r>
            <w:proofErr w:type="spellStart"/>
            <w:r w:rsidRPr="009F640C">
              <w:t>sub-committee</w:t>
            </w:r>
            <w:proofErr w:type="spellEnd"/>
            <w:r w:rsidRPr="009F640C">
              <w:t xml:space="preserve"> on anti-corruption on trade and investment established by it; calls on the parties to swiftly bring the anti-corruption protocol and the </w:t>
            </w:r>
            <w:proofErr w:type="spellStart"/>
            <w:r w:rsidRPr="009F640C">
              <w:t>sub-committee</w:t>
            </w:r>
            <w:proofErr w:type="spellEnd"/>
            <w:r w:rsidRPr="009F640C">
              <w:t xml:space="preserve"> into operation and to strengthen the protocol; acknowledges the fact that the Agreement contains firm commitments to fighting organised crime and money-laundering; highlights the importance of maintaining strong accountability and oversight mechanisms to mitigate potential risks of corruption; underlines the importance of continued </w:t>
            </w:r>
            <w:r w:rsidRPr="009F640C">
              <w:lastRenderedPageBreak/>
              <w:t xml:space="preserve">efforts to uphold the rule of law, promote and protect human rights and strengthen democratic institutions in Mexico; emphasises that sustained progress in these areas is crucial for strengthening EU-Mexico relations; </w:t>
            </w:r>
            <w:r w:rsidRPr="009F640C">
              <w:rPr>
                <w:b/>
                <w:i/>
              </w:rPr>
              <w:t xml:space="preserve">stresses, however, the need for stronger corporate accountability mechanisms, given </w:t>
            </w:r>
            <w:r w:rsidR="0080503D" w:rsidRPr="009F640C">
              <w:rPr>
                <w:b/>
                <w:i/>
              </w:rPr>
              <w:t xml:space="preserve">the </w:t>
            </w:r>
            <w:r w:rsidRPr="009F640C">
              <w:rPr>
                <w:b/>
                <w:i/>
              </w:rPr>
              <w:t>documented cases of human rights and environmental violations by multinational companies operating in Mexico;</w:t>
            </w:r>
          </w:p>
        </w:tc>
      </w:tr>
    </w:tbl>
    <w:p w14:paraId="7CD3A933" w14:textId="77777777" w:rsidR="00EB3CC0" w:rsidRPr="009F640C" w:rsidRDefault="00D56625">
      <w:pPr>
        <w:pStyle w:val="AmOrLang"/>
      </w:pPr>
      <w:r w:rsidRPr="009F640C">
        <w:lastRenderedPageBreak/>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5F0EF3C6"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5BAAE2A5"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33</w:t>
      </w:r>
      <w:r w:rsidRPr="009F640C">
        <w:rPr>
          <w:rStyle w:val="HideTWBExt"/>
        </w:rPr>
        <w:t>&lt;/NumAm&gt;</w:t>
      </w:r>
    </w:p>
    <w:p w14:paraId="45C5CD7A"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33</w:t>
      </w:r>
      <w:r w:rsidRPr="009F640C">
        <w:rPr>
          <w:rStyle w:val="HideTWBExt"/>
        </w:rPr>
        <w:t>&lt;/NumAm&gt;</w:t>
      </w:r>
    </w:p>
    <w:p w14:paraId="50688C9F"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Leila Chaibi, Arash Saeidi, Rima Hassan, Damien Carême, Emma Fourreau, Irene Montero, Rudi Kennes</w:t>
      </w:r>
      <w:r w:rsidRPr="009F640C">
        <w:rPr>
          <w:rStyle w:val="HideTWBExt"/>
          <w:b w:val="0"/>
        </w:rPr>
        <w:t>&lt;/Members&gt;</w:t>
      </w:r>
    </w:p>
    <w:p w14:paraId="55E79EA8" w14:textId="5A90CD88"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31BE6647" w14:textId="77777777" w:rsidR="00EB3CC0" w:rsidRPr="009F640C" w:rsidRDefault="00D56625">
      <w:pPr>
        <w:pStyle w:val="NormalBold"/>
      </w:pPr>
      <w:r w:rsidRPr="009F640C">
        <w:rPr>
          <w:rStyle w:val="HideTWBExt"/>
          <w:b w:val="0"/>
        </w:rPr>
        <w:t>&lt;/By&gt;&lt;/RepeatBlock-By&gt;</w:t>
      </w:r>
    </w:p>
    <w:p w14:paraId="70668410"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44769375"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21850230" w14:textId="01AFCFB4"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06B1C129"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6C4BED93"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37E61CA2" w14:textId="77777777" w:rsidR="00EB3CC0" w:rsidRPr="009F640C" w:rsidRDefault="00D56625">
      <w:pPr>
        <w:pStyle w:val="NormalBold"/>
      </w:pPr>
      <w:r w:rsidRPr="009F640C">
        <w:rPr>
          <w:rStyle w:val="HideTWBExt"/>
        </w:rPr>
        <w:t>&lt;Article&gt;</w:t>
      </w:r>
      <w:r w:rsidRPr="009F640C">
        <w:t>Paragraph 49</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25AD691C" w14:textId="77777777">
        <w:trPr>
          <w:trHeight w:hRule="exact" w:val="240"/>
          <w:jc w:val="center"/>
        </w:trPr>
        <w:tc>
          <w:tcPr>
            <w:tcW w:w="9752" w:type="dxa"/>
            <w:gridSpan w:val="2"/>
            <w:tcBorders>
              <w:top w:val="nil"/>
              <w:left w:val="nil"/>
              <w:bottom w:val="nil"/>
              <w:right w:val="nil"/>
            </w:tcBorders>
          </w:tcPr>
          <w:p w14:paraId="11E552FD" w14:textId="77777777" w:rsidR="00EB3CC0" w:rsidRPr="009F640C" w:rsidRDefault="00EB3CC0"/>
        </w:tc>
      </w:tr>
      <w:tr w:rsidR="00EB3CC0" w:rsidRPr="009F640C" w14:paraId="31C9CD33" w14:textId="77777777">
        <w:trPr>
          <w:trHeight w:val="240"/>
          <w:jc w:val="center"/>
        </w:trPr>
        <w:tc>
          <w:tcPr>
            <w:tcW w:w="4876" w:type="dxa"/>
            <w:tcBorders>
              <w:top w:val="nil"/>
              <w:left w:val="nil"/>
              <w:bottom w:val="nil"/>
              <w:right w:val="nil"/>
            </w:tcBorders>
          </w:tcPr>
          <w:p w14:paraId="08A62FAA"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6A7F5416" w14:textId="77777777" w:rsidR="00EB3CC0" w:rsidRPr="009F640C" w:rsidRDefault="00D56625">
            <w:pPr>
              <w:pStyle w:val="AmColumnHeading"/>
            </w:pPr>
            <w:r w:rsidRPr="009F640C">
              <w:t>Amendment</w:t>
            </w:r>
          </w:p>
        </w:tc>
      </w:tr>
      <w:tr w:rsidR="00EB3CC0" w:rsidRPr="009F640C" w14:paraId="670ED477" w14:textId="77777777">
        <w:trPr>
          <w:jc w:val="center"/>
        </w:trPr>
        <w:tc>
          <w:tcPr>
            <w:tcW w:w="4876" w:type="dxa"/>
            <w:tcBorders>
              <w:top w:val="nil"/>
              <w:left w:val="nil"/>
              <w:bottom w:val="nil"/>
              <w:right w:val="nil"/>
            </w:tcBorders>
          </w:tcPr>
          <w:p w14:paraId="25D1E503" w14:textId="55326A93" w:rsidR="00EB3CC0" w:rsidRPr="009F640C" w:rsidRDefault="00D56625">
            <w:pPr>
              <w:pStyle w:val="Normal6a"/>
            </w:pPr>
            <w:r w:rsidRPr="009F640C">
              <w:t>49.</w:t>
            </w:r>
            <w:r w:rsidRPr="009F640C">
              <w:tab/>
              <w:t xml:space="preserve">Commends the inclusion of a dedicated chapter on trade and sustainable development (TSD) </w:t>
            </w:r>
            <w:r w:rsidRPr="009F640C">
              <w:rPr>
                <w:b/>
                <w:i/>
              </w:rPr>
              <w:t>containing ambitious and legally binding commitments and dispute settlements</w:t>
            </w:r>
            <w:r w:rsidRPr="009F640C">
              <w:t xml:space="preserve"> mechanisms </w:t>
            </w:r>
            <w:r w:rsidRPr="009F640C">
              <w:rPr>
                <w:b/>
                <w:i/>
              </w:rPr>
              <w:t>to protect the environment and uphold workers</w:t>
            </w:r>
            <w:r w:rsidR="009F640C">
              <w:rPr>
                <w:b/>
                <w:i/>
              </w:rPr>
              <w:t>’</w:t>
            </w:r>
            <w:r w:rsidRPr="009F640C">
              <w:rPr>
                <w:b/>
                <w:i/>
              </w:rPr>
              <w:t xml:space="preserve"> rights, including by effectively implementing the relevant international conventions, such as International</w:t>
            </w:r>
            <w:r w:rsidRPr="009F640C">
              <w:t xml:space="preserve"> Labour </w:t>
            </w:r>
            <w:r w:rsidRPr="009F640C">
              <w:rPr>
                <w:b/>
                <w:i/>
              </w:rPr>
              <w:t>Organization</w:t>
            </w:r>
            <w:r w:rsidR="009F640C">
              <w:rPr>
                <w:b/>
                <w:i/>
              </w:rPr>
              <w:t>’</w:t>
            </w:r>
            <w:r w:rsidRPr="009F640C">
              <w:rPr>
                <w:b/>
                <w:i/>
              </w:rPr>
              <w:t>s core labour standards; notes, in particular, the strengthened framework for labour rights, non-discrimination and gender equality; welcomes the joint declaration on trade and gender equality; stresses that these</w:t>
            </w:r>
            <w:r w:rsidRPr="009F640C">
              <w:t xml:space="preserve"> commitments </w:t>
            </w:r>
            <w:r w:rsidRPr="009F640C">
              <w:rPr>
                <w:b/>
                <w:i/>
              </w:rPr>
              <w:t>should be pursued consistently as part of economic growth and competitiveness</w:t>
            </w:r>
            <w:r w:rsidRPr="009F640C">
              <w:t xml:space="preserve">; notes that these commitments are </w:t>
            </w:r>
            <w:r w:rsidRPr="009F640C">
              <w:rPr>
                <w:b/>
                <w:i/>
              </w:rPr>
              <w:t>enforceable via dispute settlement procedures</w:t>
            </w:r>
            <w:r w:rsidRPr="009F640C">
              <w:t xml:space="preserve"> by independent panels of experts;</w:t>
            </w:r>
          </w:p>
        </w:tc>
        <w:tc>
          <w:tcPr>
            <w:tcW w:w="4876" w:type="dxa"/>
            <w:tcBorders>
              <w:top w:val="nil"/>
              <w:left w:val="nil"/>
              <w:bottom w:val="nil"/>
              <w:right w:val="nil"/>
            </w:tcBorders>
          </w:tcPr>
          <w:p w14:paraId="004B6282" w14:textId="56C2B5E9" w:rsidR="00EB3CC0" w:rsidRPr="009F640C" w:rsidRDefault="00D56625">
            <w:pPr>
              <w:pStyle w:val="Normal6a"/>
            </w:pPr>
            <w:r w:rsidRPr="009F640C">
              <w:t>49.</w:t>
            </w:r>
            <w:r w:rsidRPr="009F640C">
              <w:tab/>
              <w:t>Commends the inclusion of a dedicated chapter on trade and sustainable development (TSD)</w:t>
            </w:r>
            <w:r w:rsidRPr="009F640C">
              <w:rPr>
                <w:b/>
                <w:i/>
              </w:rPr>
              <w:t>; regrets, however, that these provisions lack effective enforcement</w:t>
            </w:r>
            <w:r w:rsidRPr="009F640C">
              <w:t xml:space="preserve"> mechanisms </w:t>
            </w:r>
            <w:r w:rsidRPr="009F640C">
              <w:rPr>
                <w:b/>
                <w:i/>
              </w:rPr>
              <w:t xml:space="preserve">and sanctions and therefore fall short of the </w:t>
            </w:r>
            <w:r w:rsidR="0080503D" w:rsidRPr="009F640C">
              <w:rPr>
                <w:b/>
                <w:i/>
              </w:rPr>
              <w:t>E</w:t>
            </w:r>
            <w:r w:rsidRPr="009F640C">
              <w:rPr>
                <w:b/>
                <w:i/>
              </w:rPr>
              <w:t>U</w:t>
            </w:r>
            <w:r w:rsidR="009F640C">
              <w:rPr>
                <w:b/>
                <w:i/>
              </w:rPr>
              <w:t>’</w:t>
            </w:r>
            <w:r w:rsidRPr="009F640C">
              <w:rPr>
                <w:b/>
                <w:i/>
              </w:rPr>
              <w:t>s updated TSD approach; calls for the inclusion of sanctions for non-compliance with</w:t>
            </w:r>
            <w:r w:rsidRPr="009F640C">
              <w:t xml:space="preserve"> labour</w:t>
            </w:r>
            <w:r w:rsidRPr="009F640C">
              <w:rPr>
                <w:b/>
                <w:i/>
              </w:rPr>
              <w:t>, environmental and climate</w:t>
            </w:r>
            <w:r w:rsidRPr="009F640C">
              <w:t xml:space="preserve"> commitments</w:t>
            </w:r>
            <w:r w:rsidRPr="009F640C">
              <w:rPr>
                <w:b/>
                <w:i/>
              </w:rPr>
              <w:t>, and for the Paris Agreement to be recognised as an essential element of the Agreement</w:t>
            </w:r>
            <w:r w:rsidRPr="009F640C">
              <w:t>; notes that</w:t>
            </w:r>
            <w:r w:rsidRPr="009F640C">
              <w:rPr>
                <w:b/>
                <w:i/>
              </w:rPr>
              <w:t xml:space="preserve">, in </w:t>
            </w:r>
            <w:r w:rsidR="0080503D" w:rsidRPr="009F640C">
              <w:rPr>
                <w:b/>
                <w:i/>
              </w:rPr>
              <w:t>the event</w:t>
            </w:r>
            <w:r w:rsidRPr="009F640C">
              <w:rPr>
                <w:b/>
                <w:i/>
              </w:rPr>
              <w:t xml:space="preserve"> of violations,</w:t>
            </w:r>
            <w:r w:rsidRPr="009F640C">
              <w:t xml:space="preserve"> these commitments are </w:t>
            </w:r>
            <w:r w:rsidRPr="009F640C">
              <w:rPr>
                <w:b/>
                <w:i/>
              </w:rPr>
              <w:t>only subject to recommendations</w:t>
            </w:r>
            <w:r w:rsidRPr="009F640C">
              <w:t xml:space="preserve"> by independent panels of experts; </w:t>
            </w:r>
            <w:r w:rsidRPr="009F640C">
              <w:rPr>
                <w:b/>
                <w:i/>
              </w:rPr>
              <w:t xml:space="preserve">believes the commitments made in the </w:t>
            </w:r>
            <w:r w:rsidR="0080503D" w:rsidRPr="009F640C">
              <w:rPr>
                <w:b/>
                <w:i/>
              </w:rPr>
              <w:t>TSD</w:t>
            </w:r>
            <w:r w:rsidRPr="009F640C">
              <w:rPr>
                <w:b/>
                <w:i/>
              </w:rPr>
              <w:t xml:space="preserve"> chapter are not sufficient to balance the social and environmental risks posed by the proposed agreed trade liberali</w:t>
            </w:r>
            <w:r w:rsidR="0080503D" w:rsidRPr="009F640C">
              <w:rPr>
                <w:b/>
                <w:i/>
              </w:rPr>
              <w:t>s</w:t>
            </w:r>
            <w:r w:rsidRPr="009F640C">
              <w:rPr>
                <w:b/>
                <w:i/>
              </w:rPr>
              <w:t>ation;</w:t>
            </w:r>
          </w:p>
        </w:tc>
      </w:tr>
    </w:tbl>
    <w:p w14:paraId="3EF9BEC3"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0E18056D"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4A94DE1F"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34</w:t>
      </w:r>
      <w:r w:rsidRPr="009F640C">
        <w:rPr>
          <w:rStyle w:val="HideTWBExt"/>
        </w:rPr>
        <w:t>&lt;/NumAm&gt;</w:t>
      </w:r>
    </w:p>
    <w:p w14:paraId="4C1A1597"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34</w:t>
      </w:r>
      <w:r w:rsidRPr="009F640C">
        <w:rPr>
          <w:rStyle w:val="HideTWBExt"/>
        </w:rPr>
        <w:t>&lt;/NumAm&gt;</w:t>
      </w:r>
    </w:p>
    <w:p w14:paraId="1FBB22E4"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Leila Chaibi, Arash Saeidi, Rima Hassan, Damien Carême, Emma Fourreau, Irene Montero, Rudi Kennes</w:t>
      </w:r>
      <w:r w:rsidRPr="009F640C">
        <w:rPr>
          <w:rStyle w:val="HideTWBExt"/>
          <w:b w:val="0"/>
        </w:rPr>
        <w:t>&lt;/Members&gt;</w:t>
      </w:r>
    </w:p>
    <w:p w14:paraId="693640EB" w14:textId="485A7B7A"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61656B22" w14:textId="77777777" w:rsidR="00EB3CC0" w:rsidRPr="009F640C" w:rsidRDefault="00D56625">
      <w:pPr>
        <w:pStyle w:val="NormalBold"/>
      </w:pPr>
      <w:r w:rsidRPr="009F640C">
        <w:rPr>
          <w:rStyle w:val="HideTWBExt"/>
          <w:b w:val="0"/>
        </w:rPr>
        <w:t>&lt;/By&gt;&lt;/RepeatBlock-By&gt;</w:t>
      </w:r>
    </w:p>
    <w:p w14:paraId="0ACBE98C"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1403CFCA"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514067D0" w14:textId="1ECDC538"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2EDB6B75"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32B639A0"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13CD8BF7" w14:textId="77777777" w:rsidR="00EB3CC0" w:rsidRPr="009F640C" w:rsidRDefault="00D56625">
      <w:pPr>
        <w:pStyle w:val="NormalBold"/>
      </w:pPr>
      <w:r w:rsidRPr="009F640C">
        <w:rPr>
          <w:rStyle w:val="HideTWBExt"/>
        </w:rPr>
        <w:t>&lt;Article&gt;</w:t>
      </w:r>
      <w:r w:rsidRPr="009F640C">
        <w:t>Paragraph 50</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5E9CFD6F" w14:textId="77777777">
        <w:trPr>
          <w:trHeight w:hRule="exact" w:val="240"/>
          <w:jc w:val="center"/>
        </w:trPr>
        <w:tc>
          <w:tcPr>
            <w:tcW w:w="9752" w:type="dxa"/>
            <w:gridSpan w:val="2"/>
            <w:tcBorders>
              <w:top w:val="nil"/>
              <w:left w:val="nil"/>
              <w:bottom w:val="nil"/>
              <w:right w:val="nil"/>
            </w:tcBorders>
          </w:tcPr>
          <w:p w14:paraId="4F7F383B" w14:textId="77777777" w:rsidR="00EB3CC0" w:rsidRPr="009F640C" w:rsidRDefault="00EB3CC0"/>
        </w:tc>
      </w:tr>
      <w:tr w:rsidR="00EB3CC0" w:rsidRPr="009F640C" w14:paraId="421599EE" w14:textId="77777777">
        <w:trPr>
          <w:trHeight w:val="240"/>
          <w:jc w:val="center"/>
        </w:trPr>
        <w:tc>
          <w:tcPr>
            <w:tcW w:w="4876" w:type="dxa"/>
            <w:tcBorders>
              <w:top w:val="nil"/>
              <w:left w:val="nil"/>
              <w:bottom w:val="nil"/>
              <w:right w:val="nil"/>
            </w:tcBorders>
          </w:tcPr>
          <w:p w14:paraId="47B36889"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48BE281C" w14:textId="77777777" w:rsidR="00EB3CC0" w:rsidRPr="009F640C" w:rsidRDefault="00D56625">
            <w:pPr>
              <w:pStyle w:val="AmColumnHeading"/>
            </w:pPr>
            <w:r w:rsidRPr="009F640C">
              <w:t>Amendment</w:t>
            </w:r>
          </w:p>
        </w:tc>
      </w:tr>
      <w:tr w:rsidR="00EB3CC0" w:rsidRPr="009F640C" w14:paraId="234137AE" w14:textId="77777777">
        <w:trPr>
          <w:jc w:val="center"/>
        </w:trPr>
        <w:tc>
          <w:tcPr>
            <w:tcW w:w="4876" w:type="dxa"/>
            <w:tcBorders>
              <w:top w:val="nil"/>
              <w:left w:val="nil"/>
              <w:bottom w:val="nil"/>
              <w:right w:val="nil"/>
            </w:tcBorders>
          </w:tcPr>
          <w:p w14:paraId="51BF1E8B" w14:textId="77777777" w:rsidR="00EB3CC0" w:rsidRPr="009F640C" w:rsidRDefault="00D56625">
            <w:pPr>
              <w:pStyle w:val="Normal6a"/>
            </w:pPr>
            <w:r w:rsidRPr="009F640C">
              <w:t>50.</w:t>
            </w:r>
            <w:r w:rsidRPr="009F640C">
              <w:tab/>
            </w:r>
            <w:r w:rsidRPr="009F640C">
              <w:rPr>
                <w:b/>
                <w:i/>
              </w:rPr>
              <w:t>Welcomes the role of</w:t>
            </w:r>
            <w:r w:rsidRPr="009F640C">
              <w:t xml:space="preserve"> the Agreement </w:t>
            </w:r>
            <w:r w:rsidRPr="009F640C">
              <w:rPr>
                <w:b/>
                <w:i/>
              </w:rPr>
              <w:t>in driving the</w:t>
            </w:r>
            <w:r w:rsidRPr="009F640C">
              <w:t xml:space="preserve"> commitment </w:t>
            </w:r>
            <w:r w:rsidRPr="009F640C">
              <w:rPr>
                <w:b/>
                <w:i/>
              </w:rPr>
              <w:t>of both parties</w:t>
            </w:r>
            <w:r w:rsidRPr="009F640C">
              <w:t xml:space="preserve"> to effectively implement the Paris Agreement on Climate Change, the Convention on Biological Diversity and all international environmental agreements that the EU or Mexico have respectively ratified;</w:t>
            </w:r>
          </w:p>
        </w:tc>
        <w:tc>
          <w:tcPr>
            <w:tcW w:w="4876" w:type="dxa"/>
            <w:tcBorders>
              <w:top w:val="nil"/>
              <w:left w:val="nil"/>
              <w:bottom w:val="nil"/>
              <w:right w:val="nil"/>
            </w:tcBorders>
          </w:tcPr>
          <w:p w14:paraId="2C03A798" w14:textId="77667E13" w:rsidR="00EB3CC0" w:rsidRPr="009F640C" w:rsidRDefault="00D56625">
            <w:pPr>
              <w:pStyle w:val="Normal6a"/>
            </w:pPr>
            <w:r w:rsidRPr="009F640C">
              <w:t>50.</w:t>
            </w:r>
            <w:r w:rsidRPr="009F640C">
              <w:tab/>
            </w:r>
            <w:r w:rsidRPr="009F640C">
              <w:rPr>
                <w:b/>
                <w:i/>
              </w:rPr>
              <w:t>Regrets</w:t>
            </w:r>
            <w:r w:rsidR="0080503D" w:rsidRPr="009F640C">
              <w:rPr>
                <w:b/>
                <w:i/>
              </w:rPr>
              <w:t xml:space="preserve"> that</w:t>
            </w:r>
            <w:r w:rsidRPr="009F640C">
              <w:t xml:space="preserve"> the Agreement </w:t>
            </w:r>
            <w:r w:rsidRPr="009F640C">
              <w:rPr>
                <w:b/>
                <w:i/>
              </w:rPr>
              <w:t xml:space="preserve">does not include </w:t>
            </w:r>
            <w:r w:rsidR="0080503D" w:rsidRPr="009F640C">
              <w:rPr>
                <w:b/>
                <w:i/>
              </w:rPr>
              <w:t xml:space="preserve">an </w:t>
            </w:r>
            <w:r w:rsidRPr="009F640C">
              <w:rPr>
                <w:b/>
                <w:i/>
              </w:rPr>
              <w:t>enforceable</w:t>
            </w:r>
            <w:r w:rsidRPr="009F640C">
              <w:t xml:space="preserve"> commitment to effectively implement the Paris Agreement on Climate Change, the Convention on Biological Diversity and all international environmental agreements that the EU or Mexico have respectively ratified;</w:t>
            </w:r>
          </w:p>
        </w:tc>
      </w:tr>
    </w:tbl>
    <w:p w14:paraId="1801D04D"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18A0D565" w14:textId="77777777" w:rsidR="00EB3CC0" w:rsidRPr="009F640C" w:rsidRDefault="00D56625">
      <w:pPr>
        <w:sectPr w:rsidR="00EB3CC0" w:rsidRPr="009F640C">
          <w:pgSz w:w="11909" w:h="16834"/>
          <w:pgMar w:top="1134" w:right="1417" w:bottom="1417" w:left="1417" w:header="1134" w:footer="567" w:gutter="0"/>
          <w:cols w:space="720"/>
        </w:sectPr>
      </w:pPr>
      <w:r w:rsidRPr="009F640C">
        <w:rPr>
          <w:rStyle w:val="HideTWBExt"/>
        </w:rPr>
        <w:t>&lt;/Amend&gt;</w:t>
      </w:r>
    </w:p>
    <w:p w14:paraId="6D2738BD" w14:textId="77777777" w:rsidR="00EB3CC0" w:rsidRPr="009F640C" w:rsidRDefault="00D56625">
      <w:pPr>
        <w:pStyle w:val="AmDateTab"/>
      </w:pPr>
      <w:r w:rsidRPr="009F640C">
        <w:rPr>
          <w:rStyle w:val="HideTWBExt"/>
        </w:rPr>
        <w:lastRenderedPageBreak/>
        <w:t>&lt;Amend&gt;&lt;Date&gt;</w:t>
      </w:r>
      <w:r w:rsidRPr="009F640C">
        <w:rPr>
          <w:rStyle w:val="HideTWBInt"/>
        </w:rPr>
        <w:t>{01/07/2026}</w:t>
      </w:r>
      <w:r w:rsidRPr="009F640C">
        <w:t>1.7.2026</w:t>
      </w:r>
      <w:r w:rsidRPr="009F640C">
        <w:rPr>
          <w:rStyle w:val="HideTWBExt"/>
        </w:rPr>
        <w:t>&lt;/Date&gt;</w:t>
      </w:r>
      <w:r w:rsidRPr="009F640C">
        <w:tab/>
      </w:r>
      <w:r w:rsidRPr="009F640C">
        <w:rPr>
          <w:rStyle w:val="HideTWBExt"/>
        </w:rPr>
        <w:t>&lt;ANo&gt;</w:t>
      </w:r>
      <w:r w:rsidRPr="009F640C">
        <w:t>A10-0182</w:t>
      </w:r>
      <w:r w:rsidRPr="009F640C">
        <w:rPr>
          <w:rStyle w:val="HideTWBExt"/>
        </w:rPr>
        <w:t>&lt;/ANo&gt;</w:t>
      </w:r>
      <w:r w:rsidRPr="009F640C">
        <w:t>/</w:t>
      </w:r>
      <w:r w:rsidRPr="009F640C">
        <w:rPr>
          <w:rStyle w:val="HideTWBExt"/>
        </w:rPr>
        <w:t>&lt;NumAm&gt;</w:t>
      </w:r>
      <w:r w:rsidRPr="009F640C">
        <w:t>35</w:t>
      </w:r>
      <w:r w:rsidRPr="009F640C">
        <w:rPr>
          <w:rStyle w:val="HideTWBExt"/>
        </w:rPr>
        <w:t>&lt;/NumAm&gt;</w:t>
      </w:r>
    </w:p>
    <w:p w14:paraId="14B89B94" w14:textId="77777777" w:rsidR="00EB3CC0" w:rsidRPr="009F640C" w:rsidRDefault="00D56625">
      <w:pPr>
        <w:pStyle w:val="AmNumberTabs"/>
      </w:pPr>
      <w:r w:rsidRPr="009F640C">
        <w:t>Amendment</w:t>
      </w:r>
      <w:r w:rsidRPr="009F640C">
        <w:tab/>
      </w:r>
      <w:r w:rsidRPr="009F640C">
        <w:tab/>
      </w:r>
      <w:r w:rsidRPr="009F640C">
        <w:rPr>
          <w:rStyle w:val="HideTWBExt"/>
        </w:rPr>
        <w:t>&lt;NumAm&gt;</w:t>
      </w:r>
      <w:r w:rsidRPr="009F640C">
        <w:t>35</w:t>
      </w:r>
      <w:r w:rsidRPr="009F640C">
        <w:rPr>
          <w:rStyle w:val="HideTWBExt"/>
        </w:rPr>
        <w:t>&lt;/NumAm&gt;</w:t>
      </w:r>
    </w:p>
    <w:p w14:paraId="09354C6B" w14:textId="77777777" w:rsidR="00EB3CC0" w:rsidRPr="009F640C" w:rsidRDefault="00D56625">
      <w:pPr>
        <w:pStyle w:val="NormalBold"/>
      </w:pPr>
      <w:r w:rsidRPr="009F640C">
        <w:rPr>
          <w:rStyle w:val="HideTWBExt"/>
          <w:b w:val="0"/>
        </w:rPr>
        <w:t>&lt;RepeatBlock-By&gt;&lt;By&gt;&lt;Members&gt;</w:t>
      </w:r>
      <w:r w:rsidRPr="009F640C">
        <w:t>Manon Aubry, Pernando Barrena Arza, Lynn Boylan, Younous Omarjee, Marina Mesure, Anthony Smith, Leila Chaibi, Arash Saeidi, Rima Hassan, Damien Carême, Emma Fourreau, Irene Montero, Rudi Kennes</w:t>
      </w:r>
      <w:r w:rsidRPr="009F640C">
        <w:rPr>
          <w:rStyle w:val="HideTWBExt"/>
          <w:b w:val="0"/>
        </w:rPr>
        <w:t>&lt;/Members&gt;</w:t>
      </w:r>
    </w:p>
    <w:p w14:paraId="5CC15B91" w14:textId="523FCD30" w:rsidR="00EB3CC0" w:rsidRPr="009F640C" w:rsidRDefault="00D56625">
      <w:r w:rsidRPr="009F640C">
        <w:rPr>
          <w:rStyle w:val="HideTWBExt"/>
        </w:rPr>
        <w:t>&lt;AuNomDe&gt;</w:t>
      </w:r>
      <w:r w:rsidRPr="009F640C">
        <w:rPr>
          <w:rStyle w:val="HideTWBInt"/>
        </w:rPr>
        <w:t>{The Left}</w:t>
      </w:r>
      <w:r w:rsidRPr="009F640C">
        <w:t>on behalf of The Left Group</w:t>
      </w:r>
      <w:r w:rsidRPr="009F640C">
        <w:rPr>
          <w:rStyle w:val="HideTWBExt"/>
        </w:rPr>
        <w:t>&lt;/AuNomDe&gt;</w:t>
      </w:r>
    </w:p>
    <w:p w14:paraId="00E2BA72" w14:textId="77777777" w:rsidR="00EB3CC0" w:rsidRPr="009F640C" w:rsidRDefault="00D56625">
      <w:pPr>
        <w:pStyle w:val="NormalBold"/>
      </w:pPr>
      <w:r w:rsidRPr="009F640C">
        <w:rPr>
          <w:rStyle w:val="HideTWBExt"/>
          <w:b w:val="0"/>
        </w:rPr>
        <w:t>&lt;/By&gt;&lt;/RepeatBlock-By&gt;</w:t>
      </w:r>
    </w:p>
    <w:p w14:paraId="1517690E" w14:textId="77777777" w:rsidR="00EB3CC0" w:rsidRPr="009F640C" w:rsidRDefault="00D56625">
      <w:pPr>
        <w:pStyle w:val="AmDocTypeTab"/>
      </w:pPr>
      <w:r w:rsidRPr="009F640C">
        <w:rPr>
          <w:rStyle w:val="HideTWBExt"/>
        </w:rPr>
        <w:t>&lt;TitreType&gt;</w:t>
      </w:r>
      <w:r w:rsidRPr="009F640C">
        <w:t>Report</w:t>
      </w:r>
      <w:r w:rsidRPr="009F640C">
        <w:rPr>
          <w:rStyle w:val="HideTWBExt"/>
        </w:rPr>
        <w:t>&lt;/TitreType&gt;</w:t>
      </w:r>
      <w:r w:rsidRPr="009F640C">
        <w:tab/>
        <w:t>A10-0182/2026</w:t>
      </w:r>
    </w:p>
    <w:p w14:paraId="71473B84" w14:textId="77777777" w:rsidR="00CD5EFF" w:rsidRPr="009F640C" w:rsidRDefault="00CD5EFF" w:rsidP="00CD5EFF">
      <w:pPr>
        <w:pStyle w:val="NormalBold"/>
      </w:pPr>
      <w:r w:rsidRPr="009F640C">
        <w:rPr>
          <w:rStyle w:val="HideTWBExt"/>
        </w:rPr>
        <w:t>&lt;Rapporteur&gt;</w:t>
      </w:r>
      <w:r w:rsidRPr="009F640C">
        <w:t xml:space="preserve">Javi López, </w:t>
      </w:r>
      <w:r w:rsidRPr="009F640C">
        <w:rPr>
          <w:bCs/>
        </w:rPr>
        <w:t>Borja Giménez Larraz</w:t>
      </w:r>
      <w:r w:rsidRPr="009F640C">
        <w:rPr>
          <w:rStyle w:val="HideTWBExt"/>
        </w:rPr>
        <w:t>&lt;/Rapporteur&gt;</w:t>
      </w:r>
    </w:p>
    <w:p w14:paraId="515D76BA" w14:textId="6A9029D4" w:rsidR="00EB3CC0" w:rsidRPr="009F640C" w:rsidRDefault="00D56625">
      <w:r w:rsidRPr="009F640C">
        <w:rPr>
          <w:rStyle w:val="HideTWBExt"/>
        </w:rPr>
        <w:t>&lt;Titre&gt;</w:t>
      </w:r>
      <w:r w:rsidRPr="009F640C">
        <w:t>EU–Mexico Political, Economic and Cooperation Strategic Partnership Agreement (Interim report)</w:t>
      </w:r>
      <w:r w:rsidRPr="009F640C">
        <w:rPr>
          <w:rStyle w:val="HideTWBExt"/>
        </w:rPr>
        <w:t>&lt;/Titre&gt;</w:t>
      </w:r>
    </w:p>
    <w:p w14:paraId="09A0947E" w14:textId="77777777" w:rsidR="00EB3CC0" w:rsidRPr="009F640C" w:rsidRDefault="00D56625">
      <w:pPr>
        <w:pStyle w:val="Normal12a"/>
      </w:pPr>
      <w:r w:rsidRPr="009F640C">
        <w:rPr>
          <w:rStyle w:val="HideTWBExt"/>
        </w:rPr>
        <w:t>&lt;DocRef&gt;</w:t>
      </w:r>
      <w:r w:rsidRPr="009F640C">
        <w:t>(2025/0810R(NLE))</w:t>
      </w:r>
      <w:r w:rsidRPr="009F640C">
        <w:rPr>
          <w:rStyle w:val="HideTWBExt"/>
        </w:rPr>
        <w:t>&lt;/DocRef&gt;</w:t>
      </w:r>
    </w:p>
    <w:p w14:paraId="706D4DDC" w14:textId="77777777" w:rsidR="00EB3CC0" w:rsidRPr="009F640C" w:rsidRDefault="00D56625">
      <w:pPr>
        <w:pStyle w:val="NormalBold"/>
      </w:pPr>
      <w:r w:rsidRPr="009F640C">
        <w:rPr>
          <w:rStyle w:val="HideTWBExt"/>
        </w:rPr>
        <w:t>&lt;DocAmend&gt;</w:t>
      </w:r>
      <w:r w:rsidRPr="009F640C">
        <w:t>Motion for a resolution</w:t>
      </w:r>
      <w:r w:rsidRPr="009F640C">
        <w:rPr>
          <w:rStyle w:val="HideTWBExt"/>
        </w:rPr>
        <w:t>&lt;/DocAmend&gt;</w:t>
      </w:r>
    </w:p>
    <w:p w14:paraId="2C50D195" w14:textId="77777777" w:rsidR="00EB3CC0" w:rsidRPr="009F640C" w:rsidRDefault="00D56625">
      <w:pPr>
        <w:pStyle w:val="NormalBold"/>
      </w:pPr>
      <w:r w:rsidRPr="009F640C">
        <w:rPr>
          <w:rStyle w:val="HideTWBExt"/>
        </w:rPr>
        <w:t>&lt;Article&gt;</w:t>
      </w:r>
      <w:r w:rsidRPr="009F640C">
        <w:t>Paragraph 50 a (new)</w:t>
      </w:r>
      <w:r w:rsidRPr="009F640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3CC0" w:rsidRPr="009F640C" w14:paraId="10801AC6" w14:textId="77777777">
        <w:trPr>
          <w:trHeight w:hRule="exact" w:val="240"/>
          <w:jc w:val="center"/>
        </w:trPr>
        <w:tc>
          <w:tcPr>
            <w:tcW w:w="9752" w:type="dxa"/>
            <w:gridSpan w:val="2"/>
            <w:tcBorders>
              <w:top w:val="nil"/>
              <w:left w:val="nil"/>
              <w:bottom w:val="nil"/>
              <w:right w:val="nil"/>
            </w:tcBorders>
          </w:tcPr>
          <w:p w14:paraId="338500E5" w14:textId="77777777" w:rsidR="00EB3CC0" w:rsidRPr="009F640C" w:rsidRDefault="00EB3CC0"/>
        </w:tc>
      </w:tr>
      <w:tr w:rsidR="00EB3CC0" w:rsidRPr="009F640C" w14:paraId="563456C1" w14:textId="77777777">
        <w:trPr>
          <w:trHeight w:val="240"/>
          <w:jc w:val="center"/>
        </w:trPr>
        <w:tc>
          <w:tcPr>
            <w:tcW w:w="4876" w:type="dxa"/>
            <w:tcBorders>
              <w:top w:val="nil"/>
              <w:left w:val="nil"/>
              <w:bottom w:val="nil"/>
              <w:right w:val="nil"/>
            </w:tcBorders>
          </w:tcPr>
          <w:p w14:paraId="1D8FDFA5" w14:textId="77777777" w:rsidR="00EB3CC0" w:rsidRPr="009F640C" w:rsidRDefault="00D56625">
            <w:pPr>
              <w:pStyle w:val="AmColumnHeading"/>
            </w:pPr>
            <w:r w:rsidRPr="009F640C">
              <w:t>Motion for a resolution</w:t>
            </w:r>
          </w:p>
        </w:tc>
        <w:tc>
          <w:tcPr>
            <w:tcW w:w="4876" w:type="dxa"/>
            <w:tcBorders>
              <w:top w:val="nil"/>
              <w:left w:val="nil"/>
              <w:bottom w:val="nil"/>
              <w:right w:val="nil"/>
            </w:tcBorders>
          </w:tcPr>
          <w:p w14:paraId="33837BE2" w14:textId="77777777" w:rsidR="00EB3CC0" w:rsidRPr="009F640C" w:rsidRDefault="00D56625">
            <w:pPr>
              <w:pStyle w:val="AmColumnHeading"/>
            </w:pPr>
            <w:r w:rsidRPr="009F640C">
              <w:t>Amendment</w:t>
            </w:r>
          </w:p>
        </w:tc>
      </w:tr>
      <w:tr w:rsidR="00EB3CC0" w:rsidRPr="009F640C" w14:paraId="51DEDA82" w14:textId="77777777">
        <w:trPr>
          <w:jc w:val="center"/>
        </w:trPr>
        <w:tc>
          <w:tcPr>
            <w:tcW w:w="4876" w:type="dxa"/>
            <w:tcBorders>
              <w:top w:val="nil"/>
              <w:left w:val="nil"/>
              <w:bottom w:val="nil"/>
              <w:right w:val="nil"/>
            </w:tcBorders>
          </w:tcPr>
          <w:p w14:paraId="30F11929" w14:textId="77777777" w:rsidR="00EB3CC0" w:rsidRPr="009F640C" w:rsidRDefault="00EB3CC0">
            <w:pPr>
              <w:pStyle w:val="Normal6a"/>
            </w:pPr>
          </w:p>
        </w:tc>
        <w:tc>
          <w:tcPr>
            <w:tcW w:w="4876" w:type="dxa"/>
            <w:tcBorders>
              <w:top w:val="nil"/>
              <w:left w:val="nil"/>
              <w:bottom w:val="nil"/>
              <w:right w:val="nil"/>
            </w:tcBorders>
          </w:tcPr>
          <w:p w14:paraId="2C5EF4B7" w14:textId="7D7A078D" w:rsidR="00EB3CC0" w:rsidRPr="009F640C" w:rsidRDefault="00D56625">
            <w:pPr>
              <w:pStyle w:val="Normal6a"/>
            </w:pPr>
            <w:r w:rsidRPr="009F640C">
              <w:rPr>
                <w:b/>
                <w:i/>
              </w:rPr>
              <w:t>50a.</w:t>
            </w:r>
            <w:r w:rsidRPr="009F640C">
              <w:tab/>
            </w:r>
            <w:r w:rsidRPr="009F640C">
              <w:rPr>
                <w:b/>
                <w:i/>
              </w:rPr>
              <w:t>Stresses that both the EU and Mexico have committed to mak</w:t>
            </w:r>
            <w:r w:rsidR="0080503D" w:rsidRPr="009F640C">
              <w:rPr>
                <w:b/>
                <w:i/>
              </w:rPr>
              <w:t>ing</w:t>
            </w:r>
            <w:r w:rsidRPr="009F640C">
              <w:rPr>
                <w:b/>
                <w:i/>
              </w:rPr>
              <w:t xml:space="preserve"> Europe and Mexico climate-neutral by 2050; stresses that the energy mix used in the maritime sector </w:t>
            </w:r>
            <w:r w:rsidR="0080503D" w:rsidRPr="009F640C">
              <w:rPr>
                <w:b/>
                <w:i/>
              </w:rPr>
              <w:t xml:space="preserve">currently </w:t>
            </w:r>
            <w:r w:rsidRPr="009F640C">
              <w:rPr>
                <w:b/>
                <w:i/>
              </w:rPr>
              <w:t>relies almost entirely on fossil fuels; notes that</w:t>
            </w:r>
            <w:r w:rsidR="0080503D" w:rsidRPr="009F640C">
              <w:rPr>
                <w:b/>
                <w:i/>
              </w:rPr>
              <w:t>,</w:t>
            </w:r>
            <w:r w:rsidRPr="009F640C">
              <w:rPr>
                <w:b/>
                <w:i/>
              </w:rPr>
              <w:t xml:space="preserve"> in order to achieve climate neutrality, the EU must reduce transport emissions, including those from maritime transport, by 90</w:t>
            </w:r>
            <w:r w:rsidR="0080503D" w:rsidRPr="009F640C">
              <w:rPr>
                <w:b/>
                <w:i/>
              </w:rPr>
              <w:t> </w:t>
            </w:r>
            <w:r w:rsidRPr="009F640C">
              <w:rPr>
                <w:b/>
                <w:i/>
              </w:rPr>
              <w:t>% by 2050 (compared to 1990 levels); is therefore concerned that greenhouse gas emissions from maritime transport interfere with the EU</w:t>
            </w:r>
            <w:r w:rsidR="009F640C">
              <w:rPr>
                <w:b/>
                <w:i/>
              </w:rPr>
              <w:t>’</w:t>
            </w:r>
            <w:r w:rsidRPr="009F640C">
              <w:rPr>
                <w:b/>
                <w:i/>
              </w:rPr>
              <w:t>s climate commitments and obligations under the Paris Agreement;</w:t>
            </w:r>
          </w:p>
        </w:tc>
      </w:tr>
    </w:tbl>
    <w:p w14:paraId="6D7198BF" w14:textId="77777777" w:rsidR="00EB3CC0" w:rsidRPr="009F640C" w:rsidRDefault="00D56625">
      <w:pPr>
        <w:pStyle w:val="AmOrLang"/>
      </w:pPr>
      <w:r w:rsidRPr="009F640C">
        <w:t xml:space="preserve">Or. </w:t>
      </w:r>
      <w:r w:rsidRPr="009F640C">
        <w:rPr>
          <w:rStyle w:val="HideTWBExt"/>
        </w:rPr>
        <w:t>&lt;Original&gt;</w:t>
      </w:r>
      <w:r w:rsidRPr="009F640C">
        <w:rPr>
          <w:rStyle w:val="HideTWBInt"/>
        </w:rPr>
        <w:t>{EN}</w:t>
      </w:r>
      <w:proofErr w:type="spellStart"/>
      <w:r w:rsidRPr="009F640C">
        <w:t>en</w:t>
      </w:r>
      <w:proofErr w:type="spellEnd"/>
      <w:r w:rsidRPr="009F640C">
        <w:rPr>
          <w:rStyle w:val="HideTWBExt"/>
        </w:rPr>
        <w:t>&lt;/Original&gt;</w:t>
      </w:r>
    </w:p>
    <w:p w14:paraId="39FDCA54" w14:textId="77777777" w:rsidR="00EB3CC0" w:rsidRPr="009F640C" w:rsidRDefault="00D56625">
      <w:r w:rsidRPr="009F640C">
        <w:rPr>
          <w:rStyle w:val="HideTWBExt"/>
        </w:rPr>
        <w:t>&lt;/Amend&gt;</w:t>
      </w:r>
    </w:p>
    <w:p w14:paraId="5847C491" w14:textId="77777777" w:rsidR="00EB3CC0" w:rsidRPr="009F640C" w:rsidRDefault="00D56625">
      <w:r w:rsidRPr="009F640C">
        <w:rPr>
          <w:rStyle w:val="HideTWBExt"/>
        </w:rPr>
        <w:t>&lt;/RepeatBlock-Amend&gt;</w:t>
      </w:r>
    </w:p>
    <w:sectPr w:rsidR="00EB3CC0" w:rsidRPr="009F640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04694" w14:textId="77777777" w:rsidR="00D56625" w:rsidRPr="009F640C" w:rsidRDefault="00D56625">
      <w:r w:rsidRPr="009F640C">
        <w:separator/>
      </w:r>
    </w:p>
  </w:endnote>
  <w:endnote w:type="continuationSeparator" w:id="0">
    <w:p w14:paraId="33DCFD22" w14:textId="77777777" w:rsidR="00D56625" w:rsidRPr="009F640C" w:rsidRDefault="00D56625">
      <w:r w:rsidRPr="009F6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5D98" w14:textId="77777777" w:rsidR="009C5353" w:rsidRPr="009F640C" w:rsidRDefault="009C53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D02D" w14:textId="77777777" w:rsidR="00CD5EFF" w:rsidRPr="009F640C" w:rsidRDefault="00CD5EFF" w:rsidP="00CD5EFF">
    <w:pPr>
      <w:pStyle w:val="EPFooter"/>
      <w:rPr>
        <w:lang w:val="de-DE"/>
      </w:rPr>
    </w:pPr>
    <w:r w:rsidRPr="009F640C">
      <w:rPr>
        <w:rStyle w:val="HideTWBExt"/>
        <w:lang w:val="de-DE"/>
      </w:rPr>
      <w:t>&lt;PathFdR&gt;</w:t>
    </w:r>
    <w:r w:rsidRPr="009F640C">
      <w:rPr>
        <w:lang w:val="de-DE"/>
      </w:rPr>
      <w:t>AM\1347244EN.docx</w:t>
    </w:r>
    <w:r w:rsidRPr="009F640C">
      <w:rPr>
        <w:rStyle w:val="HideTWBExt"/>
        <w:lang w:val="de-DE"/>
      </w:rPr>
      <w:t>&lt;/PathFdR&gt;</w:t>
    </w:r>
    <w:r w:rsidRPr="009F640C">
      <w:rPr>
        <w:lang w:val="de-DE"/>
      </w:rPr>
      <w:tab/>
    </w:r>
    <w:r w:rsidRPr="009F640C">
      <w:rPr>
        <w:lang w:val="de-DE"/>
      </w:rPr>
      <w:tab/>
      <w:t>PE</w:t>
    </w:r>
    <w:r w:rsidRPr="009F640C">
      <w:rPr>
        <w:rStyle w:val="HideTWBExt"/>
        <w:lang w:val="de-DE"/>
      </w:rPr>
      <w:t>&lt;NoPE&gt;</w:t>
    </w:r>
    <w:r w:rsidRPr="009F640C">
      <w:rPr>
        <w:lang w:val="de-DE"/>
      </w:rPr>
      <w:t>783.395</w:t>
    </w:r>
    <w:r w:rsidRPr="009F640C">
      <w:rPr>
        <w:rStyle w:val="HideTWBExt"/>
        <w:lang w:val="de-DE"/>
      </w:rPr>
      <w:t>&lt;/NoPE&gt;&lt;Version&gt;</w:t>
    </w:r>
    <w:r w:rsidRPr="009F640C">
      <w:rPr>
        <w:lang w:val="de-DE"/>
      </w:rPr>
      <w:t>v01-00</w:t>
    </w:r>
    <w:r w:rsidRPr="009F640C">
      <w:rPr>
        <w:rStyle w:val="HideTWBExt"/>
        <w:lang w:val="de-DE"/>
      </w:rPr>
      <w:t>&lt;/Version&gt;</w:t>
    </w:r>
  </w:p>
  <w:p w14:paraId="4C005360" w14:textId="780A76CD" w:rsidR="00EB3CC0" w:rsidRPr="009F640C" w:rsidRDefault="00CD5EFF" w:rsidP="00CD5EFF">
    <w:pPr>
      <w:pStyle w:val="EPFooter2"/>
    </w:pPr>
    <w:r w:rsidRPr="009F640C">
      <w:t>EN</w:t>
    </w:r>
    <w:r w:rsidRPr="009F640C">
      <w:tab/>
    </w:r>
    <w:r w:rsidRPr="009F640C">
      <w:rPr>
        <w:b w:val="0"/>
        <w:i/>
        <w:color w:val="C0C0C0"/>
        <w:sz w:val="22"/>
      </w:rPr>
      <w:t>United in diversity</w:t>
    </w:r>
    <w:r w:rsidRPr="009F640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9661F" w14:textId="77777777" w:rsidR="009C5353" w:rsidRPr="009F640C" w:rsidRDefault="009C5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EC971" w14:textId="77777777" w:rsidR="00D56625" w:rsidRPr="009F640C" w:rsidRDefault="00D56625">
      <w:r w:rsidRPr="009F640C">
        <w:separator/>
      </w:r>
    </w:p>
  </w:footnote>
  <w:footnote w:type="continuationSeparator" w:id="0">
    <w:p w14:paraId="55DEDC18" w14:textId="77777777" w:rsidR="00D56625" w:rsidRPr="009F640C" w:rsidRDefault="00D56625">
      <w:r w:rsidRPr="009F64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E364" w14:textId="77777777" w:rsidR="009C5353" w:rsidRPr="009F640C" w:rsidRDefault="009C53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62B0" w14:textId="77777777" w:rsidR="009C5353" w:rsidRPr="009F640C" w:rsidRDefault="009C53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FB94A" w14:textId="77777777" w:rsidR="009C5353" w:rsidRPr="009F640C" w:rsidRDefault="009C53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7"/>
    <w:docVar w:name="TXTLANGUE" w:val="EN"/>
    <w:docVar w:name="TXTLANGUEMIN" w:val="en"/>
    <w:docVar w:name="TXTNRPE" w:val="783.395"/>
    <w:docVar w:name="TXTPEorAP" w:val="PE"/>
    <w:docVar w:name="TXTROUTE" w:val="AM\1347244EN.docx"/>
    <w:docVar w:name="TXTVERSION" w:val="01-00"/>
  </w:docVars>
  <w:rsids>
    <w:rsidRoot w:val="00A77B3E"/>
    <w:rsid w:val="000159C6"/>
    <w:rsid w:val="00281448"/>
    <w:rsid w:val="0028204E"/>
    <w:rsid w:val="004735D2"/>
    <w:rsid w:val="005F0CCC"/>
    <w:rsid w:val="006F441A"/>
    <w:rsid w:val="007A1E28"/>
    <w:rsid w:val="007E47F6"/>
    <w:rsid w:val="0080503D"/>
    <w:rsid w:val="00870D19"/>
    <w:rsid w:val="00892905"/>
    <w:rsid w:val="008C1630"/>
    <w:rsid w:val="009C5353"/>
    <w:rsid w:val="009F640C"/>
    <w:rsid w:val="00A53237"/>
    <w:rsid w:val="00A77B3E"/>
    <w:rsid w:val="00A96340"/>
    <w:rsid w:val="00AA7309"/>
    <w:rsid w:val="00CA2A55"/>
    <w:rsid w:val="00CD2806"/>
    <w:rsid w:val="00CD5EFF"/>
    <w:rsid w:val="00D56625"/>
    <w:rsid w:val="00EA6049"/>
    <w:rsid w:val="00EB3CC0"/>
    <w:rsid w:val="00F06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9AF0A"/>
  <w15:docId w15:val="{730BCE5F-E315-4895-A4E0-E581EFFA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D5EFF"/>
    <w:pPr>
      <w:tabs>
        <w:tab w:val="center" w:pos="4513"/>
        <w:tab w:val="right" w:pos="9026"/>
      </w:tabs>
    </w:pPr>
  </w:style>
  <w:style w:type="character" w:customStyle="1" w:styleId="HeaderChar">
    <w:name w:val="Header Char"/>
    <w:basedOn w:val="DefaultParagraphFont"/>
    <w:link w:val="Header"/>
    <w:rsid w:val="00CD5EFF"/>
    <w:rPr>
      <w:sz w:val="24"/>
      <w:szCs w:val="24"/>
    </w:rPr>
  </w:style>
  <w:style w:type="paragraph" w:styleId="Footer">
    <w:name w:val="footer"/>
    <w:basedOn w:val="Normal"/>
    <w:link w:val="FooterChar1"/>
    <w:rsid w:val="00CD5EFF"/>
    <w:pPr>
      <w:tabs>
        <w:tab w:val="center" w:pos="4513"/>
        <w:tab w:val="right" w:pos="9026"/>
      </w:tabs>
    </w:pPr>
  </w:style>
  <w:style w:type="character" w:customStyle="1" w:styleId="FooterChar1">
    <w:name w:val="Footer Char1"/>
    <w:basedOn w:val="DefaultParagraphFont"/>
    <w:link w:val="Footer"/>
    <w:rsid w:val="00CD5EFF"/>
    <w:rPr>
      <w:sz w:val="24"/>
      <w:szCs w:val="24"/>
    </w:rPr>
  </w:style>
  <w:style w:type="paragraph" w:styleId="Revision">
    <w:name w:val="Revision"/>
    <w:hidden/>
    <w:uiPriority w:val="99"/>
    <w:semiHidden/>
    <w:rsid w:val="004735D2"/>
    <w:rPr>
      <w:sz w:val="24"/>
      <w:szCs w:val="24"/>
    </w:rPr>
  </w:style>
  <w:style w:type="character" w:styleId="CommentReference">
    <w:name w:val="annotation reference"/>
    <w:basedOn w:val="DefaultParagraphFont"/>
    <w:rsid w:val="004735D2"/>
    <w:rPr>
      <w:sz w:val="16"/>
      <w:szCs w:val="16"/>
    </w:rPr>
  </w:style>
  <w:style w:type="paragraph" w:styleId="CommentText">
    <w:name w:val="annotation text"/>
    <w:basedOn w:val="Normal"/>
    <w:link w:val="CommentTextChar"/>
    <w:rsid w:val="004735D2"/>
    <w:rPr>
      <w:sz w:val="20"/>
      <w:szCs w:val="20"/>
    </w:rPr>
  </w:style>
  <w:style w:type="character" w:customStyle="1" w:styleId="CommentTextChar">
    <w:name w:val="Comment Text Char"/>
    <w:basedOn w:val="DefaultParagraphFont"/>
    <w:link w:val="CommentText"/>
    <w:rsid w:val="004735D2"/>
  </w:style>
  <w:style w:type="paragraph" w:styleId="CommentSubject">
    <w:name w:val="annotation subject"/>
    <w:basedOn w:val="CommentText"/>
    <w:next w:val="CommentText"/>
    <w:link w:val="CommentSubjectChar"/>
    <w:rsid w:val="004735D2"/>
    <w:rPr>
      <w:b/>
      <w:bCs/>
    </w:rPr>
  </w:style>
  <w:style w:type="character" w:customStyle="1" w:styleId="CommentSubjectChar">
    <w:name w:val="Comment Subject Char"/>
    <w:basedOn w:val="CommentTextChar"/>
    <w:link w:val="CommentSubject"/>
    <w:rsid w:val="004735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3007</Words>
  <Characters>21506</Characters>
  <Application>Microsoft Office Word</Application>
  <DocSecurity>0</DocSecurity>
  <Lines>741</Lines>
  <Paragraphs>197</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OLOHAN Maeve</cp:lastModifiedBy>
  <cp:revision>2</cp:revision>
  <cp:lastPrinted>2026-07-01T18:38:00Z</cp:lastPrinted>
  <dcterms:created xsi:type="dcterms:W3CDTF">2026-07-02T08:24:00Z</dcterms:created>
  <dcterms:modified xsi:type="dcterms:W3CDTF">2026-07-02T08:24:00Z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1347244</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553045</vt:lpwstr>
  </property>
  <property fmtid="{D5CDD505-2E9C-101B-9397-08002B2CF9AE}" pid="7" name="dmxml.render.traceId">
    <vt:lpwstr>6a453a8dac91734ec43bc0a165eacfe5</vt:lpwstr>
  </property>
  <property fmtid="{D5CDD505-2E9C-101B-9397-08002B2CF9AE}" pid="8" name="FooterPath">
    <vt:lpwstr>AM\1347244EN.docx</vt:lpwstr>
  </property>
  <property fmtid="{D5CDD505-2E9C-101B-9397-08002B2CF9AE}" pid="9" name="PE Number">
    <vt:lpwstr>783.395</vt:lpwstr>
  </property>
  <property fmtid="{D5CDD505-2E9C-101B-9397-08002B2CF9AE}" pid="10" name="UID">
    <vt:lpwstr>eu.europa.europarl-DIN1-2026-0000198456_01.00-en-01.00_text-xml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- 2026/07/01 21:10</vt:lpwstr>
  </property>
</Properties>
</file>