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4</w:t>
      </w:r>
      <w:r>
        <w:rPr>
          <w:rStyle w:val="HideTWBExt"/>
        </w:rPr>
        <w:t>&lt;/NumAm&gt;</w:t>
      </w:r>
    </w:p>
    <w:p>
      <w:pPr>
        <w:pStyle w:val="AmNumberTabs"/>
      </w:pP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Danilo Della Valle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continuing conflict in Ukraine has entailed grave human suffering and substantial humanitarian needs. The Union should intensify its diplomatic efforts, including by considering the appointment of a dedicated peace envoy, with a view to facilitating an immediate cessation of hostilities and a negotiated settlement. Public resources should give priority to the protection of people, the provision of essential services and social resilience.</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5</w:t>
      </w:r>
      <w:r>
        <w:rPr>
          <w:rStyle w:val="HideTWBExt"/>
        </w:rPr>
        <w:t>&lt;/NumAm&gt;</w:t>
      </w:r>
    </w:p>
    <w:p>
      <w:pPr>
        <w:pStyle w:val="AmNumberTabs"/>
      </w:pP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 Botenga, Danilo Della Valle, 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'emerging and disruptive product or technology for defence’ means a defence product or technology that brings about a radical change, including a paradigm shift in the concept and conduct of defence affairs, including by replacing existing defence technologies or rendering them obsolete, and that is expected to be fully exploitable at the end of the action;</w:t>
            </w:r>
          </w:p>
        </w:tc>
        <w:tc>
          <w:tcPr>
            <w:tcW w:w="4876" w:type="dxa"/>
            <w:tcBorders>
              <w:top w:val="nil"/>
              <w:left w:val="nil"/>
              <w:bottom w:val="nil"/>
              <w:right w:val="nil"/>
            </w:tcBorders>
          </w:tcPr>
          <w:p>
            <w:pPr>
              <w:pStyle w:val="Normal6a"/>
            </w:pPr>
            <w:r>
              <w:t>(4)</w:t>
            </w:r>
            <w:r>
              <w:tab/>
            </w:r>
            <w:r>
              <w:t>'emerging and disruptive product or technology for defence’ means a defence product or technology that brings about a radical change, including a paradigm shift in the concept and conduct of defence affairs, including by replacing existing defence technologies or rendering them obsolete, and that is expected to be fully exploitable at the end of the action</w:t>
            </w:r>
            <w:r>
              <w:rPr>
                <w:b/>
                <w:i/>
              </w:rPr>
              <w:t>, and that is compatible with international law as well as the highest ethical standards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6</w:t>
      </w:r>
      <w:r>
        <w:rPr>
          <w:rStyle w:val="HideTWBExt"/>
        </w:rPr>
        <w:t>&lt;/NumAm&gt;</w:t>
      </w:r>
    </w:p>
    <w:p>
      <w:pPr>
        <w:pStyle w:val="AmNumberTabs"/>
      </w:pP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Danilo Della Valle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w:t>
            </w:r>
            <w:r>
              <w:rPr>
                <w:b/>
                <w:i/>
              </w:rPr>
              <w:t>general objective of the Programme is to support the rapid innovation capacity of SMEs, including innovative start-ups and scaleups, with a view to supporting the rapid delivery of emerging and disruptive products and technologies for defence address the most recent and fast evolving challenges faced by Member States’ armed forces</w:t>
            </w:r>
            <w:r>
              <w:t xml:space="preserve">, in particular </w:t>
            </w:r>
            <w:r>
              <w:rPr>
                <w:b/>
                <w:i/>
              </w:rPr>
              <w:t>those stemming from Russia’s war of aggression against</w:t>
            </w:r>
            <w:r>
              <w:t xml:space="preserve"> Ukraine, </w:t>
            </w:r>
            <w:r>
              <w:rPr>
                <w:b/>
                <w:i/>
              </w:rPr>
              <w:t>with a focus on cost-efficiency. The Programme</w:t>
            </w:r>
            <w:r>
              <w:t xml:space="preserve"> shall </w:t>
            </w:r>
            <w:r>
              <w:rPr>
                <w:b/>
                <w:i/>
              </w:rPr>
              <w:t>thereby foster the competitiveness of the European Defence Technological and Industrial Base (EDTIB) and contribute to strengthening the Union’s defence readiness, while reducing strategic dependencies on non-associated third countries</w:t>
            </w:r>
            <w:r>
              <w:t>.</w:t>
            </w:r>
          </w:p>
        </w:tc>
        <w:tc>
          <w:tcPr>
            <w:tcW w:w="4876" w:type="dxa"/>
            <w:tcBorders>
              <w:top w:val="nil"/>
              <w:left w:val="nil"/>
              <w:bottom w:val="nil"/>
              <w:right w:val="nil"/>
            </w:tcBorders>
          </w:tcPr>
          <w:p>
            <w:pPr>
              <w:pStyle w:val="Normal6a"/>
            </w:pPr>
            <w:r>
              <w:t>1.</w:t>
            </w:r>
            <w:r>
              <w:tab/>
            </w:r>
            <w:r>
              <w:t xml:space="preserve">The </w:t>
            </w:r>
            <w:r>
              <w:rPr>
                <w:b/>
                <w:i/>
              </w:rPr>
              <w:t>Union shall prioritise the strengthening of public services, the protection of social rights and the reduction of territorial inequalities</w:t>
            </w:r>
            <w:r>
              <w:t xml:space="preserve">, in particular </w:t>
            </w:r>
            <w:r>
              <w:rPr>
                <w:b/>
                <w:i/>
              </w:rPr>
              <w:t>in its least-developed regions. In responding to the conflict in</w:t>
            </w:r>
            <w:r>
              <w:t xml:space="preserve"> Ukraine, </w:t>
            </w:r>
            <w:r>
              <w:rPr>
                <w:b/>
                <w:i/>
              </w:rPr>
              <w:t>it</w:t>
            </w:r>
            <w:r>
              <w:t xml:space="preserve"> shall </w:t>
            </w:r>
            <w:r>
              <w:rPr>
                <w:b/>
                <w:i/>
              </w:rPr>
              <w:t>give priority to the protection of civilians, humanitarian assistance and sustained diplomatic efforts aimed at bringing hostilities to an end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7</w:t>
      </w:r>
      <w:r>
        <w:rPr>
          <w:rStyle w:val="HideTWBExt"/>
        </w:rPr>
        <w:t>&lt;/NumAm&gt;</w:t>
      </w:r>
    </w:p>
    <w:p>
      <w:pPr>
        <w:pStyle w:val="AmNumberTabs"/>
      </w:pP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Danilo Della Valle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The indicative financial envelope for the implementation</w:t>
            </w:r>
            <w:r>
              <w:t xml:space="preserve"> of the </w:t>
            </w:r>
            <w:r>
              <w:rPr>
                <w:b/>
                <w:i/>
              </w:rPr>
              <w:t>Programme, between 1 January 2027 and 31 December 2027,</w:t>
            </w:r>
            <w:r>
              <w:t xml:space="preserve"> shall be </w:t>
            </w:r>
            <w:r>
              <w:rPr>
                <w:b/>
                <w:i/>
              </w:rPr>
              <w:t>EUR 115 000 000 in current prices</w:t>
            </w:r>
            <w:r>
              <w:t>.</w:t>
            </w:r>
          </w:p>
        </w:tc>
        <w:tc>
          <w:tcPr>
            <w:tcW w:w="4876" w:type="dxa"/>
            <w:tcBorders>
              <w:top w:val="nil"/>
              <w:left w:val="nil"/>
              <w:bottom w:val="nil"/>
              <w:right w:val="nil"/>
            </w:tcBorders>
          </w:tcPr>
          <w:p>
            <w:pPr>
              <w:pStyle w:val="Normal6a"/>
            </w:pPr>
            <w:r>
              <w:t>1.</w:t>
            </w:r>
            <w:r>
              <w:tab/>
            </w:r>
            <w:r>
              <w:rPr>
                <w:b/>
                <w:i/>
              </w:rPr>
              <w:t>No additional appropriations from the general budget</w:t>
            </w:r>
            <w:r>
              <w:t xml:space="preserve"> of the </w:t>
            </w:r>
            <w:r>
              <w:rPr>
                <w:b/>
                <w:i/>
              </w:rPr>
              <w:t>Union</w:t>
            </w:r>
            <w:r>
              <w:t xml:space="preserve"> shall be </w:t>
            </w:r>
            <w:r>
              <w:rPr>
                <w:b/>
                <w:i/>
              </w:rPr>
              <w:t>committed under this Regulation for the development, production, testing, marketing or procurement of defence products or technologies that may contribute to further loss of life and undermine efforts to bring about a peaceful resolution of the conflict in Ukraine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8</w:t>
      </w:r>
      <w:r>
        <w:rPr>
          <w:rStyle w:val="HideTWBExt"/>
        </w:rPr>
        <w:t>&lt;/NumAm&gt;</w:t>
      </w:r>
    </w:p>
    <w:p>
      <w:pPr>
        <w:pStyle w:val="AmNumberTabs"/>
      </w:pP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Danilo Della Valle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Resources allocated to</w:t>
            </w:r>
            <w:r>
              <w:t xml:space="preserve"> Member States </w:t>
            </w:r>
            <w:r>
              <w:rPr>
                <w:b/>
                <w:i/>
              </w:rPr>
              <w:t>under shared management may, at the request of the Member State concerned, be transferred to the Programme subject to the conditions set out in the relevant provisions of Regulation (EU) 2021/1060. The Commission shall implement those resources directly in accordance with Article 62(1), first subparagraph, point (a), of Regulation (EU, Euratom) 2024/2509 or indirectly in accordance with point (c) of that subparagraph. Those</w:t>
            </w:r>
            <w:r>
              <w:t xml:space="preserve"> resources </w:t>
            </w:r>
            <w:r>
              <w:rPr>
                <w:b/>
                <w:i/>
              </w:rPr>
              <w:t>shall be used for the benefit of the Member State concerned. Where the Commission has not entered into a legal commitment under direct or indirect management for additional amounts thus made available to the Instrument, the corresponding uncommitted amounts may, at the request of the Member State concerned, be transferred back to the source programmes, in accordance with the conditions set out in Regulation (EU) 2021/1060</w:t>
            </w:r>
            <w:r>
              <w:t>.</w:t>
            </w:r>
          </w:p>
        </w:tc>
        <w:tc>
          <w:tcPr>
            <w:tcW w:w="4876" w:type="dxa"/>
            <w:tcBorders>
              <w:top w:val="nil"/>
              <w:left w:val="nil"/>
              <w:bottom w:val="nil"/>
              <w:right w:val="nil"/>
            </w:tcBorders>
          </w:tcPr>
          <w:p>
            <w:pPr>
              <w:pStyle w:val="Normal6a"/>
            </w:pPr>
            <w:r>
              <w:t>2.</w:t>
            </w:r>
            <w:r>
              <w:tab/>
            </w:r>
            <w:r>
              <w:rPr>
                <w:b/>
                <w:i/>
              </w:rPr>
              <w:t>According to the European Commission, the Union and its</w:t>
            </w:r>
            <w:r>
              <w:t xml:space="preserve"> Member States </w:t>
            </w:r>
            <w:r>
              <w:rPr>
                <w:b/>
                <w:i/>
              </w:rPr>
              <w:t>have mobilised more than EUR 90 billion in support of Ukraine’s military and defence capabilities. Despite this substantial commitment, the conflict continues to claim lives and a cessation of hostilities remains elusive, proving the utter futility of military escalation as a substitute for political solutions. Instead of establishing yet another instrument to funnel public money into the highly profitable military-industrial complex and entrenching a permanent war economy, public</w:t>
            </w:r>
            <w:r>
              <w:t xml:space="preserve"> resources </w:t>
            </w:r>
            <w:r>
              <w:rPr>
                <w:b/>
                <w:i/>
              </w:rPr>
              <w:t>must be strictly redirected towards serious diplomatic efforts to secure a lasting peace, as well as addressing the real existential threats to European citizens: the dismantling of public healthcare, the chronic underfunding of education, the erosion of decent work, and the unbearable energy costs crushing households and small businesses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9</w:t>
      </w:r>
      <w:r>
        <w:rPr>
          <w:rStyle w:val="HideTWBExt"/>
        </w:rPr>
        <w:t>&lt;/NumAm&gt;</w:t>
      </w:r>
    </w:p>
    <w:p>
      <w:pPr>
        <w:pStyle w:val="AmNumberTabs"/>
      </w:pP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Participation of the associated third countries shall be assessed on a case-by-case basis. An impact assessment shall determine the precise allocation of funding, alongside continuous evaluations of compliance with international law. The Commission reserves the right to suspend all disbursements at any time in the event of concerns regarding the protection of classified information, intellectual property rights, or the potential misuse of funds for unauthorized activities in these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10</w:t>
      </w:r>
      <w:r>
        <w:rPr>
          <w:rStyle w:val="HideTWBExt"/>
        </w:rPr>
        <w:t>&lt;/NumAm&gt;</w:t>
      </w:r>
    </w:p>
    <w:p>
      <w:pPr>
        <w:pStyle w:val="AmNumberTabs"/>
      </w:pP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 Botenga, Danilo Della Valle, 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Third countries standing accused or found guilty of grave violations of international law, particularly violations of human rights and international humanitarian law, war crimes and crimes against humanity, in front of national or international courts and institutions, as well as entities established in those countries and directly or indirectly connected to, benefiting from or contributing to these violations, shall be excluded from receiving funds under the Programme.</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11</w:t>
      </w:r>
      <w:r>
        <w:rPr>
          <w:rStyle w:val="HideTWBExt"/>
        </w:rPr>
        <w:t>&lt;/NumAm&gt;</w:t>
      </w:r>
    </w:p>
    <w:p>
      <w:pPr>
        <w:pStyle w:val="AmNumberTabs"/>
      </w:pP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 Botenga, Danilo Della Valle, 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9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actions involving companies or other entities operating in illegally occupied territories or otherwise involved in violations of human rights or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12</w:t>
      </w:r>
      <w:r>
        <w:rPr>
          <w:rStyle w:val="HideTWBExt"/>
        </w:rPr>
        <w:t>&lt;/NumAm&gt;</w:t>
      </w:r>
    </w:p>
    <w:p>
      <w:pPr>
        <w:pStyle w:val="AmNumberTabs"/>
      </w:pP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 Botenga, Danilo Della Valle, 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9 – point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projects aimed at developing, directly or indirectly, AI weapons and lethal autonomous weapons systems (LAWS);</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13</w:t>
      </w:r>
      <w:r>
        <w:rPr>
          <w:rStyle w:val="HideTWBExt"/>
        </w:rPr>
        <w:t>&lt;/NumAm&gt;</w:t>
      </w:r>
    </w:p>
    <w:p>
      <w:pPr>
        <w:pStyle w:val="AmNumberTabs"/>
      </w:pP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 Botenga, Danilo Della Valle, Marina Mesure</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Funds used under the Programme shall result in proportionate public ownership, including of intellectual property rights and know-how.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AM\P10_AMA(2026)0188(004-013)_EN.docx</w:t>
    </w:r>
    <w:r>
      <w:rPr>
        <w:rStyle w:val="HideTWBExt"/>
      </w:rPr>
      <w:t>&lt;/PathFdR&gt;</w:t>
    </w:r>
    <w:r>
      <w:tab/>
    </w:r>
    <w:r>
      <w:tab/>
    </w:r>
    <w:r>
      <w:t>PE</w:t>
    </w:r>
    <w:r>
      <w:rPr>
        <w:rStyle w:val="HideTWBExt"/>
      </w:rPr>
      <w:t>&lt;NoPE&gt;</w:t>
    </w:r>
    <w:r>
      <w:t>788.282</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1386</Words>
  <Characters>8227</Characters>
  <Application>Microsoft Office Word</Application>
  <DocSecurity>0</DocSecurity>
  <Lines>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634533</vt:lpwstr>
  </property>
  <property fmtid="{D5CDD505-2E9C-101B-9397-08002B2CF9AE}" pid="7" name="dmxml.render.traceId">
    <vt:lpwstr>6abd14a31322635766ae35584a6f99a7</vt:lpwstr>
  </property>
  <property fmtid="{D5CDD505-2E9C-101B-9397-08002B2CF9AE}" pid="8" name="FooterPath">
    <vt:lpwstr>AM\P10_AMA(2026)0188(004-013)_EN.docx</vt:lpwstr>
  </property>
  <property fmtid="{D5CDD505-2E9C-101B-9397-08002B2CF9AE}" pid="9" name="PE Number">
    <vt:lpwstr>788.282</vt:lpwstr>
  </property>
  <property fmtid="{D5CDD505-2E9C-101B-9397-08002B2CF9AE}" pid="10" name="UID">
    <vt:lpwstr>eu.europa.europarl-DIN1-2026-0000257944_01.00-en-01.00_text-xml</vt:lpwstr>
  </property>
</Properties>
</file>