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p>
      <w:pPr>
        <w:pStyle w:val="AmDateTab"/>
      </w:pPr>
      <w:r>
        <w:rPr>
          <w:rStyle w:val="HideTWBExt"/>
        </w:rPr>
        <w:t>&lt;RepeatBlock-Amend&gt;</w:t>
      </w: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16</w:t>
      </w:r>
      <w:r>
        <w:rPr>
          <w:rStyle w:val="HideTWBExt"/>
        </w:rPr>
        <w:t>&lt;/NumAm&gt;</w:t>
      </w:r>
    </w:p>
    <w:p>
      <w:pPr>
        <w:pStyle w:val="AmNumberTabs"/>
      </w:pP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Marcin Sypniewski,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The general objective of the Programme is to support the rapid innovation capacity of SMEs, including innovative start-ups and scaleups, with a view to supporting the rapid delivery of emerging and disruptive products and technologies for defence address the most recent and fast evolving challenges faced by Member States’ armed forces, in particular those stemming from Russia’s war of aggression against Ukraine, with a focus on cost-efficiency. The Programme shall thereby foster the competitiveness of the European Defence Technological and Industrial Base (EDTIB) and contribute to strengthening the </w:t>
            </w:r>
            <w:r>
              <w:rPr>
                <w:b/>
                <w:i/>
              </w:rPr>
              <w:t>Union’s</w:t>
            </w:r>
            <w:r>
              <w:t xml:space="preserve"> defence readiness, while reducing strategic dependencies on non-associated third countries.</w:t>
            </w:r>
          </w:p>
        </w:tc>
        <w:tc>
          <w:tcPr>
            <w:tcW w:w="4876" w:type="dxa"/>
            <w:tcBorders>
              <w:top w:val="nil"/>
              <w:left w:val="nil"/>
              <w:bottom w:val="nil"/>
              <w:right w:val="nil"/>
            </w:tcBorders>
          </w:tcPr>
          <w:p>
            <w:pPr>
              <w:pStyle w:val="Normal6a"/>
            </w:pPr>
            <w:r>
              <w:t>1.</w:t>
            </w:r>
            <w:r>
              <w:tab/>
            </w:r>
            <w:r>
              <w:t xml:space="preserve">The general objective of the Programme is to support the rapid innovation capacity of SMEs, including innovative start-ups and scaleups, with a view to supporting the rapid delivery of emerging and disruptive products and technologies for defence address the most recent and fast evolving challenges faced by Member States’ armed forces, in particular those stemming from Russia’s war of aggression against Ukraine, with a focus on cost-efficiency. The Programme shall thereby foster the competitiveness of the European Defence Technological and Industrial Base (EDTIB) and contribute to strengthening the </w:t>
            </w:r>
            <w:r>
              <w:rPr>
                <w:b/>
                <w:i/>
              </w:rPr>
              <w:t>Member States'</w:t>
            </w:r>
            <w:r>
              <w:t xml:space="preserve"> defence readiness, while reducing strategic dependencies on non-associated third countries </w:t>
            </w:r>
            <w:r>
              <w:rPr>
                <w:b/>
                <w:i/>
              </w:rPr>
              <w:t>across the full defence technology stack</w:t>
            </w:r>
            <w:r>
              <w:t xml:space="preserve">. </w:t>
            </w:r>
            <w:r>
              <w:rPr>
                <w:b/>
                <w:i/>
              </w:rPr>
              <w:t>The Programme shall also contribute to closing the capability gaps in the operational capabilities of the armed forces of Member States and associated countries, while remaining without prejudice to the competences and responsibilities of Member States in the fields of national security and defence, including their responsibility for determining the operational requirements, organisation and procurement priorities of their armed forces and for decisions concerning the acquisition, transfer, export or deployment of defence capabilities.</w:t>
            </w:r>
          </w:p>
        </w:tc>
      </w:tr>
    </w:tbl>
    <w:p>
      <w:pPr>
        <w:pStyle w:val="AmOrLang"/>
      </w:pPr>
      <w:r>
        <w:t xml:space="preserve">Or. </w:t>
      </w:r>
      <w:r>
        <w:rPr>
          <w:rStyle w:val="HideTWBExt"/>
        </w:rPr>
        <w:t>&lt;Original&gt;</w:t>
      </w:r>
      <w:r>
        <w:rPr>
          <w:rStyle w:val="HideTWBInt"/>
        </w:rPr>
        <w:t>{EN}</w:t>
      </w:r>
      <w:r>
        <w:t>en</w:t>
      </w:r>
      <w:r>
        <w:rPr>
          <w:rStyle w:val="HideTWBExt"/>
        </w:rPr>
        <w:t>&lt;/Original&gt;</w:t>
      </w:r>
    </w:p>
    <w:p>
      <w:pPr>
        <w:sectPr>
          <w:footerReference w:type="default" r:id="rId4"/>
          <w:pgSz w:w="11909" w:h="16834"/>
          <w:pgMar w:top="1134" w:right="1417" w:bottom="1417" w:left="1417" w:header="1134" w:footer="567"/>
          <w:cols w:space="720"/>
          <w:titlePg w:val="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17</w:t>
      </w:r>
      <w:r>
        <w:rPr>
          <w:rStyle w:val="HideTWBExt"/>
        </w:rPr>
        <w:t>&lt;/NumAm&gt;</w:t>
      </w:r>
    </w:p>
    <w:p>
      <w:pPr>
        <w:pStyle w:val="AmNumberTabs"/>
      </w:pP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Marcin Sypniewski,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2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ensure a fair balance as regards the contributions and benefits of the third country participating in the Programme;</w:t>
            </w:r>
          </w:p>
        </w:tc>
        <w:tc>
          <w:tcPr>
            <w:tcW w:w="4876" w:type="dxa"/>
            <w:tcBorders>
              <w:top w:val="nil"/>
              <w:left w:val="nil"/>
              <w:bottom w:val="nil"/>
              <w:right w:val="nil"/>
            </w:tcBorders>
          </w:tcPr>
          <w:p>
            <w:pPr>
              <w:pStyle w:val="Normal6a"/>
            </w:pPr>
            <w:r>
              <w:t>(a)</w:t>
            </w:r>
            <w:r>
              <w:tab/>
            </w:r>
            <w:r>
              <w:t xml:space="preserve">ensure a fair balance as regards the contributions and benefits of the third country participating in the Programme; </w:t>
            </w:r>
            <w:r>
              <w:rPr>
                <w:b/>
                <w:i/>
              </w:rPr>
              <w:t>including its financial contribution, access to Union funding and industrial benefits. Any derogation from the requirement to provide a financial contribution shall be duly justified, proportionate and limited in time and shall not reduce the financial resources available to entities established in Member States. Participation by associated third countries should be based on reciprocity and should not reduce funding opportunities for undertakings established in Member States.</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18</w:t>
      </w:r>
      <w:r>
        <w:rPr>
          <w:rStyle w:val="HideTWBExt"/>
        </w:rPr>
        <w:t>&lt;/NumAm&gt;</w:t>
      </w:r>
    </w:p>
    <w:p>
      <w:pPr>
        <w:pStyle w:val="AmNumberTabs"/>
      </w:pP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Marcin Sypniewski,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Without prejudice to paragraph 2 of this article, any transfer of ownership or granting of exclusive licences to a non-associated third country or to a non-associated third-country entity for results generated through the Programme, which takes place within 3 years after the final payment of the action, shall be subject to prior notification and approval by the </w:t>
            </w:r>
            <w:r>
              <w:rPr>
                <w:b/>
                <w:i/>
              </w:rPr>
              <w:t>Commission or the</w:t>
            </w:r>
            <w:r>
              <w:t xml:space="preserve"> relevant Member State or associated third country authorities under conditions ensuring the protection of the Union’s security and defence interests. Where such a transfer of ownership contravenes the security and defence interests of the EU and its Member States or the objectives set out in Article 3, the support provided from the Programme shall be reimbursed.</w:t>
            </w:r>
          </w:p>
        </w:tc>
        <w:tc>
          <w:tcPr>
            <w:tcW w:w="4876" w:type="dxa"/>
            <w:tcBorders>
              <w:top w:val="nil"/>
              <w:left w:val="nil"/>
              <w:bottom w:val="nil"/>
              <w:right w:val="nil"/>
            </w:tcBorders>
          </w:tcPr>
          <w:p>
            <w:pPr>
              <w:pStyle w:val="Normal6a"/>
            </w:pPr>
            <w:r>
              <w:t>4.</w:t>
            </w:r>
            <w:r>
              <w:tab/>
            </w:r>
            <w:r>
              <w:t xml:space="preserve">Without prejudice to paragraph 2 of this article, any transfer of ownership or granting of exclusive licences to a non-associated third country or to a non-associated third-country entity for results generated through the Programme, which takes place within 3 years after the final payment of the action, shall be subject to prior notification and approval by the relevant Member State or associated third country authorities under conditions ensuring the protection of the </w:t>
            </w:r>
            <w:r>
              <w:rPr>
                <w:b/>
                <w:i/>
              </w:rPr>
              <w:t>Member States' and, where applicable,</w:t>
            </w:r>
            <w:r>
              <w:t xml:space="preserve"> Union’s security and defence interests. Where such a transfer of ownership contravenes the security and defence interests of the EU and its Member States or the objectives set out in Article 3, the support provided from the Programme shall be reimbursed.</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19</w:t>
      </w:r>
      <w:r>
        <w:rPr>
          <w:rStyle w:val="HideTWBExt"/>
        </w:rPr>
        <w:t>&lt;/NumAm&gt;</w:t>
      </w:r>
    </w:p>
    <w:p>
      <w:pPr>
        <w:pStyle w:val="AmNumberTabs"/>
      </w:pP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Marcin Sypniewski,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Where Union support is provided in the form of a grant, EU institutions, bodies, offices or agencies as well as granting authorities shall enjoy upon request royalty-free access rights to results, without impacting the ownership of results, including IPRs on background information, for the only purpose of developing, implementing and monitoring existing Union policies or programmes in the fields of its competence and the right to grant.</w:t>
            </w:r>
          </w:p>
        </w:tc>
        <w:tc>
          <w:tcPr>
            <w:tcW w:w="4876" w:type="dxa"/>
            <w:tcBorders>
              <w:top w:val="nil"/>
              <w:left w:val="nil"/>
              <w:bottom w:val="nil"/>
              <w:right w:val="nil"/>
            </w:tcBorders>
          </w:tcPr>
          <w:p>
            <w:pPr>
              <w:pStyle w:val="Normal6a"/>
            </w:pPr>
            <w:r>
              <w:t>6.</w:t>
            </w:r>
            <w:r>
              <w:tab/>
            </w:r>
            <w:r>
              <w:t>Where Union support is provided in the form of a grant, EU institutions, bodies, offices or agencies as well as granting authorities shall enjoy upon request royalty-free access rights to results, without impacting the ownership of results, including IPRs on background information, for the only purpose of developing, implementing and monitoring existing Union policies or programmes in the fields of its competence and the right to grant</w:t>
            </w:r>
            <w:r>
              <w:rPr>
                <w:b/>
                <w:i/>
              </w:rPr>
              <w:t>, provided that such access is strictly necessary for those purposes and does not prejudice intellectual property rights, commercially sensitive information or the essential security interests of a Member State</w:t>
            </w:r>
            <w:r>
              <w:t xml:space="preserve">. </w:t>
            </w:r>
            <w:r>
              <w:rPr>
                <w:b/>
                <w:i/>
              </w:rPr>
              <w:t>Such access shall not include background information or know-how not generated by the action unless strictly necessary for the use of the results and expressly agreed by the holder of the relevant rights. Access rights granted under the Programme should remain proportionate to its objectives and should not result in the unintended disclosure or transfer of pre-existing know-how, commercially sensitive information or information affecting the essential security interests of Member States. </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20</w:t>
      </w:r>
      <w:r>
        <w:rPr>
          <w:rStyle w:val="HideTWBExt"/>
        </w:rPr>
        <w:t>&lt;/NumAm&gt;</w:t>
      </w:r>
    </w:p>
    <w:p>
      <w:pPr>
        <w:pStyle w:val="AmNumberTabs"/>
      </w:pP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16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Commission shall adopt the work programme by means of an implementing act. This implementing act shall be adopted in accordance with the </w:t>
            </w:r>
            <w:r>
              <w:rPr>
                <w:b/>
                <w:i/>
              </w:rPr>
              <w:t>advisory</w:t>
            </w:r>
            <w:r>
              <w:t xml:space="preserve"> procedure referred to in Article 17(3).</w:t>
            </w:r>
          </w:p>
        </w:tc>
        <w:tc>
          <w:tcPr>
            <w:tcW w:w="4876" w:type="dxa"/>
            <w:tcBorders>
              <w:top w:val="nil"/>
              <w:left w:val="nil"/>
              <w:bottom w:val="nil"/>
              <w:right w:val="nil"/>
            </w:tcBorders>
          </w:tcPr>
          <w:p>
            <w:pPr>
              <w:pStyle w:val="Normal6a"/>
            </w:pPr>
            <w:r>
              <w:t>4.</w:t>
            </w:r>
            <w:r>
              <w:tab/>
            </w:r>
            <w:r>
              <w:t xml:space="preserve">The Commission shall adopt the work programme by means of an implementing act. This implementing act shall be adopted in accordance with the </w:t>
            </w:r>
            <w:r>
              <w:rPr>
                <w:b/>
                <w:i/>
              </w:rPr>
              <w:t>examination</w:t>
            </w:r>
            <w:r>
              <w:t xml:space="preserve"> procedure referred to in Article 17(3).</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21</w:t>
      </w:r>
      <w:r>
        <w:rPr>
          <w:rStyle w:val="HideTWBExt"/>
        </w:rPr>
        <w:t>&lt;/NumAm&gt;</w:t>
      </w:r>
    </w:p>
    <w:p>
      <w:pPr>
        <w:pStyle w:val="AmNumberTabs"/>
      </w:pP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17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Where reference is made to this paragraph, Article </w:t>
            </w:r>
            <w:r>
              <w:rPr>
                <w:b/>
                <w:i/>
              </w:rPr>
              <w:t>4</w:t>
            </w:r>
            <w:r>
              <w:t xml:space="preserve"> of Regulation (EU) No 182/2011 shall apply.</w:t>
            </w:r>
          </w:p>
        </w:tc>
        <w:tc>
          <w:tcPr>
            <w:tcW w:w="4876" w:type="dxa"/>
            <w:tcBorders>
              <w:top w:val="nil"/>
              <w:left w:val="nil"/>
              <w:bottom w:val="nil"/>
              <w:right w:val="nil"/>
            </w:tcBorders>
          </w:tcPr>
          <w:p>
            <w:pPr>
              <w:pStyle w:val="Normal6a"/>
            </w:pPr>
            <w:r>
              <w:t>3.</w:t>
            </w:r>
            <w:r>
              <w:tab/>
            </w:r>
            <w:r>
              <w:t xml:space="preserve">Where reference is made to this paragraph, Article </w:t>
            </w:r>
            <w:r>
              <w:rPr>
                <w:b/>
                <w:i/>
              </w:rPr>
              <w:t>5</w:t>
            </w:r>
            <w:r>
              <w:t xml:space="preserve"> of Regulation (EU) No 182/2011 shall apply.</w:t>
            </w:r>
          </w:p>
        </w:tc>
      </w:tr>
    </w:tbl>
    <w:p>
      <w:pPr>
        <w:pStyle w:val="AmOrLang"/>
      </w:pPr>
      <w:r>
        <w:t xml:space="preserve">Or. </w:t>
      </w:r>
      <w:r>
        <w:rPr>
          <w:rStyle w:val="HideTWBExt"/>
        </w:rPr>
        <w:t>&lt;Original&gt;</w:t>
      </w:r>
      <w:r>
        <w:rPr>
          <w:rStyle w:val="HideTWBInt"/>
        </w:rPr>
        <w:t>{EN}</w:t>
      </w:r>
      <w:r>
        <w:t>en</w:t>
      </w:r>
      <w:r>
        <w:rPr>
          <w:rStyle w:val="HideTWBExt"/>
        </w:rPr>
        <w:t>&lt;/Original&gt;</w:t>
      </w:r>
    </w:p>
    <w:p>
      <w:pPr>
        <w:sectPr>
          <w:type w:val="nextPage"/>
          <w:pgSz w:w="11909" w:h="16834"/>
          <w:pgMar w:top="1134" w:right="1417" w:bottom="1417" w:left="1417" w:header="1134" w:footer="567"/>
          <w:cols w:space="720"/>
        </w:sectPr>
      </w:pPr>
      <w:r>
        <w:rPr>
          <w:rStyle w:val="HideTWBExt"/>
        </w:rPr>
        <w:t>&lt;/Amend&gt;</w:t>
      </w:r>
    </w:p>
    <w:p>
      <w:pPr>
        <w:pStyle w:val="AmDateTab"/>
      </w:pPr>
      <w:r>
        <w:rPr>
          <w:rStyle w:val="HideTWBExt"/>
        </w:rPr>
        <w:t>&lt;Amend&gt;</w:t>
      </w:r>
      <w:r>
        <w:rPr>
          <w:rStyle w:val="HideTWBExt"/>
        </w:rPr>
        <w:t>&lt;Date&gt;</w:t>
      </w:r>
      <w:r>
        <w:rPr>
          <w:rStyle w:val="HideTWBInt"/>
        </w:rPr>
        <w:t>{30/09/2026}</w:t>
      </w:r>
      <w:r>
        <w:t>30.9.2026</w:t>
      </w:r>
      <w:r>
        <w:rPr>
          <w:rStyle w:val="HideTWBExt"/>
        </w:rPr>
        <w:t>&lt;/Date&gt;</w:t>
      </w:r>
      <w:r>
        <w:tab/>
      </w:r>
      <w:r>
        <w:rPr>
          <w:rStyle w:val="HideTWBExt"/>
        </w:rPr>
        <w:t>&lt;ANo&gt;</w:t>
      </w:r>
      <w:r>
        <w:t>A10-0188</w:t>
      </w:r>
      <w:r>
        <w:rPr>
          <w:rStyle w:val="HideTWBExt"/>
        </w:rPr>
        <w:t>&lt;/ANo&gt;</w:t>
      </w:r>
      <w:r>
        <w:t>/</w:t>
      </w:r>
      <w:r>
        <w:rPr>
          <w:rStyle w:val="HideTWBExt"/>
        </w:rPr>
        <w:t>&lt;NumAm&gt;</w:t>
      </w:r>
      <w:r>
        <w:t>22</w:t>
      </w:r>
      <w:r>
        <w:rPr>
          <w:rStyle w:val="HideTWBExt"/>
        </w:rPr>
        <w:t>&lt;/NumAm&gt;</w:t>
      </w:r>
    </w:p>
    <w:p>
      <w:pPr>
        <w:pStyle w:val="AmNumberTabs"/>
      </w:pP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&lt;By&gt;</w:t>
      </w:r>
      <w:r>
        <w:rPr>
          <w:rStyle w:val="HideTWBExt"/>
          <w:b w:val="0"/>
        </w:rPr>
        <w:t>&lt;Members&gt;</w:t>
      </w:r>
      <w:r>
        <w:t>Zsuzsanna Borvendég, Hans Neuhoff, Roberto Vannacci</w:t>
      </w:r>
      <w:r>
        <w:rPr>
          <w:rStyle w:val="HideTWBExt"/>
          <w:b w:val="0"/>
        </w:rPr>
        <w:t>&lt;/Members&gt;</w:t>
      </w:r>
    </w:p>
    <w:p>
      <w:r>
        <w:rPr>
          <w:rStyle w:val="HideTWBExt"/>
        </w:rPr>
        <w:t>&lt;AuNomDe&gt;</w:t>
      </w:r>
      <w:r>
        <w:rPr>
          <w:rStyle w:val="HideTWBInt"/>
        </w:rPr>
        <w:t>{ESN}</w:t>
      </w:r>
      <w:r>
        <w:t>on behalf of the ESN Group</w:t>
      </w:r>
      <w:r>
        <w:rPr>
          <w:rStyle w:val="HideTWBExt"/>
        </w:rPr>
        <w:t>&lt;/AuNomDe&gt;</w:t>
      </w:r>
    </w:p>
    <w:p>
      <w:pPr>
        <w:pStyle w:val="NormalBold"/>
      </w:pPr>
      <w:r>
        <w:rPr>
          <w:rStyle w:val="HideTWBExt"/>
          <w:b w:val="0"/>
        </w:rPr>
        <w:t>&lt;/By&gt;</w:t>
      </w:r>
      <w:r>
        <w:rPr>
          <w:rStyle w:val="HideTWBExt"/>
          <w:b w:val="0"/>
        </w:rPr>
        <w:t>&lt;/RepeatBlock-By&gt;</w:t>
      </w:r>
    </w:p>
    <w:p>
      <w:pPr>
        <w:pStyle w:val="AmDocTypeTab"/>
      </w:pPr>
      <w:r>
        <w:rPr>
          <w:rStyle w:val="HideTWBExt"/>
        </w:rPr>
        <w:t>&lt;TitreType&gt;</w:t>
      </w:r>
      <w:r>
        <w:t>Report</w:t>
      </w:r>
      <w:r>
        <w:rPr>
          <w:rStyle w:val="HideTWBExt"/>
        </w:rPr>
        <w:t>&lt;/TitreType&gt;</w:t>
      </w:r>
      <w:r>
        <w:tab/>
      </w:r>
      <w:r>
        <w:t>A10-0188/2026</w:t>
      </w:r>
    </w:p>
    <w:p>
      <w:pPr>
        <w:pStyle w:val="NormalBold"/>
      </w:pPr>
      <w:r>
        <w:rPr>
          <w:rStyle w:val="HideTWBExt"/>
        </w:rPr>
        <w:t>&lt;Rapporteur&gt;</w:t>
      </w:r>
      <w:r>
        <w:t>Tonino Picula, Ivars Ijabs</w:t>
      </w:r>
      <w:r>
        <w:rPr>
          <w:rStyle w:val="HideTWBExt"/>
        </w:rPr>
        <w:t>&lt;/Rapporteur&gt;</w:t>
      </w:r>
    </w:p>
    <w:p>
      <w:r>
        <w:rPr>
          <w:rStyle w:val="HideTWBExt"/>
        </w:rPr>
        <w:t>&lt;Titre&gt;</w:t>
      </w:r>
      <w:r>
        <w:t>Programme for agile and rapid defence innovation (AGILE)</w:t>
      </w:r>
      <w:r>
        <w:rPr>
          <w:rStyle w:val="HideTWBExt"/>
        </w:rPr>
        <w:t>&lt;/Titre&gt;</w:t>
      </w:r>
    </w:p>
    <w:p>
      <w:pPr>
        <w:pStyle w:val="Normal12a"/>
      </w:pPr>
      <w:r>
        <w:rPr>
          <w:rStyle w:val="HideTWBExt"/>
        </w:rPr>
        <w:t>&lt;DocRef&gt;</w:t>
      </w:r>
      <w:r>
        <w:t>(COM(2026)0135 – C10-0089/2026 – 2026/0078(COD))</w:t>
      </w:r>
      <w:r>
        <w:rPr>
          <w:rStyle w:val="HideTWBExt"/>
        </w:rPr>
        <w:t>&lt;/DocRef&gt;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The procurement contract of a Member State concerning any defence product resulting from an action supported under the Programme </w:t>
            </w:r>
            <w:r>
              <w:rPr>
                <w:b/>
                <w:i/>
              </w:rPr>
              <w:t>shall</w:t>
            </w:r>
            <w:r>
              <w:t xml:space="preserve"> be considered as a contract awarded in the framework of a cooperative programme based on research and development as referred to in Article 13 (c) of Directive 2009/81/EC [following the adoption of Omnibus directive 2025/0177 (COD)].</w:t>
            </w:r>
          </w:p>
        </w:tc>
        <w:tc>
          <w:tcPr>
            <w:tcW w:w="4876" w:type="dxa"/>
            <w:tcBorders>
              <w:top w:val="nil"/>
              <w:left w:val="nil"/>
              <w:bottom w:val="nil"/>
              <w:right w:val="nil"/>
            </w:tcBorders>
          </w:tcPr>
          <w:p>
            <w:pPr>
              <w:pStyle w:val="Normal6a"/>
            </w:pPr>
            <w:r>
              <w:t xml:space="preserve">The procurement contract of a Member State concerning any defence product resulting from an action supported under the Programme </w:t>
            </w:r>
            <w:r>
              <w:rPr>
                <w:b/>
                <w:i/>
              </w:rPr>
              <w:t>may, at the discretion of the Member State concerned,</w:t>
            </w:r>
            <w:r>
              <w:t xml:space="preserve"> be considered as a contract awarded in the framework of a cooperative programme based on research and development as referred to in Article 13 (c) of Directive 2009/81/EC [following the adoption of Omnibus directive 2025/0177 (COD)].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AM\P10_AMA(2026)0188(016-022)_EN.docx</w:t>
    </w:r>
    <w:r>
      <w:rPr>
        <w:rStyle w:val="HideTWBExt"/>
      </w:rPr>
      <w:t>&lt;/PathFdR&gt;</w:t>
    </w:r>
    <w:r>
      <w:tab/>
    </w:r>
    <w:r>
      <w:tab/>
    </w:r>
    <w:r>
      <w:t>PE</w:t>
    </w:r>
    <w:r>
      <w:rPr>
        <w:rStyle w:val="HideTWBExt"/>
      </w:rPr>
      <w:t>&lt;NoPE&gt;</w:t>
    </w:r>
    <w:r>
      <w:t>788.282</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465045 HideTWBExt;}{\s16\ql \li0\ri0\nowidctlpar\wrapdefault\aspalpha\aspnum\faauto\adjustright\rin0\lin0\itap0 \rtlch\fcs1 \af0\afs20\alang1025 \ltrch\fcs0 &#13;_x000a_\b\fs24\lang2057\langfe2057\cgrid\langnp2057\langfenp2057 \sbasedon0 \snext16 \spriority0 \styrsid8465045 NormalBold;}}{\*\rsidtbl \rsid24658\rsid358857\rsid735077\rsid787282\rsid2892074\rsid3622648\rsid4666813\rsid5708216\rsid6641733\rsid7553164&#13;_x000a_\rsid8465045\rsid8465581\rsid8681905\rsid8721650\rsid8724649\rsid9636012\rsid9862312\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6\dy26\hr20\min40}{\revtim\yr2019\mo6\dy26\hr20\min40}&#13;_x000a_{\version1}{\edmins0}{\nofpages1}{\nofwords13}{\nofchars75}{\*\company European Parliament}{\nofcharsws87}{\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46504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721650 &#13;_x000a_\chftnsep &#13;_x000a_\par }}{\*\ftnsepc \ltrpar \pard\plain \ltrpar\ql \li0\ri0\widctlpar\wrapdefault\aspalpha\aspnum\faauto\adjustright\rin0\lin0\itap0 \rtlch\fcs1 \af0\afs20\alang1025 \ltrch\fcs0 \fs24\lang2057\langfe2057\cgrid\langnp2057\langfenp2057 {\rtlch\fcs1 \af0 &#13;_x000a_\ltrch\fcs0 \insrsid8721650 \chftnsepc &#13;_x000a_\par }}{\*\aftnsep \ltrpar \pard\plain \ltrpar\ql \li0\ri0\widctlpar\wrapdefault\aspalpha\aspnum\faauto\adjustright\rin0\lin0\itap0 \rtlch\fcs1 \af0\afs20\alang1025 \ltrch\fcs0 \fs24\lang2057\langfe2057\cgrid\langnp2057\langfenp2057 {\rtlch\fcs1 \af0 &#13;_x000a_\ltrch\fcs0 \insrsid8721650 \chftnsep &#13;_x000a_\par }}{\*\aftnsepc \ltrpar \pard\plain \ltrpar\ql \li0\ri0\widctlpar\wrapdefault\aspalpha\aspnum\faauto\adjustright\rin0\lin0\itap0 \rtlch\fcs1 \af0\afs20\alang1025 \ltrch\fcs0 \fs24\lang2057\langfe2057\cgrid\langnp2057\langfenp2057 {\rtlch\fcs1 \af0 &#13;_x000a_\ltrch\fcs0 \insrsid872165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nowidctlpar\wrapdefault\aspalpha\aspnum\faauto\adjustright\rin0\lin0\itap0\pararsid8465045 \rtlch\fcs1 \af0\afs20\alang1025 \ltrch\fcs0 \b\fs24\lang2057\langfe2057\cgrid\langnp2057\langfenp2057 {\rtlch\fcs1 \af0 \ltrch\fcs0 &#13;_x000a_\cs15\b0\v\f1\fs20\cf9\lang1024\langfe1024\noproof\insrsid8465045\charrsid14699840 {\*\bkmkstart By}&lt;}{\rtlch\fcs1 \af0 \ltrch\fcs0 \cs15\b0\v\f1\fs20\cf9\lang1024\langfe1024\noproof\insrsid8465045 By&gt;&lt;}{\rtlch\fcs1 \af0 \ltrch\fcs0 &#13;_x000a_\cs15\b0\v\f1\fs20\cf9\lang1024\langfe1024\noproof\insrsid8465045\charrsid14699840 Members&gt;}{\rtlch\fcs1 \af0 \ltrch\fcs0 \insrsid8465045\charrsid14699840 [ZMEMBERS]}{\rtlch\fcs1 \af0 \ltrch\fcs0 &#13;_x000a_\cs15\b0\v\f1\fs20\cf9\lang1024\langfe1024\noproof\insrsid8465045\charrsid14699840 &lt;/Members&gt;}{\rtlch\fcs1 \af0 \ltrch\fcs0 \insrsid8465045\charrsid14699840 &#13;_x000a_\par }\pard\plain \ltrpar\ql \li0\ri0\widctlpar\wrapdefault\aspalpha\aspnum\faauto\adjustright\rin0\lin0\itap0\pararsid8465045 \rtlch\fcs1 \af0\afs20\alang1025 \ltrch\fcs0 \fs24\lang2057\langfe2057\cgrid\langnp2057\langfenp2057 {\rtlch\fcs1 \af0 \ltrch\fcs0 &#13;_x000a_\cs15\v\f1\fs20\cf9\lang1024\langfe1024\noproof\langnp1043\insrsid8465045\charrsid5922106 &lt;AuNomDe&gt;&lt;OptDel&gt;}{\rtlch\fcs1 \af0 \ltrch\fcs0 \lang1024\langfe1024\noproof\langnp1043\insrsid8465045\charrsid5922106 [ZONBEHALF]}{\rtlch\fcs1 \af0 \ltrch\fcs0 &#13;_x000a_\cs15\v\f1\fs20\cf9\lang1024\langfe1024\noproof\langnp1043\insrsid8465045\charrsid5922106 &lt;/OptDel&gt;&lt;/AuNomDe&gt;}{\rtlch\fcs1 \af0 \ltrch\fcs0 \lang1043\langfe2057\langnp1043\insrsid8465045\charrsid5922106 &#13;_x000a_\par }{\rtlch\fcs1 \af0 \ltrch\fcs0 \cs15\v\f1\fs20\cf9\lang1024\langfe1024\noproof\insrsid8465045\charrsid6839579 &lt;/By&gt;}{\rtlch\fcs1 \af0 \ltrch\fcs0 \insrsid24658\charrsid16324206 {\*\bkmkend By}&#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65&#13;_x000a_0893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6452211 HideTWBExt;}{\s16\ql \li0\ri0\nowidctlpar\tqr\tx9072\wrapdefault\aspalpha\aspnum\faauto\adjustright\rin0\lin0\itap0 \rtlch\fcs1 \af0\afs20\alang1025 \ltrch\fcs0 &#13;_x000a_\b\fs24\lang2057\langfe2057\cgrid\langnp2057\langfenp2057 \sbasedon0 \snext16 \spriority0 \styrsid16452211 AmDocTypeTab;}{\s17\ql \li0\ri0\sa240\nowidctlpar\wrapdefault\aspalpha\aspnum\faauto\adjustright\rin0\lin0\itap0 \rtlch\fcs1 \af0\afs20\alang1025 &#13;_x000a_\ltrch\fcs0 \fs24\lang2057\langfe2057\cgrid\langnp2057\langfenp2057 \sbasedon0 \snext17 \spriority0 \styrsid16452211 Normal12a;}{\s18\ql \li-851\ri-851\widctlpar\tqc\tx4535\tqr\tx9921\wrapdefault\aspalpha\aspnum\faauto\adjustright\rin-851\lin-851\itap0 &#13;_x000a_\rtlch\fcs1 \af1\afs20\alang1025 \ltrch\fcs0 \b\f1\fs48\lang2057\langfe2057\cgrid\langnp2057\langfenp2057 \sbasedon0 \snext0 \spriority0 \styrsid16452211 EPFooter2;}{&#13;_x000a_\s19\ql \li0\ri0\nowidctlpar\wrapdefault\aspalpha\aspnum\faauto\adjustright\rin0\lin0\itap0 \rtlch\fcs1 \af0\afs20\alang1025 \ltrch\fcs0 \b\fs24\lang2057\langfe2057\cgrid\langnp2057\langfenp2057 \sbasedon0 \snext19 \spriority0 \styrsid16452211 &#13;_x000a_NormalBold;}{\s20\qr \li0\ri0\sb240\sa240\nowidctlpar\wrapdefault\aspalpha\aspnum\faauto\adjustright\rin0\lin0\itap0 \rtlch\fcs1 \af0\afs20\alang1025 \ltrch\fcs0 \fs24\lang2057\langfe2057\cgrid\langnp2057\langfenp2057 &#13;_x000a_\sbasedon0 \snext20 \spriority0 \styrsid16452211 AmOrLang;}{\s21\ql \li0\ri0\sa120\nowidctlpar\wrapdefault\aspalpha\aspnum\faauto\adjustright\rin0\lin0\itap0 \rtlch\fcs1 \af0\afs20\alang1025 \ltrch\fcs0 &#13;_x000a_\fs24\lang2057\langfe2057\cgrid\langnp2057\langfenp2057 \sbasedon0 \snext21 \spriority0 \styrsid16452211 Normal6a;}{\s22\qc \li0\ri0\sb240\sa240\nowidctlpar\wrapdefault\aspalpha\aspnum\faauto\adjustright\rin0\lin0\itap0 \rtlch\fcs1 \af0\afs20\alang1025 &#13;_x000a_\ltrch\fcs0 \i\fs24\lang2057\langfe2057\cgrid\langnp2057\langfenp2057 \sbasedon0 \snext22 \spriority0 \styrsid16452211 AmCrossRef;}{\s23\qc \li0\ri0\sb240\sa240\keepn\nowidctlpar\wrapdefault\aspalpha\aspnum\faauto\adjustright\rin0\lin0\itap0 \rtlch\fcs1 &#13;_x000a_\af0\afs20\alang1025 \ltrch\fcs0 \i\fs24\lang2057\langfe2057\cgrid\langnp2057\langfenp2057 \sbasedon0 \snext25 \spriority0 \styrsid16452211 AmJustTitle;}{\s24\ql \li0\ri0\nowidctlpar&#13;_x000a_\tqr\tx9072\wrapdefault\aspalpha\aspnum\faauto\adjustright\rin0\lin0\itap0 \rtlch\fcs1 \af0\afs20\alang1025 \ltrch\fcs0 \fs24\lang2057\langfe2057\cgrid\langnp2057\langfenp2057 \sbasedon0 \snext24 \spriority0 \styrsid16452211 AmDateTab;}{&#13;_x000a_\s25\ql \li0\ri0\sa240\nowidctlpar\wrapdefault\aspalpha\aspnum\faauto\adjustright\rin0\lin0\itap0 \rtlch\fcs1 \af0\afs20\alang1025 \ltrch\fcs0 \i\fs24\lang2057\langfe2057\cgrid\langnp2057\langfenp2057 \sbasedon0 \snext25 \spriority0 \styrsid16452211 &#13;_x000a_AmJustText;}{\s26\qc \li0\ri0\sa240\nowidctlpar\wrapdefault\aspalpha\aspnum\faauto\adjustright\rin0\lin0\itap0 \rtlch\fcs1 \af0\afs20\alang1025 \ltrch\fcs0 \i\fs24\lang2057\langfe2057\cgrid\langnp2057\langfenp2057 &#13;_x000a_\sbasedon0 \snext26 \spriority0 \styrsid16452211 AmColumnHeading;}{\s27\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7 \spriority0 \styrsid16452211 AmNumberTabs;}{\s28\ql \li0\ri0\sb240\sa240\nowidctlpar&#13;_x000a_\tqc\tx4535\tqr\tx9071\wrapdefault\aspalpha\aspnum\faauto\adjustright\rin0\lin0\itap0 \rtlch\fcs1 \af0\afs20\alang1025 \ltrch\fcs0 \fs22\lang2057\langfe2057\cgrid\langnp2057\langfenp2057 \sbasedon0 \snext28 \spriority0 \styrsid16452211 EPFooter;}}&#13;_x000a_{\*\rsidtbl \rsid24658\rsid89252\rsid358857\rsid735077\rsid787282\rsid2892074\rsid3622648\rsid4666813\rsid5708216\rsid6641733\rsid7553164\rsid8465581\rsid8681905\rsid8724649\rsid9636012\rsid9862312\rsid11215221\rsid11370291\rsid11434737\rsid11607138&#13;_x000a_\rsid11824949\rsid12154954\rsid14424199\rsid15204470\rsid15285974\rsid15535219\rsid15950462\rsid16324206\rsid16452211\rsid16662270}{\mmathPr\mmathFont34\mbrkBin0\mbrkBinSub0\msmallFrac0\mdispDef1\mlMargin0\mrMargin0\mdefJc1\mwrapIndent1440\mintLim0&#13;_x000a_\mnaryLim1}{\info{\author FELIX Karina}{\operator FELIX Karina}{\creatim\yr2019\mo6\dy26\hr20\min40}{\revtim\yr2019\mo6\dy26\hr20\min40}{\version1}{\edmins0}{\nofpages2}{\nofwords111}{\nofchars634}{\*\company European Parliament}{\nofcharsws744}{\vern97}}&#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aftnnar\noxlattoyen\expshrtn\noultrlspc\dntblnsbdb\nospaceforul\formshade\horzdoc\dghspace180\dgvspace180\dghorigin1701\dgvorigin1984\dghshow0\dgvshow0&#13;_x000a_\jexpand\viewkind1\viewscale100\pgbrdrhead\pgbrdrfoot\nolnhtadjtbl\nojkernpunct\rsidroot1645221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9252 &#13;_x000a_\chftnsep &#13;_x000a_\par }}{\*\ftnsepc \ltrpar \pard\plain \ltrpar\ql \li0\ri0\widctlpar\wrapdefault\aspalpha\aspnum\faauto\adjustright\rin0\lin0\itap0 \rtlch\fcs1 \af0\afs20\alang1025 \ltrch\fcs0 \fs24\lang2057\langfe2057\cgrid\langnp2057\langfenp2057 {\rtlch\fcs1 \af0 &#13;_x000a_\ltrch\fcs0 \insrsid89252 \chftnsepc &#13;_x000a_\par }}{\*\aftnsep \ltrpar \pard\plain \ltrpar\ql \li0\ri0\widctlpar\wrapdefault\aspalpha\aspnum\faauto\adjustright\rin0\lin0\itap0 \rtlch\fcs1 \af0\afs20\alang1025 \ltrch\fcs0 \fs24\lang2057\langfe2057\cgrid\langnp2057\langfenp2057 {\rtlch\fcs1 \af0 &#13;_x000a_\ltrch\fcs0 \insrsid89252 \chftnsep &#13;_x000a_\par }}{\*\aftnsepc \ltrpar \pard\plain \ltrpar\ql \li0\ri0\widctlpar\wrapdefault\aspalpha\aspnum\faauto\adjustright\rin0\lin0\itap0 \rtlch\fcs1 \af0\afs20\alang1025 \ltrch\fcs0 \fs24\lang2057\langfe2057\cgrid\langnp2057\langfenp2057 {\rtlch\fcs1 \af0 &#13;_x000a_\ltrch\fcs0 \insrsid89252 \chftnsepc &#13;_x000a_\par }}\ltrpar \sectd \ltrsect\psz9\linex0\headery1134\footery567\sectlinegrid326\sectdefaultcl\sectrsid4791376\sftnbj\saftnnar\sftnrestart {\footerr \ltrpar \pard\plain \ltrpar\s28\ql \li0\ri0\sb240\sa240\nowidctlpar&#13;_x000a_\tqc\tx4535\tqr\tx9071\wrapdefault\aspalpha\aspnum\faauto\adjustright\rin0\lin0\itap0\pararsid11812909 \rtlch\fcs1 \af0\afs20\alang1025 \ltrch\fcs0 \fs22\lang2057\langfe2057\cgrid\langnp2057\langfenp2057 {\rtlch\fcs1 \af0 \ltrch\fcs0 &#13;_x000a_\cs15\v\f1\fs20\cf9\lang1024\langfe1024\noproof\insrsid16452211 &lt;PathFdR&gt;}{\rtlch\fcs1 \af0 \ltrch\fcs0 \insrsid16452211 [ZPATH]}{\rtlch\fcs1 \af0 \ltrch\fcs0 \cs15\v\f1\fs20\cf9\lang1024\langfe1024\noproof\insrsid16452211 &lt;/PathFdR&gt;}{\rtlch\fcs1 \af0 &#13;_x000a_\ltrch\fcs0 \insrsid16452211 \tab \tab PE}{\rtlch\fcs1 \af0 \ltrch\fcs0 \cs15\v\f1\fs20\cf9\lang1024\langfe1024\noproof\insrsid16452211 &lt;NoPE&gt;}{\rtlch\fcs1 \af0 \ltrch\fcs0 \insrsid16452211 [ZNRPE]}{\rtlch\fcs1 \af0 \ltrch\fcs0 &#13;_x000a_\cs15\v\f1\fs20\cf9\lang1024\langfe1024\noproof\insrsid16452211 &lt;/NoPE&gt;&lt;Version&gt;}{\rtlch\fcs1 \af0 \ltrch\fcs0 \insrsid16452211 [ZNRV]}{\rtlch\fcs1 \af0 \ltrch\fcs0 \cs15\v\f1\fs20\cf9\lang1024\langfe1024\noproof\insrsid16452211 &lt;/Version&gt;}{\rtlch\fcs1 &#13;_x000a_\af0 \ltrch\fcs0 \insrsid16452211 &#13;_x000a_\par }\pard\plain \ltrpar\s18\ql \li-851\ri-851\widctlpar\tqc\tx4535\tqr\tx9921\wrapdefault\aspalpha\aspnum\faauto\adjustright\rin-851\lin-851\itap0\pararsid11740041 \rtlch\fcs1 \af1\afs20\alang1025 \ltrch\fcs0 &#13;_x000a_\b\f1\fs48\lang2057\langfe2057\cgrid\langnp2057\langfenp2057 {\field{\*\fldinst {\rtlch\fcs1 \af1 \ltrch\fcs0 \insrsid16452211  DOCPROPERTY &quot;&lt;Extension&gt;&quot; }}{\fldrslt {\rtlch\fcs1 \af1 \ltrch\fcs0 \insrsid16452211 XX}}}\sectd \ltrsect&#13;_x000a_\linex0\endnhere\sectdefaultcl\sftnbj {\rtlch\fcs1 \af1 \ltrch\fcs0 \insrsid16452211\charrsid5530783 \tab }{\rtlch\fcs1 \af1\afs22 \ltrch\fcs0 \b0\i\fs22\cf16\insrsid16452211\charrsid10767834 #(STD@_Motto#}{\rtlch\fcs1 \af1 \ltrch\fcs0 &#13;_x000a_\insrsid16452211\charrsid5530783 \tab }{\field{\*\fldinst {\rtlch\fcs1 \af1 \ltrch\fcs0 \insrsid16452211  DOCPROPERTY &quot;&lt;Extension&gt;&quot; }}{\fldrslt {\rtlch\fcs1 \af1 \ltrch\fcs0 \insrsid16452211 XX}}}\sectd \ltrsect\linex0\endnhere\sectdefaultcl\sftnbj {&#13;_x000a_\rtlch\fcs1 \af1 \ltrch\fcs0 \insrsid16452211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nowidctlpar&#13;_x000a_\tqr\tx9072\wrapdefault\aspalpha\aspnum\faauto\adjustright\rin0\lin0\itap0\pararsid16452211 \rtlch\fcs1 \af0\afs20\alang1025 \ltrch\fcs0 \fs24\lang2057\langfe2057\cgrid\langnp2057\langfenp2057 {\rtlch\fcs1 \af0 \ltrch\fcs0 &#13;_x000a_\cs15\v\f1\fs20\cf9\lang1024\langfe1024\noproof\insrsid16452211\charrsid14699840 {\*\bkmkstart restart}&lt;Amend&gt;&lt;Date&gt;}{\rtlch\fcs1 \af0 \ltrch\fcs0 \lang1024\langfe1024\noproof\insrsid16452211\charrsid14699840 [ZDATE]}{\rtlch\fcs1 \af0 \ltrch\fcs0 &#13;_x000a_\cs15\v\f1\fs20\cf9\lang1024\langfe1024\noproof\insrsid16452211\charrsid14699840 &lt;/Date&gt;}{\rtlch\fcs1 \af0 \ltrch\fcs0 \lang1024\langfe1024\noproof\insrsid16452211\charrsid14699840 \tab }{\rtlch\fcs1 \af0 \ltrch\fcs0 &#13;_x000a_\cs15\v\f1\fs20\cf9\lang1024\langfe1024\noproof\insrsid16452211\charrsid14699840 &lt;ANo&gt;}{\rtlch\fcs1 \af0 \ltrch\fcs0 \lang1024\langfe1024\noproof\insrsid16452211\charrsid14699840 [ZNRA]}{\rtlch\fcs1 \af0 \ltrch\fcs0 &#13;_x000a_\cs15\v\f1\fs20\cf9\lang1024\langfe1024\noproof\insrsid16452211\charrsid14699840 &lt;/ANo&gt;}{\rtlch\fcs1 \af0 \ltrch\fcs0 \lang1024\langfe1024\noproof\insrsid16452211\charrsid14699840 /}{\rtlch\fcs1 \af0 \ltrch\fcs0 &#13;_x000a_\cs15\v\f1\fs20\cf9\lang1024\langfe1024\noproof\insrsid16452211\charrsid14699840 &lt;NumAm&gt;}{\rtlch\fcs1 \af0 \ltrch\fcs0 \lang1024\langfe1024\noproof\insrsid16452211\charrsid14699840 [ZNRAM]}{\rtlch\fcs1 \af0 \ltrch\fcs0 &#13;_x000a_\cs15\v\f1\fs20\cf9\lang1024\langfe1024\noproof\insrsid16452211\charrsid14699840 &lt;/NumAm&gt;}{\rtlch\fcs1 \af0 \ltrch\fcs0 \lang1024\langfe1024\noproof\insrsid16452211\charrsid14699840 &#13;_x000a_\par }\pard\plain \ltrpar\s27\ql \li0\ri0\sb240\nowidctlpar&#13;_x000a_\tx879\tx936\tx1021\tx1077\tx1134\tx1191\tx1247\tx1304\tx1361\tx1418\tx1474\tx1531\tx1588\tx1644\tx1701\tx1758\tx1814\tx1871\tx2070\tx2126\tx3374\tx3430\wrapdefault\aspalpha\aspnum\faauto\adjustright\rin0\lin0\itap0\pararsid16452211 \rtlch\fcs1 &#13;_x000a_\af0\afs20\alang1025 \ltrch\fcs0 \b\fs24\lang2057\langfe2057\cgrid\langnp2057\langfenp2057 {\rtlch\fcs1 \af0 \ltrch\fcs0 \insrsid16452211\charrsid14699840 [ZDOCTYPE]\tab \tab }{\rtlch\fcs1 \af0 \ltrch\fcs0 &#13;_x000a_\cs15\b0\v\f1\fs20\cf9\insrsid16452211\charrsid14699840 &lt;NumAm&gt;}{\rtlch\fcs1 \af0 \ltrch\fcs0 \insrsid16452211\charrsid14699840 [ZNRAM]}{\rtlch\fcs1 \af0 \ltrch\fcs0 \cs15\b0\v\f1\fs20\cf9\insrsid16452211\charrsid14699840 &lt;/NumAm&gt;}{\rtlch\fcs1 \af0 &#13;_x000a_\ltrch\fcs0 \insrsid16452211\charrsid14699840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insrsid16452211\charrsid14699840 &lt;RepeatBlock-By&gt;}{\rtlch\fcs1 \af0 \ltrch\fcs0 \lang1024\langfe1024\noproof\insrsid16452211\charrsid14699840 [RepeatMembers]}{\rtlch\fcs1 \af0 \ltrch\fcs0 &#13;_x000a_\cs15\b0\v\f1\fs20\cf9\lang1024\langfe1024\noproof\insrsid16452211\charrsid14699840 {\*\bkmkstart By}&lt;}{\rtlch\fcs1 \af0 \ltrch\fcs0 \cs15\b0\v\f1\fs20\cf9\lang1024\langfe1024\noproof\insrsid16452211 By&gt;&lt;}{\rtlch\fcs1 \af0 \ltrch\fcs0 &#13;_x000a_\cs15\b0\v\f1\fs20\cf9\lang1024\langfe1024\noproof\insrsid16452211\charrsid14699840 Members&gt;}{\rtlch\fcs1 \af0 \ltrch\fcs0 \insrsid16452211\charrsid14699840 [ZMEMBERS]}{\rtlch\fcs1 \af0 \ltrch\fcs0 &#13;_x000a_\cs15\b0\v\f1\fs20\cf9\lang1024\langfe1024\noproof\insrsid16452211\charrsid14699840 &lt;/Members&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43\insrsid16452211\charrsid5922106 &lt;AuNomDe&gt;&lt;OptDel&gt;}{\rtlch\fcs1 \af0 \ltrch\fcs0 \lang1024\langfe1024\noproof\langnp1043\insrsid16452211\charrsid5922106 [ZONBEHALF]}{\rtlch\fcs1 \af0 \ltrch\fcs0 &#13;_x000a_\cs15\v\f1\fs20\cf9\lang1024\langfe1024\noproof\langnp1043\insrsid16452211\charrsid5922106 &lt;/OptDel&gt;&lt;/AuNomDe&gt;}{\rtlch\fcs1 \af0 \ltrch\fcs0 \lang1043\langfe2057\langnp1043\insrsid16452211\charrsid5922106 &#13;_x000a_\par }{\rtlch\fcs1 \af0 \ltrch\fcs0 \cs15\v\f1\fs20\cf9\lang1024\langfe1024\noproof\insrsid16452211\charrsid6839579 &lt;/By&gt;}{\rtlch\fcs1 \af0 \ltrch\fcs0 \insrsid16452211\charrsid14699840 {\*\bkmkend By}&lt;&lt;&lt;}{\rtlch\fcs1 \af0 \ltrch\fcs0 &#13;_x000a_\cs15\v\f1\fs20\cf9\lang1024\langfe1024\noproof\insrsid16452211\charrsid14699840 &lt;/RepeatBlock-By&gt;}{\rtlch\fcs1 \af0 \ltrch\fcs0 \insrsid16452211\charrsid14699840 &#13;_x000a_\par }\pard\plain \ltrpar\s16\ql \li0\ri0\nowidctlpar\tqr\tx9072\wrapdefault\aspalpha\aspnum\faauto\adjustright\rin0\lin0\itap0\pararsid16452211 \rtlch\fcs1 \af0\afs20\alang1025 \ltrch\fcs0 \b\fs24\lang2057\langfe2057\cgrid\langnp2057\langfenp2057 {&#13;_x000a_\rtlch\fcs1 \af0 \ltrch\fcs0 \cs15\b0\v\f1\fs20\cf9\lang1024\langfe1024\noproof\insrsid16452211\charrsid14699840 &lt;TitreType&gt;}{\rtlch\fcs1 \af0 \ltrch\fcs0 \insrsid16452211\charrsid14699840 [ZAMENDDOCTYPE]}{\rtlch\fcs1 \af0 \ltrch\fcs0 &#13;_x000a_\cs15\b0\v\f1\fs20\cf9\lang1024\langfe1024\noproof\insrsid16452211\charrsid14699840 &lt;/TitreType&gt;}{\rtlch\fcs1 \af0 \ltrch\fcs0 \lang1024\langfe1024\noproof\insrsid16452211\charrsid14699840 \tab [ZNRA]/[ZDOCYEAR]&#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Rapporteur&gt;}{\rtlch\fcs1 \af0 \ltrch\fcs0 \lang1024\langfe1024\noproof\langnp1036\insrsid16452211\charrsid6839579 [ZAUTHORNAME]}{\rtlch\fcs1 \af0 &#13;_x000a_\ltrch\fcs0 \cs15\b0\v\f1\fs20\cf9\lang1024\langfe1024\noproof\langnp1036\insrsid16452211\charrsid6839579 &lt;/Rapporteur&gt;}{\rtlch\fcs1 \af0 \ltrch\fcs0 \lang1024\langfe1024\noproof\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24\langfe1024\noproof\langnp1036\insrsid16452211\charrsid6839579 &lt;Titre&gt;}{\rtlch\fcs1 \af0 \ltrch\fcs0 \lang1024\langfe1024\noproof\langnp1036\insrsid16452211\charrsid6839579 [ZTITLE]}{\rtlch\fcs1 \af0 \ltrch\fcs0 &#13;_x000a_\cs15\v\f1\fs20\cf9\lang1024\langfe1024\noproof\langnp1036\insrsid16452211\charrsid6839579 &lt;/Titre&gt;}{\rtlch\fcs1 \af0 \ltrch\fcs0 \lang1036\langfe2057\langnp1036\insrsid16452211\charrsid6839579 &#13;_x000a_\par }\pard\plain \ltrpar\s17\ql \li0\ri0\sa240\nowidctlpar\wrapdefault\aspalpha\aspnum\faauto\adjustright\rin0\lin0\itap0\pararsid16452211 \rtlch\fcs1 \af0\afs20\alang1025 \ltrch\fcs0 \fs24\lang2057\langfe2057\cgrid\langnp2057\langfenp2057 {\rtlch\fcs1 \af0 &#13;_x000a_\ltrch\fcs0 \cs15\v\f1\fs20\cf9\lang1024\langfe1024\noproof\langnp1036\insrsid16452211\charrsid6839579 &lt;DocRef&gt;}{\rtlch\fcs1 \af0 \ltrch\fcs0 \lang1036\langfe2057\langnp1036\insrsid16452211\charrsid6839579 [ZDOCREF]}{\rtlch\fcs1 \af0 \ltrch\fcs0 &#13;_x000a_\cs15\v\f1\fs20\cf9\lang1024\langfe1024\noproof\langnp1036\insrsid16452211\charrsid6839579 &lt;/DocRef&gt;}{\rtlch\fcs1 \af0 \ltrch\fcs0 \lang1036\langfe2057\langnp1036\insrsid16452211\charrsid6839579 &#13;_x000a_\par }\pard\plain \ltrpar\s19\ql \li0\ri0\nowidctlpar\wrapdefault\aspalpha\aspnum\faauto\adjustright\rin0\lin0\itap0\pararsid16452211 \rtlch\fcs1 \af0\afs20\alang1025 \ltrch\fcs0 \b\fs24\lang2057\langfe2057\cgrid\langnp2057\langfenp2057 {\rtlch\fcs1 \af0 &#13;_x000a_\ltrch\fcs0 \cs15\b0\v\f1\fs20\cf9\lang1024\langfe1024\noproof\langnp1036\insrsid16452211\charrsid6839579 &lt;DocAmend&gt;}{\rtlch\fcs1 \af0 \ltrch\fcs0 \lang1036\langfe2057\langnp1036\insrsid16452211\charrsid6839579 [ZAMDOC][ZAMACT]}{\rtlch\fcs1 \af0 &#13;_x000a_\ltrch\fcs0 \cs15\b0\v\f1\fs20\cf9\lang1024\langfe1024\noproof\langnp1036\insrsid16452211\charrsid6839579 &lt;/DocAmend&gt;}{\rtlch\fcs1 \af0 \ltrch\fcs0 \lang1036\langfe2057\langnp1036\insrsid16452211\charrsid6839579 &#13;_x000a_\par }{\rtlch\fcs1 \af0 \ltrch\fcs0 \cs15\b0\v\f1\fs20\cf9\lang1024\langfe1024\noproof\langnp1036\insrsid16452211\charrsid6839579 &lt;Article&gt;}{\rtlch\fcs1 \af0 \ltrch\fcs0 \lang1036\langfe2057\langnp1036\insrsid16452211\charrsid6839579 [ZAMPART]}{\rtlch\fcs1 &#13;_x000a_\af0 \ltrch\fcs0 \cs15\b0\v\f1\fs20\cf9\lang1024\langfe1024\noproof\langnp1036\insrsid16452211\charrsid6839579 &lt;/Article&gt;}{\rtlch\fcs1 \af0 \ltrch\fcs0 \lang1036\langfe2057\langnp1036\insrsid16452211\charrsid6839579 &#13;_x000a_\par }\pard\plain \ltrpar\ql \li0\ri0\widctlpar\wrapdefault\aspalpha\aspnum\faauto\adjustright\rin0\lin0\itap0\pararsid16452211 \rtlch\fcs1 \af0\afs20\alang1025 \ltrch\fcs0 \fs24\lang2057\langfe2057\cgrid\langnp2057\langfenp2057 {\rtlch\fcs1 \af0 \ltrch\fcs0 &#13;_x000a_\cs15\v\f1\fs20\cf9\lang1036\langfe2057\langnp1036\insrsid16452211\charrsid6839579 &lt;DocAmend2&gt;&lt;OptDel&gt;}{\rtlch\fcs1 \af0 \ltrch\fcs0 \lang1036\langfe2057\langnp1036\insrsid16452211\charrsid6839579 [ZNRACT]}{\rtlch\fcs1 \af0 \ltrch\fcs0 &#13;_x000a_\cs15\v\f1\fs20\cf9\lang1036\langfe2057\langnp1036\insrsid16452211\charrsid6839579 &lt;/OptDel&gt;&lt;/DocAmend2&gt;}{\rtlch\fcs1 \af0 \ltrch\fcs0 \lang1036\langfe2057\langnp1036\insrsid16452211\charrsid6839579 &#13;_x000a_\par }{\rtlch\fcs1 \af0 \ltrch\fcs0 \cs15\v\f1\fs20\cf9\lang1036\langfe2057\langnp1036\insrsid16452211\charrsid6839579 &lt;Article2&gt;&lt;OptDel&gt;}{\rtlch\fcs1 \af0 \ltrch\fcs0 \lang1036\langfe2057\langnp1036\insrsid16452211\charrsid6839579 [ZACTPART]}{\rtlch\fcs1 &#13;_x000a_\af0 \ltrch\fcs0 \cs15\v\f1\fs20\cf9\lang1036\langfe2057\langnp1036\insrsid16452211\charrsid6839579 &lt;/OptDel&gt;&lt;/Article2&gt;}{\rtlch\fcs1 \af0 \ltrch\fcs0 \lang1036\langfe2057\langnp1036\insrsid16452211\charrsid6839579 &#13;_x000a_\par \ltrrow}\trowd \irow0\irowband0\ltrrow\ts11\trqc\trgaph340\trleft-340\trftsWidth3\trwWidth9752\trftsWidthB3\trpaddl340\trpaddr340\trpaddfl3\trpaddft3\trpaddfb3\trpaddfr3\tblrsid9389144\tblind0\tblindtype3 \clvertalt\clbrdrt\brdrtbl \clbrdrl\brdrtbl &#13;_x000a_\clbrdrb\brdrtbl \clbrdrr\brdrtbl \cltxlrtb\clftsWidth3\clwWidth9752\clshdrawnil \cellx9412\pard\plain \ltrpar\ql \li0\ri0\keepn\widctlpar\intbl\wrapdefault\aspalpha\aspnum\faauto\adjustright\rin0\lin0\pararsid3097865 \rtlch\fcs1 \af0\afs20\alang1025 &#13;_x000a_\ltrch\fcs0 \fs24\lang2057\langfe2057\cgrid\langnp2057\langfenp2057 {\rtlch\fcs1 \af0 \ltrch\fcs0 \lang1036\langfe2057\langnp1036\insrsid16452211\charrsid6839579 \cell }\pard\plain \ltrpar&#13;_x000a_\ql \li0\ri0\widctlpar\intbl\wrapdefault\aspalpha\aspnum\faauto\adjustright\rin0\lin0 \rtlch\fcs1 \af0\afs20\alang1025 \ltrch\fcs0 \fs24\lang2057\langfe2057\cgrid\langnp2057\langfenp2057 {\rtlch\fcs1 \af0 \ltrch\fcs0 &#13;_x000a_\lang1036\langfe2057\langnp1036\insrsid16452211\charrsid6839579 \trowd \irow0\irowband0\ltrrow&#13;_x000a_\ts11\trqc\trgaph340\trleft-340\trftsWidth3\trwWidth9752\trftsWidthB3\trpaddl340\trpaddr340\trpaddfl3\trpaddft3\trpaddfb3\trpaddfr3\tblrsid9389144\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6\qc \li0\ri0\sa240\keepn\nowidctlpar\intbl\wrapdefault\aspalpha\aspnum\faauto\adjustright\rin0\lin0\pararsid3097865 \rtlch\fcs1 \af0\afs20\alang1025 \ltrch\fcs0 \i\fs24\lang2057\langfe2057\cgrid\langnp2057\langfenp2057 {\rtlch\fcs1 \af0 \ltrch\fcs0 &#13;_x000a_\insrsid16452211\charrsid14699840 [ZLEFT]\cell [ZRIGHT]\cell }\pard\plain \ltrpar\ql \li0\ri0\widctlpar\intbl\wrapdefault\aspalpha\aspnum\faauto\adjustright\rin0\lin0 \rtlch\fcs1 \af0\afs20\alang1025 \ltrch\fcs0 &#13;_x000a_\fs24\lang2057\langfe2057\cgrid\langnp2057\langfenp2057 {\rtlch\fcs1 \af0 \ltrch\fcs0 \insrsid16452211\charrsid14699840 \trowd \irow1\irowband1\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21\ql \li0\ri0\sa120\nowidctlpar\intbl\wrapdefault\aspalpha\aspnum\faauto\adjustright\rin0\lin0\pararsid9389144 \rtlch\fcs1 \af0\afs20\alang1025 \ltrch\fcs0 \fs24\lang2057\langfe2057\cgrid\langnp2057\langfenp2057 {\rtlch\fcs1 \af0 \ltrch\fcs0 &#13;_x000a_\insrsid16452211\charrsid14699840 [ZTEXTL]\cell [ZTEXTR]}{\rtlch\fcs1 \af0\afs24 \ltrch\fcs0 \insrsid16452211\charrsid14699840 \cell }\pard\plain \ltrpar\ql \li0\ri0\widctlpar\intbl\wrapdefault\aspalpha\aspnum\faauto\adjustright\rin0\lin0 \rtlch\fcs1 &#13;_x000a_\af0\afs20\alang1025 \ltrch\fcs0 \fs24\lang2057\langfe2057\cgrid\langnp2057\langfenp2057 {\rtlch\fcs1 \af0 \ltrch\fcs0 \insrsid16452211\charrsid14699840 \trowd \irow2\irowband2\lastrow \ltrrow&#13;_x000a_\ts11\trqc\trgaph340\trleft-340\trftsWidth3\trwWidth9752\trftsWidthB3\trpaddl340\trpaddr340\trpaddfl3\trpaddft3\trpaddfb3\trpaddfr3\tblrsid9389144\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0\qr \li0\ri0\sb240\sa240\nowidctlpar\wrapdefault\aspalpha\aspnum\faauto\adjustright\rin0\lin0\itap0\pararsid16452211 \rtlch\fcs1 \af0\afs20\alang1025 \ltrch\fcs0 \fs24\lang2057\langfe2057\cgrid\langnp2057\langfenp2057 {\rtlch\fcs1 \af0 \ltrch\fcs0 &#13;_x000a_\insrsid16452211\charrsid14699840 Or. }{\rtlch\fcs1 \af0 \ltrch\fcs0 \cs15\v\f1\fs20\cf9\lang1024\langfe1024\noproof\insrsid16452211\charrsid14699840 &lt;Original&gt;}{\rtlch\fcs1 \af0 \ltrch\fcs0 \insrsid16452211\charrsid14699840 [ZORLANG]}{\rtlch\fcs1 \af0 &#13;_x000a_\ltrch\fcs0 \cs15\v\f1\fs20\cf9\lang1024\langfe1024\noproof\insrsid16452211\charrsid14699840 &lt;/Original&gt;}{\rtlch\fcs1 \af0 \ltrch\fcs0 \insrsid16452211\charrsid14699840 &#13;_x000a_\par }\pard\plain \ltrpar\s22\qc \li0\ri0\sb240\sa240\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OptDel&gt;}{\rtlch\fcs1 \af0 \ltrch\fcs0 \insrsid16452211\charrsid14699840 [ZCROSSREF]}{\rtlch\fcs1 \af0 \ltrch\fcs0 &#13;_x000a_\cs15\i0\v\f1\fs20\cf9\lang1024\langfe1024\noproof\insrsid16452211\charrsid14699840 &lt;/OptDel&gt;}{\rtlch\fcs1 \af0 \ltrch\fcs0 \insrsid16452211\charrsid14699840 &#13;_x000a_\par }\pard\plain \ltrpar\s23\qc \li0\ri0\sb240\sa240\keepn\nowidctlpar\wrapdefault\aspalpha\aspnum\faauto\adjustright\rin0\lin0\itap0\pararsid16452211 \rtlch\fcs1 \af0\afs20\alang1025 \ltrch\fcs0 \i\fs24\lang2057\langfe2057\cgrid\langnp2057\langfenp2057 {&#13;_x000a_\rtlch\fcs1 \af0 \ltrch\fcs0 \cs15\i0\v\f1\fs20\cf9\lang1024\langfe1024\noproof\insrsid16452211\charrsid14699840 &lt;TitreJust&gt;}{\rtlch\fcs1 \af0 \ltrch\fcs0 \insrsid16452211\charrsid14699840 [ZJUSTIFICATION]}{\rtlch\fcs1 \af0 \ltrch\fcs0 &#13;_x000a_\cs15\i0\v\f1\fs20\cf9\lang1024\langfe1024\noproof\insrsid16452211\charrsid14699840 &lt;/TitreJust&gt;}{\rtlch\fcs1 \af0 \ltrch\fcs0 \insrsid16452211\charrsid14699840 &#13;_x000a_\par }\pard\plain \ltrpar\s25\ql \li0\ri0\sa240\nowidctlpar\wrapdefault\aspalpha\aspnum\faauto\adjustright\rin0\lin0\itap0\pararsid16452211 \rtlch\fcs1 \af0\afs20\alang1025 \ltrch\fcs0 \i\fs24\lang2057\langfe2057\cgrid\langnp2057\langfenp2057 {\rtlch\fcs1 &#13;_x000a_\af0 \ltrch\fcs0 \cs15\i0\v\f1\fs20\cf9\lang1024\langfe1024\noproof\insrsid16452211\charrsid14699840 &lt;OptDelPrev&gt;}{\rtlch\fcs1 \af0 \ltrch\fcs0 \insrsid16452211\charrsid14699840 [ZTEXTJUST]}{\rtlch\fcs1 \af0 \ltrch\fcs0 &#13;_x000a_\cs15\i0\v\f1\fs20\cf9\lang1024\langfe1024\noproof\insrsid16452211\charrsid14699840 &lt;/OptDelPrev&gt;}{\rtlch\fcs1 \af0 \ltrch\fcs0 \insrsid16452211\charrsid14699840 &#13;_x000a_\par }\pard\plain \ltrpar\ql \li0\ri0\widctlpar\wrapdefault\aspalpha\aspnum\faauto\adjustright\rin0\lin0\itap0\pararsid16452211 \rtlch\fcs1 \af0\afs20\alang1025 \ltrch\fcs0 \fs24\lang2057\langfe2057\cgrid\langnp2057\langfenp2057 {\rtlch\fcs1 \af0 \ltrch\fcs0 &#13;_x000a_\lang1024\langfe1024\noproof\insrsid16452211\charrsid14699840 \sect }\sectd \ltrsect\psz9\linex0\headery1134\footery505\endnhere\titlepg\sectdefaultcl\sectrsid14424199\sftnbj\sftnrestart \pard\plain \ltrpar&#13;_x000a_\ql \li0\ri0\widctlpar\wrapdefault\aspalpha\aspnum\faauto\adjustright\rin0\lin0\itap0\pararsid16452211 \rtlch\fcs1 \af0\afs20\alang1025 \ltrch\fcs0 \fs24\lang2057\langfe2057\cgrid\langnp2057\langfenp2057 {\rtlch\fcs1 \af0 \ltrch\fcs0 &#13;_x000a_\cs15\v\f1\fs20\cf9\lang1024\langfe1024\noproof\insrsid16452211\charrsid14699840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8f&#13;_x000a_84924e2c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pPr>
    <w:rPr>
      <w:b/>
    </w:rPr>
  </w:style>
  <w:style w:type="paragraph" w:styleId="TOCHeading">
    <w:name w:val="TOC Heading"/>
    <w:basedOn w:val="Normal"/>
    <w:next w:val="Normal"/>
    <w:uiPriority w:val="39"/>
    <w:unhideWhenUsed/>
    <w:qFormat/>
    <w:rsid w:val="000200DD"/>
    <w:pPr>
      <w:keepLines/>
      <w:widowControl/>
      <w:spacing w:after="240"/>
      <w:outlineLvl w:val="9"/>
    </w:pPr>
    <w:rPr>
      <w:b/>
      <w:color w:val="2E74B5"/>
      <w:sz w:val="32"/>
      <w:shd w:val="pct50" w:color="auto" w:fill="auto" w:themeColor="accent1" w:themeFill="accent1"/>
    </w:rPr>
  </w:style>
  <w:style w:type="paragraph" w:customStyle="1" w:styleId="Normal12a">
    <w:name w:val="Normal12a"/>
    <w:basedOn w:val="Normal"/>
    <w:pPr>
      <w:widowControl/>
      <w:spacing w:after="240"/>
    </w:pPr>
  </w:style>
  <w:style w:type="character" w:customStyle="1" w:styleId="HideTWBExt">
    <w:name w:val="HideTWBExt"/>
    <w:rPr>
      <w:rFonts w:ascii="Arial" w:hAnsi="Arial"/>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FooterChar">
    <w:name w:val="Footer Char"/>
    <w:rPr>
      <w:sz w:val="24"/>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Pages>
  <Words>1417</Words>
  <Characters>8354</Characters>
  <Application>Microsoft Office Word</Application>
  <DocSecurity>0</DocSecurity>
  <Lines>1</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_</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634551</vt:lpwstr>
  </property>
  <property fmtid="{D5CDD505-2E9C-101B-9397-08002B2CF9AE}" pid="7" name="dmxml.render.traceId">
    <vt:lpwstr>6abd14fc5ffdedf513c141b2a7540a95</vt:lpwstr>
  </property>
  <property fmtid="{D5CDD505-2E9C-101B-9397-08002B2CF9AE}" pid="8" name="FooterPath">
    <vt:lpwstr>AM\P10_AMA(2026)0188(016-022)_EN.docx</vt:lpwstr>
  </property>
  <property fmtid="{D5CDD505-2E9C-101B-9397-08002B2CF9AE}" pid="9" name="PE Number">
    <vt:lpwstr>788.282</vt:lpwstr>
  </property>
  <property fmtid="{D5CDD505-2E9C-101B-9397-08002B2CF9AE}" pid="10" name="UID">
    <vt:lpwstr>eu.europa.europarl-DIN1-2026-0000257946_01.00-en-01.00_text-xml</vt:lpwstr>
  </property>
</Properties>
</file>