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A10-0225</w:t>
      </w:r>
      <w:r>
        <w:rPr>
          <w:rStyle w:val="HideTWBExt"/>
        </w:rPr>
        <w:t>&lt;/ANo&gt;</w:t>
      </w:r>
      <w:r>
        <w:t>/</w:t>
      </w:r>
      <w:r>
        <w:rPr>
          <w:rStyle w:val="HideTWBExt"/>
        </w:rPr>
        <w:t>&lt;NumAm&gt;</w:t>
      </w:r>
      <w:r>
        <w:t>1</w:t>
      </w:r>
      <w:r>
        <w:rPr>
          <w:rStyle w:val="HideTWBExt"/>
        </w:rPr>
        <w:t>&lt;/NumAm&gt;</w:t>
      </w:r>
    </w:p>
    <w:p>
      <w:pPr>
        <w:pStyle w:val="AmNumberTabs"/>
      </w:pP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Anthony Smith</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A10-0225/2026</w:t>
      </w:r>
    </w:p>
    <w:p>
      <w:pPr>
        <w:pStyle w:val="NormalBold"/>
      </w:pPr>
      <w:r>
        <w:rPr>
          <w:rStyle w:val="HideTWBExt"/>
        </w:rPr>
        <w:t>&lt;Rapporteur&gt;</w:t>
      </w:r>
      <w:r>
        <w:t>Estelle Ceulemans</w:t>
      </w:r>
      <w:r>
        <w:rPr>
          <w:rStyle w:val="HideTWBExt"/>
        </w:rPr>
        <w:t>&lt;/Rapporteur&gt;</w:t>
      </w:r>
    </w:p>
    <w:p>
      <w:r>
        <w:rPr>
          <w:rStyle w:val="HideTWBExt"/>
        </w:rPr>
        <w:t>&lt;Titre&gt;</w:t>
      </w:r>
      <w:r>
        <w:t>Psychosocial risks, stress and mental health at work</w:t>
      </w:r>
      <w:r>
        <w:rPr>
          <w:rStyle w:val="HideTWBExt"/>
        </w:rPr>
        <w:t>&lt;/Titre&gt;</w:t>
      </w:r>
    </w:p>
    <w:p>
      <w:pPr>
        <w:pStyle w:val="Normal12a"/>
      </w:pPr>
      <w:r>
        <w:rPr>
          <w:rStyle w:val="HideTWBExt"/>
        </w:rPr>
        <w:t>&lt;DocRef&gt;</w:t>
      </w:r>
      <w:r>
        <w:t>(2026/2023(INL))</w:t>
      </w:r>
      <w:r>
        <w:rPr>
          <w:rStyle w:val="HideTWBExt"/>
        </w:rPr>
        <w:t>&lt;/DocRef&gt;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for the legislative proposal to ensure, in accordance with ILO Convention No 81 and respecting national inspection systems, that labour inspectorates have the necessary powers to monitor compliance with obligations regarding psychosocial risks; notes that these powers include, in particular, access to risk assessments, data on workload and staffing levels, as well as surveillance and algorithmic management systems, the right to interview workers confidentially, and the power to order corrective measures within set timeframes; calls on Member States to provide for effective, proportionate and dissuasive sanctions and to equip their inspectorates with sufficient staff and expertise;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default" r:id="rId4"/>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AM\P10_AMA(2026)0225(001-001)_EN.docx</w:t>
    </w:r>
    <w:r>
      <w:rPr>
        <w:rStyle w:val="HideTWBExt"/>
      </w:rPr>
      <w:t>&lt;/PathFdR&gt;</w:t>
    </w:r>
    <w:r>
      <w:tab/>
    </w:r>
    <w:r>
      <w:tab/>
    </w:r>
    <w:r>
      <w:t>PE</w:t>
    </w:r>
    <w:r>
      <w:rPr>
        <w:rStyle w:val="HideTWBExt"/>
      </w:rPr>
      <w:t>&lt;NoPE&gt;</w:t>
    </w:r>
    <w:r>
      <w:t>788.290</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138</Words>
  <Characters>833</Characters>
  <Application>Microsoft Office Word</Application>
  <DocSecurity>0</DocSecurity>
  <Lines>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634379</vt:lpwstr>
  </property>
  <property fmtid="{D5CDD505-2E9C-101B-9397-08002B2CF9AE}" pid="7" name="dmxml.render.traceId">
    <vt:lpwstr>6abd06323dbdc6c2efae3af95da6c6a9</vt:lpwstr>
  </property>
  <property fmtid="{D5CDD505-2E9C-101B-9397-08002B2CF9AE}" pid="8" name="FooterPath">
    <vt:lpwstr>AM\P10_AMA(2026)0225(001-001)_EN.docx</vt:lpwstr>
  </property>
  <property fmtid="{D5CDD505-2E9C-101B-9397-08002B2CF9AE}" pid="9" name="PE Number">
    <vt:lpwstr>788.290</vt:lpwstr>
  </property>
  <property fmtid="{D5CDD505-2E9C-101B-9397-08002B2CF9AE}" pid="10" name="UID">
    <vt:lpwstr>eu.europa.europarl-DIN1-2026-0000257790_01.00-en-01.00_text-xml</vt:lpwstr>
  </property>
</Properties>
</file>