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A10-0225</w:t>
      </w:r>
      <w:r>
        <w:rPr>
          <w:rStyle w:val="HideTWBExt"/>
        </w:rPr>
        <w:t>&lt;/ANo&gt;</w:t>
      </w:r>
      <w:r>
        <w:t>/</w:t>
      </w:r>
      <w:r>
        <w:rPr>
          <w:rStyle w:val="HideTWBExt"/>
        </w:rPr>
        <w:t>&lt;NumAm&gt;</w:t>
      </w:r>
      <w:r>
        <w:t>10</w:t>
      </w:r>
      <w:r>
        <w:rPr>
          <w:rStyle w:val="HideTWBExt"/>
        </w:rPr>
        <w:t>&lt;/NumAm&gt;</w:t>
      </w:r>
    </w:p>
    <w:p>
      <w:pPr>
        <w:pStyle w:val="AmNumberTabs"/>
      </w:pP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Laurence Trochu, Marion Maréchal, Guillaume Peltier, Nicolas Bay, Mariateresa Vivaldini, Geadis Geadi</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A10-0225/2026</w:t>
      </w:r>
    </w:p>
    <w:p>
      <w:pPr>
        <w:pStyle w:val="NormalBold"/>
      </w:pPr>
      <w:r>
        <w:rPr>
          <w:rStyle w:val="HideTWBExt"/>
        </w:rPr>
        <w:t>&lt;Rapporteur&gt;</w:t>
      </w:r>
      <w:r>
        <w:t>Estelle Ceulemans</w:t>
      </w:r>
      <w:r>
        <w:rPr>
          <w:rStyle w:val="HideTWBExt"/>
        </w:rPr>
        <w:t>&lt;/Rapporteur&gt;</w:t>
      </w:r>
    </w:p>
    <w:p>
      <w:r>
        <w:rPr>
          <w:rStyle w:val="HideTWBExt"/>
        </w:rPr>
        <w:t>&lt;Titre&gt;</w:t>
      </w:r>
      <w:r>
        <w:t>Psychosocial risks, stress and mental health at work</w:t>
      </w:r>
      <w:r>
        <w:rPr>
          <w:rStyle w:val="HideTWBExt"/>
        </w:rPr>
        <w:t>&lt;/Titre&gt;</w:t>
      </w:r>
    </w:p>
    <w:p>
      <w:pPr>
        <w:pStyle w:val="Normal12a"/>
      </w:pPr>
      <w:r>
        <w:rPr>
          <w:rStyle w:val="HideTWBExt"/>
        </w:rPr>
        <w:t>&lt;DocRef&gt;</w:t>
      </w:r>
      <w:r>
        <w:t>(2026/2023(INL))</w:t>
      </w:r>
      <w:r>
        <w:rPr>
          <w:rStyle w:val="HideTWBExt"/>
        </w:rPr>
        <w:t>&lt;/DocRef&gt;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Calls on</w:t>
            </w:r>
            <w:r>
              <w:t xml:space="preserve"> Member States </w:t>
            </w:r>
            <w:r>
              <w:rPr>
                <w:b/>
                <w:i/>
              </w:rPr>
              <w:t>to ensure that where a worker establishes facts indicating exposure to work-related psychosocial risk factors including bullying, harassment, violence or burnout, and an injury or damage to health consistent with such exposure, there should be a</w:t>
            </w:r>
            <w:r>
              <w:t xml:space="preserve"> presumption </w:t>
            </w:r>
            <w:r>
              <w:rPr>
                <w:b/>
                <w:i/>
              </w:rPr>
              <w:t>that the injury or damage is work-related; stresses that, in such a case, the burden</w:t>
            </w:r>
            <w:r>
              <w:t xml:space="preserve"> would </w:t>
            </w:r>
            <w:r>
              <w:rPr>
                <w:b/>
                <w:i/>
              </w:rPr>
              <w:t>be on</w:t>
            </w:r>
            <w:r>
              <w:t xml:space="preserve"> the employer to </w:t>
            </w:r>
            <w:r>
              <w:rPr>
                <w:b/>
                <w:i/>
              </w:rPr>
              <w:t>demonstrate that the injury or damage was not caused by the working conditions</w:t>
            </w:r>
            <w:r>
              <w:t xml:space="preserve">; </w:t>
            </w:r>
            <w:r>
              <w:rPr>
                <w:b/>
                <w:i/>
              </w:rPr>
              <w:t>further</w:t>
            </w:r>
            <w:r>
              <w:t xml:space="preserve"> calls on Member States to </w:t>
            </w:r>
            <w:r>
              <w:rPr>
                <w:b/>
                <w:i/>
              </w:rPr>
              <w:t>introduce, where appropriate, mechanisms for the alleviation of the burden of proof, subject to legal certainty and the prevention of abusive and manifestly ill-founded claims</w:t>
            </w:r>
            <w:r>
              <w:t>;</w:t>
            </w:r>
          </w:p>
        </w:tc>
        <w:tc>
          <w:tcPr>
            <w:tcW w:w="4876" w:type="dxa"/>
            <w:tcBorders>
              <w:top w:val="nil"/>
              <w:left w:val="nil"/>
              <w:bottom w:val="nil"/>
              <w:right w:val="nil"/>
            </w:tcBorders>
          </w:tcPr>
          <w:p>
            <w:pPr>
              <w:pStyle w:val="Normal6a"/>
            </w:pPr>
            <w:r>
              <w:t>4.</w:t>
            </w:r>
            <w:r>
              <w:tab/>
            </w:r>
            <w:r>
              <w:rPr>
                <w:b/>
                <w:i/>
              </w:rPr>
              <w:t>Recalls that the rules on the burden of proof and the recognition of occupational diseases fall within the competence of the</w:t>
            </w:r>
            <w:r>
              <w:t xml:space="preserve"> Member States </w:t>
            </w:r>
            <w:r>
              <w:rPr>
                <w:b/>
                <w:i/>
              </w:rPr>
              <w:t>and their social security systems; opposes any</w:t>
            </w:r>
            <w:r>
              <w:t xml:space="preserve"> presumption </w:t>
            </w:r>
            <w:r>
              <w:rPr>
                <w:b/>
                <w:i/>
              </w:rPr>
              <w:t>of causality that</w:t>
            </w:r>
            <w:r>
              <w:t xml:space="preserve"> would </w:t>
            </w:r>
            <w:r>
              <w:rPr>
                <w:b/>
                <w:i/>
              </w:rPr>
              <w:t>require</w:t>
            </w:r>
            <w:r>
              <w:t xml:space="preserve"> the employer to </w:t>
            </w:r>
            <w:r>
              <w:rPr>
                <w:b/>
                <w:i/>
              </w:rPr>
              <w:t>prove a negative, to the detriment of legal certainty, particularly for SMEs</w:t>
            </w:r>
            <w:r>
              <w:t xml:space="preserve">; calls on Member States to </w:t>
            </w:r>
            <w:r>
              <w:rPr>
                <w:b/>
                <w:i/>
              </w:rPr>
              <w:t>exchange best practices regarding the recognition of work-related mental health conditions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A10-0225</w:t>
      </w:r>
      <w:r>
        <w:rPr>
          <w:rStyle w:val="HideTWBExt"/>
        </w:rPr>
        <w:t>&lt;/ANo&gt;</w:t>
      </w:r>
      <w:r>
        <w:t>/</w:t>
      </w:r>
      <w:r>
        <w:rPr>
          <w:rStyle w:val="HideTWBExt"/>
        </w:rPr>
        <w:t>&lt;NumAm&gt;</w:t>
      </w:r>
      <w:r>
        <w:t>11</w:t>
      </w:r>
      <w:r>
        <w:rPr>
          <w:rStyle w:val="HideTWBExt"/>
        </w:rPr>
        <w:t>&lt;/NumAm&gt;</w:t>
      </w:r>
    </w:p>
    <w:p>
      <w:pPr>
        <w:pStyle w:val="AmNumberTabs"/>
      </w:pP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Laurence Trochu, Marion Maréchal, Guillaume Peltier, Nicolas Bay, Mariateresa Vivaldini, Geadis Geadi</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A10-0225/2026</w:t>
      </w:r>
    </w:p>
    <w:p>
      <w:pPr>
        <w:pStyle w:val="NormalBold"/>
      </w:pPr>
      <w:r>
        <w:rPr>
          <w:rStyle w:val="HideTWBExt"/>
        </w:rPr>
        <w:t>&lt;Rapporteur&gt;</w:t>
      </w:r>
      <w:r>
        <w:t>Estelle Ceulemans</w:t>
      </w:r>
      <w:r>
        <w:rPr>
          <w:rStyle w:val="HideTWBExt"/>
        </w:rPr>
        <w:t>&lt;/Rapporteur&gt;</w:t>
      </w:r>
    </w:p>
    <w:p>
      <w:r>
        <w:rPr>
          <w:rStyle w:val="HideTWBExt"/>
        </w:rPr>
        <w:t>&lt;Titre&gt;</w:t>
      </w:r>
      <w:r>
        <w:t>Psychosocial risks, stress and mental health at work</w:t>
      </w:r>
      <w:r>
        <w:rPr>
          <w:rStyle w:val="HideTWBExt"/>
        </w:rPr>
        <w:t>&lt;/Titre&gt;</w:t>
      </w:r>
    </w:p>
    <w:p>
      <w:pPr>
        <w:pStyle w:val="Normal12a"/>
      </w:pPr>
      <w:r>
        <w:rPr>
          <w:rStyle w:val="HideTWBExt"/>
        </w:rPr>
        <w:t>&lt;DocRef&gt;</w:t>
      </w:r>
      <w:r>
        <w:t>(2026/2023(INL))</w:t>
      </w:r>
      <w:r>
        <w:rPr>
          <w:rStyle w:val="HideTWBExt"/>
        </w:rPr>
        <w:t>&lt;/DocRef&gt;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Requests</w:t>
            </w:r>
            <w:r>
              <w:t xml:space="preserve"> the Commission to carry out an impact assessment </w:t>
            </w:r>
            <w:r>
              <w:rPr>
                <w:b/>
                <w:i/>
              </w:rPr>
              <w:t>including an assessment</w:t>
            </w:r>
            <w:r>
              <w:t xml:space="preserve"> of existing legislation </w:t>
            </w:r>
            <w:r>
              <w:rPr>
                <w:b/>
                <w:i/>
              </w:rPr>
              <w:t>complemented by</w:t>
            </w:r>
            <w:r>
              <w:t xml:space="preserve"> a competitiveness </w:t>
            </w:r>
            <w:r>
              <w:rPr>
                <w:b/>
                <w:i/>
              </w:rPr>
              <w:t>and SME</w:t>
            </w:r>
            <w:r>
              <w:t xml:space="preserve"> test and </w:t>
            </w:r>
            <w:r>
              <w:rPr>
                <w:b/>
                <w:i/>
              </w:rPr>
              <w:t>to submit, on the basis of Article 153(2), point (b), and Article 153(1), point (a), of the TFEU and the result of the aforementioned steps,</w:t>
            </w:r>
            <w:r>
              <w:t xml:space="preserve"> a legislative proposal </w:t>
            </w:r>
            <w:r>
              <w:rPr>
                <w:b/>
                <w:i/>
              </w:rPr>
              <w:t>on work-related psychosocial risks, stress and mental health at work which would address the remaining gaps in existing legislation and avoid creation of overlapping legal instruments, with view to an equivalent, high level of protection for all workers in the Union following the recommendations set out in the Annex hereto</w:t>
            </w:r>
            <w:r>
              <w:t>;</w:t>
            </w:r>
          </w:p>
        </w:tc>
        <w:tc>
          <w:tcPr>
            <w:tcW w:w="4876" w:type="dxa"/>
            <w:tcBorders>
              <w:top w:val="nil"/>
              <w:left w:val="nil"/>
              <w:bottom w:val="nil"/>
              <w:right w:val="nil"/>
            </w:tcBorders>
          </w:tcPr>
          <w:p>
            <w:pPr>
              <w:pStyle w:val="Normal6a"/>
            </w:pPr>
            <w:r>
              <w:t>18.</w:t>
            </w:r>
            <w:r>
              <w:tab/>
            </w:r>
            <w:r>
              <w:rPr>
                <w:b/>
                <w:i/>
              </w:rPr>
              <w:t>emphasises the EU’s decline in competitiveness, as highlighted in the Draghi report, and points out that the proliferation of standards places a burden on businesses, particularly SMEs, without guaranteeing better protection for workers; points out that Directive 89/391/EEC already covers psychosocial risks; calls on</w:t>
            </w:r>
            <w:r>
              <w:t xml:space="preserve"> the Commission</w:t>
            </w:r>
            <w:r>
              <w:rPr>
                <w:b/>
                <w:i/>
              </w:rPr>
              <w:t>, accordingly, before taking any action,</w:t>
            </w:r>
            <w:r>
              <w:t xml:space="preserve"> to carry out an impact assessment </w:t>
            </w:r>
            <w:r>
              <w:rPr>
                <w:b/>
                <w:i/>
              </w:rPr>
              <w:t>comprising an evaluation of the implementation</w:t>
            </w:r>
            <w:r>
              <w:t xml:space="preserve"> of existing legislation</w:t>
            </w:r>
            <w:r>
              <w:rPr>
                <w:b/>
                <w:i/>
              </w:rPr>
              <w:t>,</w:t>
            </w:r>
            <w:r>
              <w:t xml:space="preserve"> a competitiveness test and </w:t>
            </w:r>
            <w:r>
              <w:rPr>
                <w:b/>
                <w:i/>
              </w:rPr>
              <w:t>an SME test, and to consider</w:t>
            </w:r>
            <w:r>
              <w:t xml:space="preserve"> a legislative proposal </w:t>
            </w:r>
            <w:r>
              <w:rPr>
                <w:b/>
                <w:i/>
              </w:rPr>
              <w:t>only when this assessment demonstrates the need for 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AM\P10_AMA(2026)0225(010-011)_EN.docx</w:t>
    </w:r>
    <w:r>
      <w:rPr>
        <w:rStyle w:val="HideTWBExt"/>
      </w:rPr>
      <w:t>&lt;/PathFdR&gt;</w:t>
    </w:r>
    <w:r>
      <w:tab/>
    </w:r>
    <w:r>
      <w:tab/>
    </w:r>
    <w:r>
      <w:t>PE</w:t>
    </w:r>
    <w:r>
      <w:rPr>
        <w:rStyle w:val="HideTWBExt"/>
      </w:rPr>
      <w:t>&lt;NoPE&gt;</w:t>
    </w:r>
    <w:r>
      <w:t>788.290</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462</Words>
  <Characters>2642</Characters>
  <Application>Microsoft Office Word</Application>
  <DocSecurity>0</DocSecurity>
  <Lines>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634828</vt:lpwstr>
  </property>
  <property fmtid="{D5CDD505-2E9C-101B-9397-08002B2CF9AE}" pid="7" name="dmxml.render.traceId">
    <vt:lpwstr>6abd3de51101773edbf25b000dee515e</vt:lpwstr>
  </property>
  <property fmtid="{D5CDD505-2E9C-101B-9397-08002B2CF9AE}" pid="8" name="FooterPath">
    <vt:lpwstr>AM\P10_AMA(2026)0225(010-011)_EN.docx</vt:lpwstr>
  </property>
  <property fmtid="{D5CDD505-2E9C-101B-9397-08002B2CF9AE}" pid="9" name="PE Number">
    <vt:lpwstr>788.290</vt:lpwstr>
  </property>
  <property fmtid="{D5CDD505-2E9C-101B-9397-08002B2CF9AE}" pid="10" name="UID">
    <vt:lpwstr>eu.europa.europarl-DIN1-2026-0000258132_01.00-en-01.00_text-xml</vt:lpwstr>
  </property>
</Properties>
</file>