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1A4ED2" w:rsidRPr="009B04E9" w14:paraId="3F7E0452" w14:textId="77777777">
      <w:pPr>
        <w:pStyle w:val="AmDateTab"/>
      </w:pPr>
      <w:r w:rsidRPr="009B04E9">
        <w:rPr>
          <w:rStyle w:val="HideTWBExt"/>
        </w:rPr>
        <w:t>&lt;RepeatBlock-Amend&gt;&lt;Amend&gt;&lt;Date&gt;</w:t>
      </w:r>
      <w:r w:rsidRPr="009B04E9">
        <w:rPr>
          <w:rStyle w:val="HideTWBInt"/>
        </w:rPr>
        <w:t>{14/10/2026}</w:t>
      </w:r>
      <w:r w:rsidRPr="009B04E9">
        <w:t>14.10.2026</w:t>
      </w:r>
      <w:r w:rsidRPr="009B04E9">
        <w:rPr>
          <w:rStyle w:val="HideTWBExt"/>
        </w:rPr>
        <w:t>&lt;/Date&gt;</w:t>
      </w:r>
      <w:r w:rsidRPr="009B04E9">
        <w:tab/>
      </w:r>
      <w:r w:rsidRPr="009B04E9">
        <w:rPr>
          <w:rStyle w:val="HideTWBExt"/>
        </w:rPr>
        <w:t>&lt;ANo&gt;</w:t>
      </w:r>
      <w:r w:rsidRPr="009B04E9">
        <w:t>A10-0239</w:t>
      </w:r>
      <w:r w:rsidRPr="009B04E9">
        <w:rPr>
          <w:rStyle w:val="HideTWBExt"/>
        </w:rPr>
        <w:t>&lt;/ANo&gt;</w:t>
      </w:r>
      <w:r w:rsidRPr="009B04E9">
        <w:t>/</w:t>
      </w:r>
      <w:r w:rsidRPr="009B04E9">
        <w:rPr>
          <w:rStyle w:val="HideTWBExt"/>
        </w:rPr>
        <w:t>&lt;NumAm&gt;</w:t>
      </w:r>
      <w:r w:rsidRPr="009B04E9">
        <w:t>3</w:t>
      </w:r>
      <w:r w:rsidRPr="009B04E9">
        <w:rPr>
          <w:rStyle w:val="HideTWBExt"/>
        </w:rPr>
        <w:t>&lt;/NumAm&gt;</w:t>
      </w:r>
    </w:p>
    <w:p w:rsidR="001A4ED2" w:rsidRPr="009B04E9" w14:paraId="60789B13" w14:textId="77777777">
      <w:pPr>
        <w:pStyle w:val="AmNumberTabs"/>
      </w:pPr>
      <w:r w:rsidRPr="009B04E9">
        <w:t>Amendment</w:t>
      </w:r>
      <w:r w:rsidRPr="009B04E9">
        <w:tab/>
      </w:r>
      <w:r w:rsidRPr="009B04E9">
        <w:tab/>
      </w:r>
      <w:r w:rsidRPr="009B04E9">
        <w:rPr>
          <w:rStyle w:val="HideTWBExt"/>
        </w:rPr>
        <w:t>&lt;NumAm&gt;</w:t>
      </w:r>
      <w:r w:rsidRPr="009B04E9">
        <w:t>3</w:t>
      </w:r>
      <w:r w:rsidRPr="009B04E9">
        <w:rPr>
          <w:rStyle w:val="HideTWBExt"/>
        </w:rPr>
        <w:t>&lt;/NumAm&gt;</w:t>
      </w:r>
    </w:p>
    <w:p w:rsidR="001A4ED2" w:rsidRPr="009B04E9" w14:paraId="0DE20737" w14:textId="77777777">
      <w:pPr>
        <w:pStyle w:val="NormalBold"/>
      </w:pPr>
      <w:r w:rsidRPr="009B04E9">
        <w:rPr>
          <w:rStyle w:val="HideTWBExt"/>
          <w:b w:val="0"/>
        </w:rPr>
        <w:t>&lt;RepeatBlock-By&gt;&lt;By&gt;&lt;Members&gt;</w:t>
      </w:r>
      <w:r w:rsidRPr="009B04E9">
        <w:t>Marion Maréchal, Nicolas Bay, Laurence Trochu, Guillaume Peltier, Nicola Procaccini, Patryk Jaki, Carlo Fidanza, Adam Bielan, Christophe Gomart, Adrian-George Axinia, Charlie Weimers, Kristoffer Storm, Sebastian Tynkkynen, Nikola Bartůšek, Anna Zalewska, Piotr Müller, Alice Teodorescu Måwe, Stephen Nikola Bartulica, Alexandr Vondra, Ivaylo Valchev, Beatrice Timgren, Tiago Moreira de Sá, Jaroslava Pokorná Jermanová, Alberico Gambino, Elena Donazzan, Ruggero Razza, Marco Squarta, Branko Grims, Stefano Cavedagna, Sergio Berlato, Dominik Tarczyński, Lara Magoni, Chiara Gemma, Volker Schnurrbusch, Marc Jongen, Geadis Geadi, Arkadiusz Mularczyk, Kosma Złotowski, Henrik Dahl, Georgiana Teodorescu, Alessandro Ciriani, Malika Sorel, Carlo Ciccioli, Tomasz Froelich, Milan Zver, Jessika van Leeuwen, Sander Smit, Monika Hohlmeier, Jaak Madison, Pietro Fiocchi, Cristian Terheş, Francesco Torselli, Rihards Kols, Emmanouil Fragkos, Mariateresa Vivaldini, Nora Junco García, Jadwiga Wiśniewska, Alvise Pérez, Mary Khan, Daniele Polato, Francesco Ventola, Diego Solier, Dick Erixon, Michele Picaro, Claudiu-Richard Târziu, Loucas Fourlas, Isabella Tovaglieri, Daniel Obajtek, Michalis Hadjipantela, Mariusz Kamiński, Michał Dworczyk, Şerban Dimitrie Sturdza, Bert-Jan Ruissen, Joachim Stanisław Brudziński, Aurelijus Veryga, Mario Mantovani, Silvia Sardone, Susanna Ceccardi, Anna Maria Cisint, Aldo Patriciello, Paolo Inselvini, Ondřej Krutílek, Raffaele Stancanelli, Veronika Vrecionová, Marlena Maląg, Stanislav Stoyanov, Beata Szydło</w:t>
      </w:r>
      <w:r w:rsidRPr="009B04E9">
        <w:rPr>
          <w:rStyle w:val="HideTWBExt"/>
          <w:b w:val="0"/>
        </w:rPr>
        <w:t>&lt;/Members&gt;</w:t>
      </w:r>
    </w:p>
    <w:p w:rsidR="001A4ED2" w:rsidRPr="009B04E9" w14:paraId="333B7E41" w14:textId="77777777">
      <w:pPr>
        <w:pStyle w:val="NormalBold"/>
      </w:pPr>
      <w:r w:rsidRPr="009B04E9">
        <w:rPr>
          <w:rStyle w:val="HideTWBExt"/>
          <w:b w:val="0"/>
        </w:rPr>
        <w:t>&lt;/By&gt;&lt;/RepeatBlock-By&gt;</w:t>
      </w:r>
    </w:p>
    <w:p w:rsidR="001A4ED2" w:rsidRPr="009B04E9" w14:paraId="0C676313" w14:textId="77777777">
      <w:pPr>
        <w:pStyle w:val="AmDocTypeTab"/>
      </w:pPr>
      <w:r w:rsidRPr="009B04E9">
        <w:rPr>
          <w:rStyle w:val="HideTWBExt"/>
        </w:rPr>
        <w:t>&lt;TitreType&gt;</w:t>
      </w:r>
      <w:r w:rsidRPr="009B04E9">
        <w:t>Report</w:t>
      </w:r>
      <w:r w:rsidRPr="009B04E9">
        <w:rPr>
          <w:rStyle w:val="HideTWBExt"/>
        </w:rPr>
        <w:t>&lt;/TitreType&gt;</w:t>
      </w:r>
      <w:r w:rsidRPr="009B04E9">
        <w:tab/>
        <w:t>A10-0239/2026</w:t>
      </w:r>
    </w:p>
    <w:p w:rsidR="001A4ED2" w:rsidRPr="009B04E9" w14:paraId="7550931C" w14:textId="77777777">
      <w:pPr>
        <w:pStyle w:val="NormalBold"/>
      </w:pPr>
      <w:r w:rsidRPr="009B04E9">
        <w:rPr>
          <w:rStyle w:val="HideTWBExt"/>
        </w:rPr>
        <w:t>&lt;Rapporteur&gt;</w:t>
      </w:r>
      <w:r w:rsidRPr="009B04E9">
        <w:t>Nicola Zingaretti</w:t>
      </w:r>
      <w:r w:rsidRPr="009B04E9">
        <w:rPr>
          <w:rStyle w:val="HideTWBExt"/>
        </w:rPr>
        <w:t>&lt;/Rapporteur&gt;</w:t>
      </w:r>
    </w:p>
    <w:p w:rsidR="001A4ED2" w:rsidRPr="009B04E9" w14:paraId="2F2896C1" w14:textId="77777777">
      <w:r w:rsidRPr="009B04E9">
        <w:rPr>
          <w:rStyle w:val="HideTWBExt"/>
        </w:rPr>
        <w:t>&lt;Titre&gt;</w:t>
      </w:r>
      <w:r w:rsidRPr="009B04E9">
        <w:t>A new co-ownership for the future of Euro-Mediterranean relations – the Pact for the Mediterranean</w:t>
      </w:r>
      <w:r w:rsidRPr="009B04E9">
        <w:rPr>
          <w:rStyle w:val="HideTWBExt"/>
        </w:rPr>
        <w:t>&lt;/Titre&gt;</w:t>
      </w:r>
    </w:p>
    <w:p w:rsidR="001A4ED2" w:rsidRPr="009B04E9" w14:paraId="432C2E13" w14:textId="77777777">
      <w:pPr>
        <w:pStyle w:val="Normal12a"/>
      </w:pPr>
      <w:r w:rsidRPr="009B04E9">
        <w:rPr>
          <w:rStyle w:val="HideTWBExt"/>
        </w:rPr>
        <w:t>&lt;DocRef&gt;</w:t>
      </w:r>
      <w:r w:rsidRPr="009B04E9">
        <w:t>(2026/2035(INI))</w:t>
      </w:r>
      <w:r w:rsidRPr="009B04E9">
        <w:rPr>
          <w:rStyle w:val="HideTWBExt"/>
        </w:rPr>
        <w:t>&lt;/DocRef&gt;</w:t>
      </w:r>
    </w:p>
    <w:p w:rsidR="001A4ED2" w:rsidRPr="009B04E9" w14:paraId="10F05F14" w14:textId="77777777">
      <w:pPr>
        <w:pStyle w:val="NormalBold"/>
      </w:pPr>
      <w:r w:rsidRPr="009B04E9">
        <w:rPr>
          <w:rStyle w:val="HideTWBExt"/>
        </w:rPr>
        <w:t>&lt;DocAmend&gt;</w:t>
      </w:r>
      <w:r w:rsidRPr="009B04E9">
        <w:t>Motion for a resolution</w:t>
      </w:r>
      <w:r w:rsidRPr="009B04E9">
        <w:rPr>
          <w:rStyle w:val="HideTWBExt"/>
        </w:rPr>
        <w:t>&lt;/DocAmend&gt;</w:t>
      </w:r>
    </w:p>
    <w:p w:rsidR="001A4ED2" w:rsidRPr="009B04E9" w14:paraId="707C4360" w14:textId="77777777">
      <w:pPr>
        <w:pStyle w:val="NormalBold"/>
      </w:pPr>
      <w:r w:rsidRPr="009B04E9">
        <w:rPr>
          <w:rStyle w:val="HideTWBExt"/>
        </w:rPr>
        <w:t>&lt;Article&gt;</w:t>
      </w:r>
      <w:r w:rsidRPr="009B04E9">
        <w:t>Paragraph 126 a (new)</w:t>
      </w:r>
      <w:r w:rsidRPr="009B04E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D94D2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A4ED2" w:rsidRPr="009B04E9" w14:paraId="6A31B428" w14:textId="77777777"/>
        </w:tc>
      </w:tr>
      <w:tr w14:paraId="75A8CED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A4ED2" w:rsidRPr="009B04E9" w14:paraId="1E71BD38" w14:textId="77777777">
            <w:pPr>
              <w:pStyle w:val="AmColumnHeading"/>
            </w:pPr>
            <w:r w:rsidRPr="009B04E9">
              <w:t>Motion for a resolution</w:t>
            </w:r>
          </w:p>
        </w:tc>
        <w:tc>
          <w:tcPr>
            <w:tcW w:w="4876" w:type="dxa"/>
            <w:tcBorders>
              <w:top w:val="nil"/>
              <w:left w:val="nil"/>
              <w:bottom w:val="nil"/>
              <w:right w:val="nil"/>
            </w:tcBorders>
          </w:tcPr>
          <w:p w:rsidR="001A4ED2" w:rsidRPr="009B04E9" w14:paraId="0C74BDFA" w14:textId="77777777">
            <w:pPr>
              <w:pStyle w:val="AmColumnHeading"/>
            </w:pPr>
            <w:r w:rsidRPr="009B04E9">
              <w:t>Amendment</w:t>
            </w:r>
          </w:p>
        </w:tc>
      </w:tr>
      <w:tr w14:paraId="7C9D1FF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A4ED2" w:rsidRPr="009B04E9" w14:paraId="681543E9" w14:textId="77777777">
            <w:pPr>
              <w:pStyle w:val="Normal6a"/>
            </w:pPr>
          </w:p>
        </w:tc>
        <w:tc>
          <w:tcPr>
            <w:tcW w:w="4876" w:type="dxa"/>
            <w:tcBorders>
              <w:top w:val="nil"/>
              <w:left w:val="nil"/>
              <w:bottom w:val="nil"/>
              <w:right w:val="nil"/>
            </w:tcBorders>
          </w:tcPr>
          <w:p w:rsidR="001A4ED2" w:rsidRPr="009B04E9" w14:paraId="12DB2813" w14:textId="7A62B3E5">
            <w:pPr>
              <w:pStyle w:val="Normal6a"/>
            </w:pPr>
            <w:r w:rsidRPr="009B04E9">
              <w:rPr>
                <w:b/>
                <w:i/>
              </w:rPr>
              <w:t>126a.</w:t>
            </w:r>
            <w:r w:rsidRPr="009B04E9">
              <w:tab/>
            </w:r>
            <w:r w:rsidRPr="009B04E9">
              <w:rPr>
                <w:b/>
                <w:i/>
              </w:rPr>
              <w:t xml:space="preserve">Joins the call from several Member States to create a mechanism for the suspension of asylum procedures in the event of </w:t>
            </w:r>
            <w:r w:rsidRPr="009B04E9" w:rsidR="00662221">
              <w:rPr>
                <w:b/>
                <w:i/>
              </w:rPr>
              <w:t>crises</w:t>
            </w:r>
            <w:r w:rsidRPr="009B04E9">
              <w:rPr>
                <w:b/>
                <w:i/>
              </w:rPr>
              <w:t xml:space="preserve"> involving the instrumentalisation of migration and hybrid threats; welcomes the announcement by the Commission of a legislative proposal to this effect and calls</w:t>
            </w:r>
            <w:r w:rsidRPr="009B04E9" w:rsidR="00160595">
              <w:rPr>
                <w:b/>
                <w:i/>
              </w:rPr>
              <w:t xml:space="preserve"> on the Commission</w:t>
            </w:r>
            <w:r w:rsidRPr="009B04E9">
              <w:rPr>
                <w:b/>
                <w:i/>
              </w:rPr>
              <w:t xml:space="preserve"> to submit it by the end of June 2027; supports the position expressed by 22 Member States, in response to the Ceuta crisis, stating that </w:t>
            </w:r>
            <w:r w:rsidRPr="009B04E9" w:rsidR="00662221">
              <w:rPr>
                <w:b/>
                <w:i/>
              </w:rPr>
              <w:t xml:space="preserve">an </w:t>
            </w:r>
            <w:r w:rsidRPr="009B04E9">
              <w:rPr>
                <w:b/>
                <w:i/>
              </w:rPr>
              <w:t xml:space="preserve">illegal entry into EU territory must not turn into </w:t>
            </w:r>
            <w:r w:rsidRPr="009B04E9" w:rsidR="00662221">
              <w:rPr>
                <w:b/>
                <w:i/>
              </w:rPr>
              <w:t xml:space="preserve">a </w:t>
            </w:r>
            <w:r w:rsidRPr="009B04E9">
              <w:rPr>
                <w:b/>
                <w:i/>
              </w:rPr>
              <w:t>legal stay;</w:t>
            </w:r>
          </w:p>
        </w:tc>
      </w:tr>
    </w:tbl>
    <w:p w:rsidR="001A4ED2" w:rsidRPr="009B04E9" w14:paraId="32E12ADE" w14:textId="77777777">
      <w:pPr>
        <w:pStyle w:val="AmOrLang"/>
      </w:pPr>
      <w:r w:rsidRPr="009B04E9">
        <w:t xml:space="preserve">Or. </w:t>
      </w:r>
      <w:r w:rsidRPr="009B04E9">
        <w:rPr>
          <w:rStyle w:val="HideTWBExt"/>
        </w:rPr>
        <w:t>&lt;Original&gt;</w:t>
      </w:r>
      <w:r w:rsidRPr="009B04E9">
        <w:rPr>
          <w:rStyle w:val="HideTWBInt"/>
        </w:rPr>
        <w:t>{EN}</w:t>
      </w:r>
      <w:r w:rsidRPr="009B04E9">
        <w:t>en</w:t>
      </w:r>
      <w:r w:rsidRPr="009B04E9">
        <w:rPr>
          <w:rStyle w:val="HideTWBExt"/>
        </w:rPr>
        <w:t>&lt;/Original&gt;</w:t>
      </w:r>
    </w:p>
    <w:p w:rsidR="001A4ED2" w:rsidRPr="009B04E9" w14:paraId="0336472A" w14:textId="77777777">
      <w:r w:rsidRPr="009B04E9">
        <w:rPr>
          <w:rStyle w:val="HideTWBExt"/>
        </w:rPr>
        <w:t>&lt;/Amend&gt;</w:t>
      </w:r>
    </w:p>
    <w:p w:rsidR="001A4ED2" w:rsidRPr="009B04E9" w14:paraId="5454D8CB" w14:textId="77777777">
      <w:r w:rsidRPr="009B04E9">
        <w:rPr>
          <w:rStyle w:val="HideTWBExt"/>
        </w:rPr>
        <w:t>&lt;/RepeatBlock-Amend&gt;</w:t>
      </w:r>
    </w:p>
    <w:sectPr>
      <w:headerReference w:type="even" r:id="rId4"/>
      <w:headerReference w:type="default" r:id="rId5"/>
      <w:footerReference w:type="even" r:id="rId6"/>
      <w:footerReference w:type="default" r:id="rId7"/>
      <w:headerReference w:type="first" r:id="rId8"/>
      <w:footerReference w:type="first" r:id="rId9"/>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49" w:rsidRPr="009B04E9" w14:paraId="118B4FA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621" w:rsidRPr="009B04E9" w:rsidP="00C76621" w14:paraId="281B4B73" w14:textId="77777777">
    <w:pPr>
      <w:pStyle w:val="EPFooter"/>
    </w:pPr>
    <w:r w:rsidRPr="009B04E9">
      <w:rPr>
        <w:rStyle w:val="HideTWBExt"/>
      </w:rPr>
      <w:t>&lt;PathFdR&gt;</w:t>
    </w:r>
    <w:r w:rsidRPr="009B04E9">
      <w:t>AM\1352761EN.docx</w:t>
    </w:r>
    <w:r w:rsidRPr="009B04E9">
      <w:rPr>
        <w:rStyle w:val="HideTWBExt"/>
      </w:rPr>
      <w:t>&lt;/PathFdR&gt;</w:t>
    </w:r>
    <w:r w:rsidRPr="009B04E9">
      <w:tab/>
    </w:r>
    <w:r w:rsidRPr="009B04E9">
      <w:tab/>
      <w:t>PE</w:t>
    </w:r>
    <w:r w:rsidRPr="009B04E9">
      <w:rPr>
        <w:rStyle w:val="HideTWBExt"/>
      </w:rPr>
      <w:t>&lt;NoPE&gt;</w:t>
    </w:r>
    <w:r w:rsidRPr="009B04E9">
      <w:t>788.352</w:t>
    </w:r>
    <w:r w:rsidRPr="009B04E9">
      <w:rPr>
        <w:rStyle w:val="HideTWBExt"/>
      </w:rPr>
      <w:t>&lt;/NoPE&gt;&lt;Version&gt;</w:t>
    </w:r>
    <w:r w:rsidRPr="009B04E9">
      <w:t>v01-00</w:t>
    </w:r>
    <w:r w:rsidRPr="009B04E9">
      <w:rPr>
        <w:rStyle w:val="HideTWBExt"/>
      </w:rPr>
      <w:t>&lt;/Version&gt;</w:t>
    </w:r>
  </w:p>
  <w:p w:rsidR="001A4ED2" w:rsidRPr="009B04E9" w:rsidP="00C76621" w14:paraId="6496FC76" w14:textId="3EB2CC2A">
    <w:pPr>
      <w:pStyle w:val="EPFooter2"/>
    </w:pPr>
    <w:r w:rsidRPr="009B04E9">
      <w:t>EN</w:t>
    </w:r>
    <w:r w:rsidRPr="009B04E9">
      <w:tab/>
    </w:r>
    <w:r w:rsidRPr="009B04E9">
      <w:rPr>
        <w:b w:val="0"/>
        <w:i/>
        <w:color w:val="C0C0C0"/>
        <w:sz w:val="22"/>
      </w:rPr>
      <w:t>United in diversity</w:t>
    </w:r>
    <w:r w:rsidRPr="009B04E9">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49" w:rsidRPr="009B04E9" w14:paraId="6D62E1D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49" w:rsidRPr="009B04E9" w14:paraId="1EE3402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49" w:rsidRPr="009B04E9" w14:paraId="63E9F42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49" w:rsidRPr="009B04E9" w14:paraId="01FFA7B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B55E2"/>
    <w:rsid w:val="00160595"/>
    <w:rsid w:val="001A4ED2"/>
    <w:rsid w:val="00522F8F"/>
    <w:rsid w:val="005377F9"/>
    <w:rsid w:val="00545DB9"/>
    <w:rsid w:val="00593EDE"/>
    <w:rsid w:val="00662221"/>
    <w:rsid w:val="00664DAF"/>
    <w:rsid w:val="007968BD"/>
    <w:rsid w:val="00987555"/>
    <w:rsid w:val="009B04E9"/>
    <w:rsid w:val="009D438D"/>
    <w:rsid w:val="00A24097"/>
    <w:rsid w:val="00A77B3E"/>
    <w:rsid w:val="00BC6A49"/>
    <w:rsid w:val="00C76621"/>
    <w:rsid w:val="00CA2A55"/>
    <w:rsid w:val="00CF4FD8"/>
    <w:rsid w:val="00E0274C"/>
    <w:rsid w:val="00E822B4"/>
    <w:rsid w:val="00F4483B"/>
    <w:rsid w:val="00FC031B"/>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NonLegReport"/>
    <w:docVar w:name="strSubDir" w:val="1352"/>
    <w:docVar w:name="TXTLANGUE" w:val="EN"/>
    <w:docVar w:name="TXTLANGUEMIN" w:val="en"/>
    <w:docVar w:name="TXTNRPE" w:val="788.352"/>
    <w:docVar w:name="TXTPEorAP" w:val="PE"/>
    <w:docVar w:name="TXTROUTE" w:val="AM\1352761EN.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A5191750-725B-41A0-8CCB-21445E951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fill="4F81BD" w:themeColor="accent1"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76621"/>
    <w:pPr>
      <w:tabs>
        <w:tab w:val="center" w:pos="4513"/>
        <w:tab w:val="right" w:pos="9026"/>
      </w:tabs>
    </w:pPr>
  </w:style>
  <w:style w:type="character" w:customStyle="1" w:styleId="HeaderChar">
    <w:name w:val="Header Char"/>
    <w:basedOn w:val="DefaultParagraphFont"/>
    <w:link w:val="Header"/>
    <w:rsid w:val="00C76621"/>
    <w:rPr>
      <w:sz w:val="24"/>
      <w:szCs w:val="24"/>
    </w:rPr>
  </w:style>
  <w:style w:type="paragraph" w:styleId="Footer">
    <w:name w:val="footer"/>
    <w:basedOn w:val="Normal"/>
    <w:link w:val="FooterChar1"/>
    <w:rsid w:val="00C76621"/>
    <w:pPr>
      <w:tabs>
        <w:tab w:val="center" w:pos="4513"/>
        <w:tab w:val="right" w:pos="9026"/>
      </w:tabs>
    </w:pPr>
  </w:style>
  <w:style w:type="character" w:customStyle="1" w:styleId="FooterChar1">
    <w:name w:val="Footer Char1"/>
    <w:basedOn w:val="DefaultParagraphFont"/>
    <w:link w:val="Footer"/>
    <w:rsid w:val="00C76621"/>
    <w:rPr>
      <w:sz w:val="24"/>
      <w:szCs w:val="24"/>
    </w:rPr>
  </w:style>
  <w:style w:type="character" w:styleId="CommentReference">
    <w:name w:val="annotation reference"/>
    <w:basedOn w:val="DefaultParagraphFont"/>
    <w:rsid w:val="00160595"/>
    <w:rPr>
      <w:sz w:val="16"/>
      <w:szCs w:val="16"/>
    </w:rPr>
  </w:style>
  <w:style w:type="paragraph" w:styleId="CommentText">
    <w:name w:val="annotation text"/>
    <w:basedOn w:val="Normal"/>
    <w:link w:val="CommentTextChar"/>
    <w:rsid w:val="00160595"/>
    <w:rPr>
      <w:sz w:val="20"/>
      <w:szCs w:val="20"/>
    </w:rPr>
  </w:style>
  <w:style w:type="character" w:customStyle="1" w:styleId="CommentTextChar">
    <w:name w:val="Comment Text Char"/>
    <w:basedOn w:val="DefaultParagraphFont"/>
    <w:link w:val="CommentText"/>
    <w:rsid w:val="00160595"/>
  </w:style>
  <w:style w:type="paragraph" w:styleId="CommentSubject">
    <w:name w:val="annotation subject"/>
    <w:basedOn w:val="CommentText"/>
    <w:next w:val="CommentText"/>
    <w:link w:val="CommentSubjectChar"/>
    <w:rsid w:val="00160595"/>
    <w:rPr>
      <w:b/>
      <w:bCs/>
    </w:rPr>
  </w:style>
  <w:style w:type="character" w:customStyle="1" w:styleId="CommentSubjectChar">
    <w:name w:val="Comment Subject Char"/>
    <w:basedOn w:val="CommentTextChar"/>
    <w:link w:val="CommentSubject"/>
    <w:rsid w:val="00160595"/>
    <w:rPr>
      <w:b/>
      <w:bCs/>
    </w:rPr>
  </w:style>
  <w:style w:type="paragraph" w:styleId="Revision">
    <w:name w:val="Revision"/>
    <w:hidden/>
    <w:uiPriority w:val="99"/>
    <w:semiHidden/>
    <w:rsid w:val="00160595"/>
    <w:rPr>
      <w:sz w:val="24"/>
      <w:szCs w:val="24"/>
    </w:rPr>
  </w:style>
  <w:style w:type="character" w:styleId="Hyperlink">
    <w:name w:val="Hyperlink"/>
    <w:basedOn w:val="DefaultParagraphFont"/>
    <w:rsid w:val="00160595"/>
    <w:rPr>
      <w:color w:val="0000FF" w:themeColor="hyperlink"/>
      <w:u w:val="single"/>
    </w:rPr>
  </w:style>
  <w:style w:type="character" w:customStyle="1" w:styleId="UnresolvedMention">
    <w:name w:val="Unresolved Mention"/>
    <w:basedOn w:val="DefaultParagraphFont"/>
    <w:uiPriority w:val="99"/>
    <w:semiHidden/>
    <w:unhideWhenUsed/>
    <w:rsid w:val="00160595"/>
    <w:rPr>
      <w:color w:val="605E5C"/>
      <w:shd w:val="clear" w:color="auto" w:fill="E1DFDD"/>
    </w:rPr>
  </w:style>
  <w:style w:type="character" w:styleId="FollowedHyperlink">
    <w:name w:val="FollowedHyperlink"/>
    <w:basedOn w:val="DefaultParagraphFont"/>
    <w:rsid w:val="00E822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309</Words>
  <Characters>2019</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cp:lastPrinted>2026-10-14T16:08:00Z</cp:lastPrinted>
  <dcterms:created xsi:type="dcterms:W3CDTF">2026-10-14T17:58:00Z</dcterms:created>
  <dcterms:modified xsi:type="dcterms:W3CDTF">2026-10-14T17:58:00Z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1352761</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- 2026/10/14 19:58</vt:lpwstr>
  </property>
  <property fmtid="{D5CDD505-2E9C-101B-9397-08002B2CF9AE}" pid="7" name="dmxml.render.id">
    <vt:lpwstr>654841</vt:lpwstr>
  </property>
  <property fmtid="{D5CDD505-2E9C-101B-9397-08002B2CF9AE}" pid="8" name="dmxml.render.traceId">
    <vt:lpwstr>6acf7d6c8aa6b8998d4f8fbc5bfa95a2</vt:lpwstr>
  </property>
  <property fmtid="{D5CDD505-2E9C-101B-9397-08002B2CF9AE}" pid="9" name="FooterPath">
    <vt:lpwstr>AM\1352761EN.docx</vt:lpwstr>
  </property>
  <property fmtid="{D5CDD505-2E9C-101B-9397-08002B2CF9AE}" pid="10" name="LastEdited with">
    <vt:lpwstr>10.3.1 Build [20260902]</vt:lpwstr>
  </property>
  <property fmtid="{D5CDD505-2E9C-101B-9397-08002B2CF9AE}" pid="11" name="PE Number">
    <vt:lpwstr>788.352</vt:lpwstr>
  </property>
  <property fmtid="{D5CDD505-2E9C-101B-9397-08002B2CF9AE}" pid="12" name="RegistreCheck">
    <vt:lpwstr>OK</vt:lpwstr>
  </property>
  <property fmtid="{D5CDD505-2E9C-101B-9397-08002B2CF9AE}" pid="13" name="UID">
    <vt:lpwstr>eu.europa.europarl-DIN1-2026-0000281846_01.00-en-01.00_text-xml</vt:lpwstr>
  </property>
</Properties>
</file>