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46096B" w:rsidRPr="009C55C1" w14:paraId="3F75BF70" w14:textId="77777777">
      <w:pPr>
        <w:pStyle w:val="AmDateTab"/>
      </w:pPr>
      <w:r w:rsidRPr="009C55C1">
        <w:rPr>
          <w:rStyle w:val="HideTWBExt"/>
        </w:rPr>
        <w:t>&lt;RepeatBlock-Amend&gt;&lt;Amend&gt;&lt;Date&gt;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4</w:t>
      </w:r>
      <w:r w:rsidRPr="009C55C1">
        <w:rPr>
          <w:rStyle w:val="HideTWBExt"/>
        </w:rPr>
        <w:t>&lt;/NumAm&gt;</w:t>
      </w:r>
    </w:p>
    <w:p w:rsidR="0046096B" w:rsidRPr="009C55C1" w14:paraId="233E0F58" w14:textId="77777777">
      <w:pPr>
        <w:pStyle w:val="AmNumberTabs"/>
      </w:pPr>
      <w:r w:rsidRPr="009C55C1">
        <w:t>Amendment</w:t>
      </w:r>
      <w:r w:rsidRPr="009C55C1">
        <w:tab/>
      </w:r>
      <w:r w:rsidRPr="009C55C1">
        <w:tab/>
      </w:r>
      <w:r w:rsidRPr="009C55C1">
        <w:rPr>
          <w:rStyle w:val="HideTWBExt"/>
        </w:rPr>
        <w:t>&lt;NumAm&gt;</w:t>
      </w:r>
      <w:r w:rsidRPr="009C55C1">
        <w:t>4</w:t>
      </w:r>
      <w:r w:rsidRPr="009C55C1">
        <w:rPr>
          <w:rStyle w:val="HideTWBExt"/>
        </w:rPr>
        <w:t>&lt;/NumAm&gt;</w:t>
      </w:r>
    </w:p>
    <w:p w:rsidR="0046096B" w:rsidRPr="009C55C1" w14:paraId="1EDF6CC7" w14:textId="77777777">
      <w:pPr>
        <w:pStyle w:val="NormalBold"/>
      </w:pPr>
      <w:r w:rsidRPr="009C55C1">
        <w:rPr>
          <w:rStyle w:val="HideTWBExt"/>
          <w:b w:val="0"/>
        </w:rPr>
        <w:t>&lt;RepeatBlock-By&gt;&lt;By&gt;&lt;Members&gt;</w:t>
      </w:r>
      <w:r w:rsidRPr="009C55C1">
        <w:t xml:space="preserve">Afroditi </w:t>
      </w:r>
      <w:r w:rsidRPr="009C55C1">
        <w:t>Latinopoulou</w:t>
      </w:r>
      <w:r w:rsidRPr="009C55C1">
        <w:t xml:space="preserve">,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Jorge </w:t>
      </w:r>
      <w:r w:rsidRPr="009C55C1">
        <w:t>Buxadé</w:t>
      </w:r>
      <w:r w:rsidRPr="009C55C1">
        <w:t xml:space="preserve"> Villalba, Mireia </w:t>
      </w:r>
      <w:r w:rsidRPr="009C55C1">
        <w:t>Borrás</w:t>
      </w:r>
      <w:r w:rsidRPr="009C55C1">
        <w:t xml:space="preserve"> Pabón, Juan Carlos Girauta Vidal, Jorge Martín Frías, Margarita de la Pisa Carrión, Hermann Tertsch, Elisabeth Dieringer, Roman Haider, Georg Mayer, Petra Steger, Harald Vilimsky,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7C5CBE8B" w14:textId="77777777">
      <w:pPr>
        <w:pStyle w:val="NormalBold"/>
      </w:pPr>
      <w:r w:rsidRPr="009C55C1">
        <w:rPr>
          <w:rStyle w:val="HideTWBExt"/>
          <w:b w:val="0"/>
        </w:rPr>
        <w:t>&lt;/By&gt;&lt;/RepeatBlock-By&gt;</w:t>
      </w:r>
    </w:p>
    <w:p w:rsidR="0046096B" w:rsidRPr="009C55C1" w14:paraId="0D06D9CD"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5ADE5853"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1EEF539A"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5E67008D" w14:textId="77777777">
      <w:pPr>
        <w:pStyle w:val="Normal12a"/>
      </w:pPr>
      <w:r w:rsidRPr="009C55C1">
        <w:rPr>
          <w:rStyle w:val="HideTWBExt"/>
        </w:rPr>
        <w:t>&lt;DocRef&gt;</w:t>
      </w:r>
      <w:r w:rsidRPr="009C55C1">
        <w:t>(2026/2035(INI))</w:t>
      </w:r>
      <w:r w:rsidRPr="009C55C1">
        <w:rPr>
          <w:rStyle w:val="HideTWBExt"/>
        </w:rPr>
        <w:t>&lt;/DocRef&gt;</w:t>
      </w:r>
    </w:p>
    <w:p w:rsidR="0046096B" w:rsidRPr="009C55C1" w14:paraId="308D179C"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2FCF9536" w14:textId="77777777">
      <w:pPr>
        <w:pStyle w:val="NormalBold"/>
      </w:pPr>
      <w:r w:rsidRPr="009C55C1">
        <w:rPr>
          <w:rStyle w:val="HideTWBExt"/>
        </w:rPr>
        <w:t>&lt;Article&gt;</w:t>
      </w:r>
      <w:r w:rsidRPr="009C55C1">
        <w:t>Recital F a (new)</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6002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499C14C7" w14:textId="77777777"/>
        </w:tc>
      </w:tr>
      <w:tr w14:paraId="52C687A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43D13E59" w14:textId="77777777">
            <w:pPr>
              <w:pStyle w:val="AmColumnHeading"/>
            </w:pPr>
            <w:r w:rsidRPr="009C55C1">
              <w:t>Motion for a resolution</w:t>
            </w:r>
          </w:p>
        </w:tc>
        <w:tc>
          <w:tcPr>
            <w:tcW w:w="4876" w:type="dxa"/>
            <w:tcBorders>
              <w:top w:val="nil"/>
              <w:left w:val="nil"/>
              <w:bottom w:val="nil"/>
              <w:right w:val="nil"/>
            </w:tcBorders>
          </w:tcPr>
          <w:p w:rsidR="0046096B" w:rsidRPr="009C55C1" w14:paraId="4D51B62C" w14:textId="77777777">
            <w:pPr>
              <w:pStyle w:val="AmColumnHeading"/>
            </w:pPr>
            <w:r w:rsidRPr="009C55C1">
              <w:t>Amendment</w:t>
            </w:r>
          </w:p>
        </w:tc>
      </w:tr>
      <w:tr w14:paraId="1BD5BC9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254F116C" w14:textId="77777777">
            <w:pPr>
              <w:pStyle w:val="Normal6a"/>
            </w:pPr>
          </w:p>
        </w:tc>
        <w:tc>
          <w:tcPr>
            <w:tcW w:w="4876" w:type="dxa"/>
            <w:tcBorders>
              <w:top w:val="nil"/>
              <w:left w:val="nil"/>
              <w:bottom w:val="nil"/>
              <w:right w:val="nil"/>
            </w:tcBorders>
          </w:tcPr>
          <w:p w:rsidR="0046096B" w:rsidRPr="009C55C1" w14:paraId="655C2A75" w14:textId="13B7AEF1">
            <w:pPr>
              <w:pStyle w:val="Normal6a"/>
            </w:pPr>
            <w:r w:rsidRPr="009C55C1">
              <w:rPr>
                <w:b/>
                <w:i/>
              </w:rPr>
              <w:t>Fa.</w:t>
            </w:r>
            <w:r w:rsidRPr="009C55C1">
              <w:tab/>
            </w:r>
            <w:r w:rsidRPr="009C55C1">
              <w:rPr>
                <w:b/>
                <w:i/>
              </w:rPr>
              <w:t>whereas Türkiye</w:t>
            </w:r>
            <w:r w:rsidRPr="009C55C1" w:rsidR="003B1E82">
              <w:rPr>
                <w:b/>
                <w:i/>
              </w:rPr>
              <w:t>’</w:t>
            </w:r>
            <w:r w:rsidRPr="009C55C1">
              <w:rPr>
                <w:b/>
                <w:i/>
              </w:rPr>
              <w:t>s ongoing provocations against Greece and Cyprus, including repeated violations of their sovereign rights in the Aegean and the Eastern Mediterranean, its continued threat of a casus belli against Greece, the so-called Blue Homeland doctrine and the continued occupation of part of the territory of an EU Member State, fundamentally undermine regional stability and any credible Euro-Mediterranean cooperation;</w:t>
            </w:r>
          </w:p>
        </w:tc>
      </w:tr>
    </w:tbl>
    <w:p w:rsidR="0046096B" w:rsidRPr="009C55C1" w14:paraId="71B1EBBC"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51AD928B" w14:textId="77777777">
      <w:pPr>
        <w:sectPr>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sectPr>
      </w:pPr>
      <w:r w:rsidRPr="009C55C1">
        <w:rPr>
          <w:rStyle w:val="HideTWBExt"/>
        </w:rPr>
        <w:t>&lt;/Amend&gt;</w:t>
      </w:r>
    </w:p>
    <w:p w:rsidR="0046096B" w:rsidRPr="009C55C1" w14:paraId="0ADBB318"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5</w:t>
      </w:r>
      <w:r w:rsidRPr="009C55C1">
        <w:rPr>
          <w:rStyle w:val="HideTWBExt"/>
        </w:rPr>
        <w:t>&lt;/NumAm&gt;</w:t>
      </w:r>
    </w:p>
    <w:p w:rsidR="0046096B" w:rsidRPr="009C55C1" w14:paraId="297255F8" w14:textId="77777777">
      <w:pPr>
        <w:pStyle w:val="AmNumberTabs"/>
      </w:pPr>
      <w:r w:rsidRPr="009C55C1">
        <w:t>Amendment</w:t>
      </w:r>
      <w:r w:rsidRPr="009C55C1">
        <w:tab/>
      </w:r>
      <w:r w:rsidRPr="009C55C1">
        <w:tab/>
      </w:r>
      <w:r w:rsidRPr="009C55C1">
        <w:rPr>
          <w:rStyle w:val="HideTWBExt"/>
        </w:rPr>
        <w:t>&lt;NumAm&gt;</w:t>
      </w:r>
      <w:r w:rsidRPr="009C55C1">
        <w:t>5</w:t>
      </w:r>
      <w:r w:rsidRPr="009C55C1">
        <w:rPr>
          <w:rStyle w:val="HideTWBExt"/>
        </w:rPr>
        <w:t>&lt;/NumAm&gt;</w:t>
      </w:r>
    </w:p>
    <w:p w:rsidR="0046096B" w:rsidRPr="009C55C1" w14:paraId="2258D20E" w14:textId="77777777">
      <w:pPr>
        <w:pStyle w:val="NormalBold"/>
      </w:pPr>
      <w:r w:rsidRPr="009C55C1">
        <w:rPr>
          <w:rStyle w:val="HideTWBExt"/>
          <w:b w:val="0"/>
        </w:rPr>
        <w:t>&lt;RepeatBlock-By&gt;&lt;By&gt;&lt;Members&gt;</w:t>
      </w:r>
      <w:r w:rsidRPr="009C55C1">
        <w:t xml:space="preserve">Jorge </w:t>
      </w:r>
      <w:r w:rsidRPr="009C55C1">
        <w:t>Buxadé</w:t>
      </w:r>
      <w:r w:rsidRPr="009C55C1">
        <w:t xml:space="preserve"> Villalba,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Afroditi </w:t>
      </w:r>
      <w:r w:rsidRPr="009C55C1">
        <w:t>Latinopoulou</w:t>
      </w:r>
      <w:r w:rsidRPr="009C55C1">
        <w:t xml:space="preserve">,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Tomáš Kubín, Jaroslava Pokorná Jermanová, Tamás Deutsch, Csaba Dömötör, Viktória Ferenc, Kinga Gál, György </w:t>
      </w:r>
      <w:r w:rsidRPr="009C55C1">
        <w:t>Hölvényi</w:t>
      </w:r>
      <w:r w:rsidRPr="009C55C1">
        <w:t xml:space="preserve">, András László, Balázs Orbán, Annamária Vicsek, András </w:t>
      </w:r>
      <w:r w:rsidRPr="009C55C1">
        <w:t>Gyürk</w:t>
      </w:r>
      <w:r w:rsidRPr="009C55C1">
        <w:t xml:space="preserve">, Enikő Győri, Ernő Schaller-Baross, Mireia </w:t>
      </w:r>
      <w:r w:rsidRPr="009C55C1">
        <w:t>Borrás</w:t>
      </w:r>
      <w:r w:rsidRPr="009C55C1">
        <w:t xml:space="preserve"> Pabón, Juan Carlos Girauta Vidal, Jorge Martín Frías, Margarita de la Pisa Carrión, Hermann Tertsch, Elisabeth Dieringer, Roman Haider, Georg Mayer, Petra Steger, Harald Vilimsky, Zsuzsanna Borvendég,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447F1716" w14:textId="77777777">
      <w:pPr>
        <w:pStyle w:val="NormalBold"/>
      </w:pPr>
      <w:r w:rsidRPr="009C55C1">
        <w:rPr>
          <w:rStyle w:val="HideTWBExt"/>
          <w:b w:val="0"/>
        </w:rPr>
        <w:t>&lt;/By&gt;&lt;/RepeatBlock-By&gt;</w:t>
      </w:r>
    </w:p>
    <w:p w:rsidR="0046096B" w:rsidRPr="009C55C1" w14:paraId="5AA58314"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1AA2792C"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660F5DD4"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768F8DD7" w14:textId="77777777">
      <w:pPr>
        <w:pStyle w:val="Normal12a"/>
      </w:pPr>
      <w:r w:rsidRPr="009C55C1">
        <w:rPr>
          <w:rStyle w:val="HideTWBExt"/>
        </w:rPr>
        <w:t>&lt;DocRef&gt;</w:t>
      </w:r>
      <w:r w:rsidRPr="009C55C1">
        <w:t>(2026/2035(INI))</w:t>
      </w:r>
      <w:r w:rsidRPr="009C55C1">
        <w:rPr>
          <w:rStyle w:val="HideTWBExt"/>
        </w:rPr>
        <w:t>&lt;/DocRef&gt;</w:t>
      </w:r>
    </w:p>
    <w:p w:rsidR="0046096B" w:rsidRPr="009C55C1" w14:paraId="7C416CA9"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74F27D76" w14:textId="77777777">
      <w:pPr>
        <w:pStyle w:val="NormalBold"/>
      </w:pPr>
      <w:r w:rsidRPr="009C55C1">
        <w:rPr>
          <w:rStyle w:val="HideTWBExt"/>
        </w:rPr>
        <w:t>&lt;Article&gt;</w:t>
      </w:r>
      <w:r w:rsidRPr="009C55C1">
        <w:t>Recital R a (new)</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5076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15C411A1" w14:textId="77777777"/>
        </w:tc>
      </w:tr>
      <w:tr w14:paraId="4F9F29F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765A0A47" w14:textId="77777777">
            <w:pPr>
              <w:pStyle w:val="AmColumnHeading"/>
            </w:pPr>
            <w:r w:rsidRPr="009C55C1">
              <w:t>Motion for a resolution</w:t>
            </w:r>
          </w:p>
        </w:tc>
        <w:tc>
          <w:tcPr>
            <w:tcW w:w="4876" w:type="dxa"/>
            <w:tcBorders>
              <w:top w:val="nil"/>
              <w:left w:val="nil"/>
              <w:bottom w:val="nil"/>
              <w:right w:val="nil"/>
            </w:tcBorders>
          </w:tcPr>
          <w:p w:rsidR="0046096B" w:rsidRPr="009C55C1" w14:paraId="77493C67" w14:textId="77777777">
            <w:pPr>
              <w:pStyle w:val="AmColumnHeading"/>
            </w:pPr>
            <w:r w:rsidRPr="009C55C1">
              <w:t>Amendment</w:t>
            </w:r>
          </w:p>
        </w:tc>
      </w:tr>
      <w:tr w14:paraId="46D717B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2818B308" w14:textId="77777777">
            <w:pPr>
              <w:pStyle w:val="Normal6a"/>
            </w:pPr>
          </w:p>
        </w:tc>
        <w:tc>
          <w:tcPr>
            <w:tcW w:w="4876" w:type="dxa"/>
            <w:tcBorders>
              <w:top w:val="nil"/>
              <w:left w:val="nil"/>
              <w:bottom w:val="nil"/>
              <w:right w:val="nil"/>
            </w:tcBorders>
          </w:tcPr>
          <w:p w:rsidR="0046096B" w:rsidRPr="009C55C1" w14:paraId="56990163" w14:textId="272298A7">
            <w:pPr>
              <w:pStyle w:val="Normal6a"/>
            </w:pPr>
            <w:r w:rsidRPr="009C55C1">
              <w:rPr>
                <w:b/>
                <w:i/>
              </w:rPr>
              <w:t>Ra.</w:t>
            </w:r>
            <w:r w:rsidRPr="009C55C1">
              <w:tab/>
            </w:r>
            <w:r w:rsidRPr="009C55C1">
              <w:rPr>
                <w:b/>
                <w:i/>
              </w:rPr>
              <w:t xml:space="preserve">whereas the Spanish autonomous cities of Ceuta and Melilla constitute external land borders of the European Union in North Africa and present a specific geographical and border configuration; whereas this position requires differentiated attention within European policies on border management, security, the prevention of illegal trafficking networks, and the protection of critical infrastructure; whereas cooperation with partner countries in the southern Mediterranean must contribute to the effective prevention </w:t>
            </w:r>
            <w:r w:rsidRPr="009C55C1">
              <w:rPr>
                <w:b/>
                <w:i/>
              </w:rPr>
              <w:t xml:space="preserve">of illegal crossings and of any </w:t>
            </w:r>
            <w:r w:rsidRPr="009C55C1">
              <w:rPr>
                <w:b/>
                <w:i/>
              </w:rPr>
              <w:t>instrumentalisation</w:t>
            </w:r>
            <w:r w:rsidRPr="009C55C1">
              <w:rPr>
                <w:b/>
                <w:i/>
              </w:rPr>
              <w:t xml:space="preserve"> of migratory flows;</w:t>
            </w:r>
          </w:p>
        </w:tc>
      </w:tr>
    </w:tbl>
    <w:p w:rsidR="0046096B" w:rsidRPr="009C55C1" w14:paraId="44B6B9A0"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30FC14A7"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51B1293A"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6</w:t>
      </w:r>
      <w:r w:rsidRPr="009C55C1">
        <w:rPr>
          <w:rStyle w:val="HideTWBExt"/>
        </w:rPr>
        <w:t>&lt;/NumAm&gt;</w:t>
      </w:r>
    </w:p>
    <w:p w:rsidR="0046096B" w:rsidRPr="009C55C1" w14:paraId="148778C1" w14:textId="77777777">
      <w:pPr>
        <w:pStyle w:val="AmNumberTabs"/>
      </w:pPr>
      <w:r w:rsidRPr="009C55C1">
        <w:t>Amendment</w:t>
      </w:r>
      <w:r w:rsidRPr="009C55C1">
        <w:tab/>
      </w:r>
      <w:r w:rsidRPr="009C55C1">
        <w:tab/>
      </w:r>
      <w:r w:rsidRPr="009C55C1">
        <w:rPr>
          <w:rStyle w:val="HideTWBExt"/>
        </w:rPr>
        <w:t>&lt;NumAm&gt;</w:t>
      </w:r>
      <w:r w:rsidRPr="009C55C1">
        <w:t>6</w:t>
      </w:r>
      <w:r w:rsidRPr="009C55C1">
        <w:rPr>
          <w:rStyle w:val="HideTWBExt"/>
        </w:rPr>
        <w:t>&lt;/NumAm&gt;</w:t>
      </w:r>
    </w:p>
    <w:p w:rsidR="0046096B" w:rsidRPr="009C55C1" w14:paraId="2C30400F" w14:textId="77777777">
      <w:pPr>
        <w:pStyle w:val="NormalBold"/>
      </w:pPr>
      <w:r w:rsidRPr="009C55C1">
        <w:rPr>
          <w:rStyle w:val="HideTWBExt"/>
          <w:b w:val="0"/>
        </w:rPr>
        <w:t>&lt;RepeatBlock-By&gt;&lt;By&gt;&lt;Members&gt;</w:t>
      </w:r>
      <w:r w:rsidRPr="009C55C1">
        <w:t xml:space="preserve">Jorge </w:t>
      </w:r>
      <w:r w:rsidRPr="009C55C1">
        <w:t>Buxadé</w:t>
      </w:r>
      <w:r w:rsidRPr="009C55C1">
        <w:t xml:space="preserve"> Villalba,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Afroditi </w:t>
      </w:r>
      <w:r w:rsidRPr="009C55C1">
        <w:t>Latinopoulou</w:t>
      </w:r>
      <w:r w:rsidRPr="009C55C1">
        <w:t xml:space="preserve">,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Tomáš Kubín, Jaroslava Pokorná Jermanová, Tamás Deutsch, Csaba Dömötör, Viktória Ferenc, Kinga Gál, György </w:t>
      </w:r>
      <w:r w:rsidRPr="009C55C1">
        <w:t>Hölvényi</w:t>
      </w:r>
      <w:r w:rsidRPr="009C55C1">
        <w:t xml:space="preserve">, András László, Balázs Orbán, Annamária Vicsek, András </w:t>
      </w:r>
      <w:r w:rsidRPr="009C55C1">
        <w:t>Gyürk</w:t>
      </w:r>
      <w:r w:rsidRPr="009C55C1">
        <w:t xml:space="preserve">, Enikő Győri, Ernő Schaller-Baross, Mireia </w:t>
      </w:r>
      <w:r w:rsidRPr="009C55C1">
        <w:t>Borrás</w:t>
      </w:r>
      <w:r w:rsidRPr="009C55C1">
        <w:t xml:space="preserve"> Pabón, Juan Carlos Girauta Vidal, Jorge Martín Frías, Margarita de la Pisa Carrión, Hermann Tertsch, Elisabeth Dieringer, Roman Haider, Georg Mayer, Petra Steger, Harald Vilimsky,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52163EEA" w14:textId="77777777">
      <w:pPr>
        <w:pStyle w:val="NormalBold"/>
      </w:pPr>
      <w:r w:rsidRPr="009C55C1">
        <w:rPr>
          <w:rStyle w:val="HideTWBExt"/>
          <w:b w:val="0"/>
        </w:rPr>
        <w:t>&lt;/By&gt;&lt;/RepeatBlock-By&gt;</w:t>
      </w:r>
    </w:p>
    <w:p w:rsidR="0046096B" w:rsidRPr="009C55C1" w14:paraId="3A786B14"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38B0B076"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6D6E82AB"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4397D83A" w14:textId="77777777">
      <w:pPr>
        <w:pStyle w:val="Normal12a"/>
      </w:pPr>
      <w:r w:rsidRPr="009C55C1">
        <w:rPr>
          <w:rStyle w:val="HideTWBExt"/>
        </w:rPr>
        <w:t>&lt;DocRef&gt;</w:t>
      </w:r>
      <w:r w:rsidRPr="009C55C1">
        <w:t>(2026/2035(INI))</w:t>
      </w:r>
      <w:r w:rsidRPr="009C55C1">
        <w:rPr>
          <w:rStyle w:val="HideTWBExt"/>
        </w:rPr>
        <w:t>&lt;/DocRef&gt;</w:t>
      </w:r>
    </w:p>
    <w:p w:rsidR="0046096B" w:rsidRPr="009C55C1" w14:paraId="334EF785"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777A89F9" w14:textId="77777777">
      <w:pPr>
        <w:pStyle w:val="NormalBold"/>
      </w:pPr>
      <w:r w:rsidRPr="009C55C1">
        <w:rPr>
          <w:rStyle w:val="HideTWBExt"/>
        </w:rPr>
        <w:t>&lt;Article&gt;</w:t>
      </w:r>
      <w:r w:rsidRPr="009C55C1">
        <w:t>Paragraph 7</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9B36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330BFB70" w14:textId="77777777"/>
        </w:tc>
      </w:tr>
      <w:tr w14:paraId="7EEED9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08246DB5" w14:textId="77777777">
            <w:pPr>
              <w:pStyle w:val="AmColumnHeading"/>
            </w:pPr>
            <w:r w:rsidRPr="009C55C1">
              <w:t>Motion for a resolution</w:t>
            </w:r>
          </w:p>
        </w:tc>
        <w:tc>
          <w:tcPr>
            <w:tcW w:w="4876" w:type="dxa"/>
            <w:tcBorders>
              <w:top w:val="nil"/>
              <w:left w:val="nil"/>
              <w:bottom w:val="nil"/>
              <w:right w:val="nil"/>
            </w:tcBorders>
          </w:tcPr>
          <w:p w:rsidR="0046096B" w:rsidRPr="009C55C1" w14:paraId="789172D2" w14:textId="77777777">
            <w:pPr>
              <w:pStyle w:val="AmColumnHeading"/>
            </w:pPr>
            <w:r w:rsidRPr="009C55C1">
              <w:t>Amendment</w:t>
            </w:r>
          </w:p>
        </w:tc>
      </w:tr>
      <w:tr w14:paraId="625323F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2C237CBA" w14:textId="77777777">
            <w:pPr>
              <w:pStyle w:val="Normal6a"/>
            </w:pPr>
            <w:r w:rsidRPr="009C55C1">
              <w:t>7.</w:t>
            </w:r>
            <w:r w:rsidRPr="009C55C1">
              <w:tab/>
              <w:t>Stresses that the Pact should serve as a framework for stronger political, economic, energy and security cooperation, based on partnership, trust and shared interests, with the aim of building a more stable, prosperous and resilient Mediterranean region;</w:t>
            </w:r>
          </w:p>
        </w:tc>
        <w:tc>
          <w:tcPr>
            <w:tcW w:w="4876" w:type="dxa"/>
            <w:tcBorders>
              <w:top w:val="nil"/>
              <w:left w:val="nil"/>
              <w:bottom w:val="nil"/>
              <w:right w:val="nil"/>
            </w:tcBorders>
          </w:tcPr>
          <w:p w:rsidR="0046096B" w:rsidRPr="009C55C1" w14:paraId="1711DE88" w14:textId="43281D35">
            <w:pPr>
              <w:pStyle w:val="Normal6a"/>
              <w:rPr>
                <w:b/>
                <w:i/>
              </w:rPr>
            </w:pPr>
            <w:r w:rsidRPr="009C55C1">
              <w:t>7.</w:t>
            </w:r>
            <w:r w:rsidRPr="009C55C1">
              <w:tab/>
              <w:t xml:space="preserve">Stresses that the Pact should serve as a framework for stronger political, economic, energy and security cooperation, based on partnership, trust and shared interests, with the aim of building a more stable, prosperous and resilient Mediterranean region; </w:t>
            </w:r>
            <w:r w:rsidRPr="009C55C1">
              <w:rPr>
                <w:b/>
                <w:i/>
              </w:rPr>
              <w:t xml:space="preserve">underlines the importance of establishing a link between trade and investment relations with </w:t>
            </w:r>
            <w:r w:rsidRPr="009C55C1" w:rsidR="008B46BF">
              <w:rPr>
                <w:b/>
                <w:i/>
              </w:rPr>
              <w:t xml:space="preserve">third </w:t>
            </w:r>
            <w:r w:rsidRPr="009C55C1">
              <w:rPr>
                <w:b/>
                <w:i/>
              </w:rPr>
              <w:t xml:space="preserve">countries, and cooperation in the field of migration; calls on the Commission to introduce such conditionalities in future agreements between the EU and </w:t>
            </w:r>
            <w:r w:rsidRPr="009C55C1" w:rsidR="008B46BF">
              <w:rPr>
                <w:b/>
                <w:i/>
              </w:rPr>
              <w:t xml:space="preserve">third </w:t>
            </w:r>
            <w:r w:rsidRPr="009C55C1">
              <w:rPr>
                <w:b/>
                <w:i/>
              </w:rPr>
              <w:t xml:space="preserve">countries, following the example of the </w:t>
            </w:r>
            <w:r w:rsidRPr="009C55C1">
              <w:rPr>
                <w:b/>
                <w:i/>
              </w:rPr>
              <w:t>readmission conditionality introduced in the revised GSP Regulation</w:t>
            </w:r>
            <w:r w:rsidRPr="009C55C1" w:rsidR="0016491F">
              <w:rPr>
                <w:b/>
                <w:i/>
                <w:vertAlign w:val="superscript"/>
              </w:rPr>
              <w:t>1</w:t>
            </w:r>
            <w:r w:rsidRPr="009C55C1">
              <w:rPr>
                <w:b/>
                <w:i/>
              </w:rPr>
              <w:t>;</w:t>
            </w:r>
            <w:r w:rsidRPr="009C55C1" w:rsidR="009A551C">
              <w:rPr>
                <w:b/>
                <w:i/>
              </w:rPr>
              <w:t xml:space="preserve"> </w:t>
            </w:r>
          </w:p>
          <w:p w:rsidR="002907C3" w:rsidRPr="009C55C1" w14:paraId="0D2611DF" w14:textId="7520494B">
            <w:pPr>
              <w:pStyle w:val="Normal6a"/>
              <w:rPr>
                <w:b/>
                <w:i/>
              </w:rPr>
            </w:pPr>
            <w:r w:rsidRPr="009C55C1">
              <w:rPr>
                <w:b/>
                <w:i/>
              </w:rPr>
              <w:t>______________</w:t>
            </w:r>
          </w:p>
          <w:p w:rsidR="009A551C" w:rsidRPr="009C55C1" w14:paraId="6874C269" w14:textId="22900896">
            <w:pPr>
              <w:pStyle w:val="Normal6a"/>
            </w:pPr>
            <w:r w:rsidRPr="009C55C1">
              <w:rPr>
                <w:b/>
                <w:i/>
                <w:vertAlign w:val="superscript"/>
              </w:rPr>
              <w:t>1</w:t>
            </w:r>
            <w:r w:rsidRPr="009C55C1">
              <w:rPr>
                <w:b/>
                <w:i/>
              </w:rPr>
              <w:t xml:space="preserve"> </w:t>
            </w:r>
            <w:r w:rsidRPr="009C55C1">
              <w:rPr>
                <w:b/>
                <w:bCs/>
                <w:i/>
              </w:rPr>
              <w:t>Regulation (EU) 2026/1395 of the European Parliament and of the Council of 17 June 2026 on applying a generalised scheme of tariff preferences and repealing Regulation (EU) No 978/2012 (</w:t>
            </w:r>
            <w:r w:rsidRPr="009C55C1">
              <w:rPr>
                <w:b/>
                <w:bCs/>
                <w:i/>
                <w:iCs/>
              </w:rPr>
              <w:t>OJ L, 2026/1395, 22.6.2026, ELI: </w:t>
            </w:r>
            <w:hyperlink r:id="rId11" w:tgtFrame="_blank" w:tooltip="Gives access to this document through its ELI URI." w:history="1">
              <w:r w:rsidRPr="009C55C1">
                <w:rPr>
                  <w:rStyle w:val="Hyperlink"/>
                  <w:b/>
                  <w:bCs/>
                  <w:i/>
                  <w:iCs/>
                </w:rPr>
                <w:t>http://data.europa.eu/eli/reg/2026/1395/oj</w:t>
              </w:r>
            </w:hyperlink>
            <w:r w:rsidRPr="009C55C1">
              <w:rPr>
                <w:b/>
                <w:bCs/>
                <w:i/>
              </w:rPr>
              <w:t>).</w:t>
            </w:r>
          </w:p>
        </w:tc>
      </w:tr>
    </w:tbl>
    <w:p w:rsidR="0046096B" w:rsidRPr="009C55C1" w14:paraId="2A9885B1"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384D968B"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139511AA"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7</w:t>
      </w:r>
      <w:r w:rsidRPr="009C55C1">
        <w:rPr>
          <w:rStyle w:val="HideTWBExt"/>
        </w:rPr>
        <w:t>&lt;/NumAm&gt;</w:t>
      </w:r>
    </w:p>
    <w:p w:rsidR="0046096B" w:rsidRPr="009C55C1" w14:paraId="58D35EF4" w14:textId="77777777">
      <w:pPr>
        <w:pStyle w:val="AmNumberTabs"/>
      </w:pPr>
      <w:r w:rsidRPr="009C55C1">
        <w:t>Amendment</w:t>
      </w:r>
      <w:r w:rsidRPr="009C55C1">
        <w:tab/>
      </w:r>
      <w:r w:rsidRPr="009C55C1">
        <w:tab/>
      </w:r>
      <w:r w:rsidRPr="009C55C1">
        <w:rPr>
          <w:rStyle w:val="HideTWBExt"/>
        </w:rPr>
        <w:t>&lt;NumAm&gt;</w:t>
      </w:r>
      <w:r w:rsidRPr="009C55C1">
        <w:t>7</w:t>
      </w:r>
      <w:r w:rsidRPr="009C55C1">
        <w:rPr>
          <w:rStyle w:val="HideTWBExt"/>
        </w:rPr>
        <w:t>&lt;/NumAm&gt;</w:t>
      </w:r>
    </w:p>
    <w:p w:rsidR="0046096B" w:rsidRPr="009C55C1" w14:paraId="3FEE9952" w14:textId="350818E7">
      <w:pPr>
        <w:pStyle w:val="NormalBold"/>
      </w:pPr>
      <w:r w:rsidRPr="009C55C1">
        <w:rPr>
          <w:rStyle w:val="HideTWBExt"/>
          <w:b w:val="0"/>
        </w:rPr>
        <w:t>&lt;RepeatBlock-By&gt;&lt;By&gt;&lt;Members&gt;</w:t>
      </w:r>
      <w:r w:rsidRPr="009C55C1">
        <w:t xml:space="preserve">Afroditi </w:t>
      </w:r>
      <w:r w:rsidRPr="009C55C1">
        <w:t>Latinopoulou</w:t>
      </w:r>
      <w:r w:rsidRPr="009C55C1">
        <w:t xml:space="preserve">,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w:t>
      </w:r>
      <w:r w:rsidRPr="009C55C1" w:rsidR="009A551C">
        <w:t xml:space="preserve">Jorge </w:t>
      </w:r>
      <w:r w:rsidRPr="009C55C1" w:rsidR="009A551C">
        <w:t>Buxadé</w:t>
      </w:r>
      <w:r w:rsidRPr="009C55C1" w:rsidR="009A551C">
        <w:t xml:space="preserve"> Villalba, </w:t>
      </w:r>
      <w:r w:rsidRPr="009C55C1">
        <w:t xml:space="preserve">Mireia </w:t>
      </w:r>
      <w:r w:rsidRPr="009C55C1">
        <w:t>Borrás</w:t>
      </w:r>
      <w:r w:rsidRPr="009C55C1">
        <w:t xml:space="preserve"> Pabón, Juan Carlos Girauta Vidal, Jorge Martín Frías, Margarita de la Pisa Carrión, Hermann Tertsch, Elisabeth Dieringer, Roman Haider, Georg Mayer, Petra Steger, Harald Vilimsky, Mélanie </w:t>
      </w:r>
      <w:r w:rsidRPr="009C55C1">
        <w:t>Disdier</w:t>
      </w:r>
      <w:r w:rsidRPr="009C55C1">
        <w:t xml:space="preserve">, Tomasz Buczek, Anna Bryłka, Ewa </w:t>
      </w:r>
      <w:r w:rsidRPr="009C55C1">
        <w:t>Zajączkowska-Hernik</w:t>
      </w:r>
      <w:r w:rsidRPr="009C55C1">
        <w:rPr>
          <w:rStyle w:val="HideTWBExt"/>
          <w:b w:val="0"/>
        </w:rPr>
        <w:t>&lt;/Members&gt;</w:t>
      </w:r>
    </w:p>
    <w:p w:rsidR="0046096B" w:rsidRPr="009C55C1" w14:paraId="3F7CC118" w14:textId="77777777">
      <w:pPr>
        <w:pStyle w:val="NormalBold"/>
      </w:pPr>
      <w:r w:rsidRPr="009C55C1">
        <w:rPr>
          <w:rStyle w:val="HideTWBExt"/>
          <w:b w:val="0"/>
        </w:rPr>
        <w:t>&lt;/By&gt;&lt;/RepeatBlock-By&gt;</w:t>
      </w:r>
    </w:p>
    <w:p w:rsidR="0046096B" w:rsidRPr="009C55C1" w14:paraId="30089B8C"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55441DEE"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313D05A9"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0D0EE1D7" w14:textId="77777777">
      <w:pPr>
        <w:pStyle w:val="Normal12a"/>
      </w:pPr>
      <w:r w:rsidRPr="009C55C1">
        <w:rPr>
          <w:rStyle w:val="HideTWBExt"/>
        </w:rPr>
        <w:t>&lt;DocRef&gt;</w:t>
      </w:r>
      <w:r w:rsidRPr="009C55C1">
        <w:t>(2026/2035(INI))</w:t>
      </w:r>
      <w:r w:rsidRPr="009C55C1">
        <w:rPr>
          <w:rStyle w:val="HideTWBExt"/>
        </w:rPr>
        <w:t>&lt;/DocRef&gt;</w:t>
      </w:r>
    </w:p>
    <w:p w:rsidR="0046096B" w:rsidRPr="009C55C1" w14:paraId="0EFAA67D"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40D1B16C" w14:textId="77777777">
      <w:pPr>
        <w:pStyle w:val="NormalBold"/>
      </w:pPr>
      <w:r w:rsidRPr="009C55C1">
        <w:rPr>
          <w:rStyle w:val="HideTWBExt"/>
        </w:rPr>
        <w:t>&lt;Article&gt;</w:t>
      </w:r>
      <w:r w:rsidRPr="009C55C1">
        <w:t>Paragraph 9 a (new)</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D28D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479055EC" w14:textId="77777777"/>
        </w:tc>
      </w:tr>
      <w:tr w14:paraId="266A8A7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50545503" w14:textId="77777777">
            <w:pPr>
              <w:pStyle w:val="AmColumnHeading"/>
            </w:pPr>
            <w:r w:rsidRPr="009C55C1">
              <w:t>Motion for a resolution</w:t>
            </w:r>
          </w:p>
        </w:tc>
        <w:tc>
          <w:tcPr>
            <w:tcW w:w="4876" w:type="dxa"/>
            <w:tcBorders>
              <w:top w:val="nil"/>
              <w:left w:val="nil"/>
              <w:bottom w:val="nil"/>
              <w:right w:val="nil"/>
            </w:tcBorders>
          </w:tcPr>
          <w:p w:rsidR="0046096B" w:rsidRPr="009C55C1" w14:paraId="4E4E2191" w14:textId="77777777">
            <w:pPr>
              <w:pStyle w:val="AmColumnHeading"/>
            </w:pPr>
            <w:r w:rsidRPr="009C55C1">
              <w:t>Amendment</w:t>
            </w:r>
          </w:p>
        </w:tc>
      </w:tr>
      <w:tr w14:paraId="41B7C01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604F12C8" w14:textId="77777777">
            <w:pPr>
              <w:pStyle w:val="Normal6a"/>
            </w:pPr>
          </w:p>
        </w:tc>
        <w:tc>
          <w:tcPr>
            <w:tcW w:w="4876" w:type="dxa"/>
            <w:tcBorders>
              <w:top w:val="nil"/>
              <w:left w:val="nil"/>
              <w:bottom w:val="nil"/>
              <w:right w:val="nil"/>
            </w:tcBorders>
          </w:tcPr>
          <w:p w:rsidR="0046096B" w:rsidRPr="009C55C1" w14:paraId="54905FCB" w14:textId="043D13B7">
            <w:pPr>
              <w:pStyle w:val="Normal6a"/>
            </w:pPr>
            <w:r w:rsidRPr="009C55C1">
              <w:rPr>
                <w:b/>
                <w:i/>
              </w:rPr>
              <w:t>9a.</w:t>
            </w:r>
            <w:r w:rsidRPr="009C55C1">
              <w:tab/>
            </w:r>
            <w:r w:rsidRPr="009C55C1">
              <w:rPr>
                <w:b/>
                <w:i/>
              </w:rPr>
              <w:t xml:space="preserve">Condemns the continued Turkish occupation of part of the territory of the Republic of Cyprus and calls for the withdrawal of </w:t>
            </w:r>
            <w:r w:rsidRPr="009C55C1" w:rsidR="002907C3">
              <w:rPr>
                <w:b/>
                <w:i/>
              </w:rPr>
              <w:t xml:space="preserve">the </w:t>
            </w:r>
            <w:r w:rsidRPr="009C55C1">
              <w:rPr>
                <w:b/>
                <w:i/>
              </w:rPr>
              <w:t>Turkish occupation forces; reaffirms its commitment to the sovereignty, independence and territorial integrity of the Republic of Cyprus; rejects any attempt to impose a two-state solution or to secure recognition of the secessionist entity in the occupied areas; calls on Türkiye to recognise the Republic of Cyprus and to contribute constructively to a comprehensive and lasting settlement of the Cyprus problem, in accordance with the relevant UN Security Council resolutions and the EU acquis;</w:t>
            </w:r>
          </w:p>
        </w:tc>
      </w:tr>
    </w:tbl>
    <w:p w:rsidR="0046096B" w:rsidRPr="009C55C1" w14:paraId="415222C7"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070D0B02"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1A6BEF9F"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8</w:t>
      </w:r>
      <w:r w:rsidRPr="009C55C1">
        <w:rPr>
          <w:rStyle w:val="HideTWBExt"/>
        </w:rPr>
        <w:t>&lt;/NumAm&gt;</w:t>
      </w:r>
    </w:p>
    <w:p w:rsidR="0046096B" w:rsidRPr="009C55C1" w14:paraId="39D45A77" w14:textId="77777777">
      <w:pPr>
        <w:pStyle w:val="AmNumberTabs"/>
      </w:pPr>
      <w:r w:rsidRPr="009C55C1">
        <w:t>Amendment</w:t>
      </w:r>
      <w:r w:rsidRPr="009C55C1">
        <w:tab/>
      </w:r>
      <w:r w:rsidRPr="009C55C1">
        <w:tab/>
      </w:r>
      <w:r w:rsidRPr="009C55C1">
        <w:rPr>
          <w:rStyle w:val="HideTWBExt"/>
        </w:rPr>
        <w:t>&lt;NumAm&gt;</w:t>
      </w:r>
      <w:r w:rsidRPr="009C55C1">
        <w:t>8</w:t>
      </w:r>
      <w:r w:rsidRPr="009C55C1">
        <w:rPr>
          <w:rStyle w:val="HideTWBExt"/>
        </w:rPr>
        <w:t>&lt;/NumAm&gt;</w:t>
      </w:r>
    </w:p>
    <w:p w:rsidR="0046096B" w:rsidRPr="009C55C1" w14:paraId="229F4772" w14:textId="77777777">
      <w:pPr>
        <w:pStyle w:val="NormalBold"/>
      </w:pPr>
      <w:r w:rsidRPr="009C55C1">
        <w:rPr>
          <w:rStyle w:val="HideTWBExt"/>
          <w:b w:val="0"/>
        </w:rPr>
        <w:t>&lt;RepeatBlock-By&gt;&lt;By&gt;&lt;Members&gt;</w:t>
      </w:r>
      <w:r w:rsidRPr="009C55C1">
        <w:t xml:space="preserve">Afroditi </w:t>
      </w:r>
      <w:r w:rsidRPr="009C55C1">
        <w:t>Latinopoulou</w:t>
      </w:r>
      <w:r w:rsidRPr="009C55C1">
        <w:t xml:space="preserve">,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Jorge </w:t>
      </w:r>
      <w:r w:rsidRPr="009C55C1">
        <w:t>Buxadé</w:t>
      </w:r>
      <w:r w:rsidRPr="009C55C1">
        <w:t xml:space="preserve"> Villalba, Mireia </w:t>
      </w:r>
      <w:r w:rsidRPr="009C55C1">
        <w:t>Borrás</w:t>
      </w:r>
      <w:r w:rsidRPr="009C55C1">
        <w:t xml:space="preserve"> Pabón, Juan Carlos Girauta Vidal, Jorge Martín Frías, Margarita de la Pisa Carrión, Hermann Tertsch, Elisabeth Dieringer, Roman Haider, Georg Mayer, Petra Steger, Harald Vilimsky,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5384AD71" w14:textId="77777777">
      <w:pPr>
        <w:pStyle w:val="NormalBold"/>
      </w:pPr>
      <w:r w:rsidRPr="009C55C1">
        <w:rPr>
          <w:rStyle w:val="HideTWBExt"/>
          <w:b w:val="0"/>
        </w:rPr>
        <w:t>&lt;/By&gt;&lt;/RepeatBlock-By&gt;</w:t>
      </w:r>
    </w:p>
    <w:p w:rsidR="0046096B" w:rsidRPr="009C55C1" w14:paraId="23FE9767"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79030B9A"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04E11433"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49D0A8BE" w14:textId="77777777">
      <w:pPr>
        <w:pStyle w:val="Normal12a"/>
      </w:pPr>
      <w:r w:rsidRPr="009C55C1">
        <w:rPr>
          <w:rStyle w:val="HideTWBExt"/>
        </w:rPr>
        <w:t>&lt;DocRef&gt;</w:t>
      </w:r>
      <w:r w:rsidRPr="009C55C1">
        <w:t>(2026/2035(INI))</w:t>
      </w:r>
      <w:r w:rsidRPr="009C55C1">
        <w:rPr>
          <w:rStyle w:val="HideTWBExt"/>
        </w:rPr>
        <w:t>&lt;/DocRef&gt;</w:t>
      </w:r>
    </w:p>
    <w:p w:rsidR="0046096B" w:rsidRPr="009C55C1" w14:paraId="64E64E0C"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724D1812" w14:textId="77777777">
      <w:pPr>
        <w:pStyle w:val="NormalBold"/>
      </w:pPr>
      <w:r w:rsidRPr="009C55C1">
        <w:rPr>
          <w:rStyle w:val="HideTWBExt"/>
        </w:rPr>
        <w:t>&lt;Article&gt;</w:t>
      </w:r>
      <w:r w:rsidRPr="009C55C1">
        <w:t>Paragraph 10</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7176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12A15218" w14:textId="77777777"/>
        </w:tc>
      </w:tr>
      <w:tr w14:paraId="50B2BDD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43A94BC4" w14:textId="77777777">
            <w:pPr>
              <w:pStyle w:val="AmColumnHeading"/>
            </w:pPr>
            <w:r w:rsidRPr="009C55C1">
              <w:t>Motion for a resolution</w:t>
            </w:r>
          </w:p>
        </w:tc>
        <w:tc>
          <w:tcPr>
            <w:tcW w:w="4876" w:type="dxa"/>
            <w:tcBorders>
              <w:top w:val="nil"/>
              <w:left w:val="nil"/>
              <w:bottom w:val="nil"/>
              <w:right w:val="nil"/>
            </w:tcBorders>
          </w:tcPr>
          <w:p w:rsidR="0046096B" w:rsidRPr="009C55C1" w14:paraId="50CC8262" w14:textId="77777777">
            <w:pPr>
              <w:pStyle w:val="AmColumnHeading"/>
            </w:pPr>
            <w:r w:rsidRPr="009C55C1">
              <w:t>Amendment</w:t>
            </w:r>
          </w:p>
        </w:tc>
      </w:tr>
      <w:tr w14:paraId="7D22D5B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7429016B" w14:textId="77777777">
            <w:pPr>
              <w:pStyle w:val="Normal6a"/>
            </w:pPr>
            <w:r w:rsidRPr="009C55C1">
              <w:t>10.</w:t>
            </w:r>
            <w:r w:rsidRPr="009C55C1">
              <w:tab/>
              <w:t xml:space="preserve">Underlines that respect for international law, and the inviolability of the sovereignty and sovereign rights of Member States in their maritime zones, including exclusive economic zones, in line with UN Convention on the Law of the Sea (UNCLOS), as well as the territorial integrity and sovereignty of states, should be at the core of the common rules on which our cooperation is based; calls, therefore, for the EU to make full use of its diplomatic influence and to provide the necessary technical assistance to support the peaceful resolution of ongoing and protracted conflicts in the Mediterranean region, in full compliance with international law and the principles of the UN Charter, recognising that conflict </w:t>
            </w:r>
            <w:r w:rsidRPr="009C55C1">
              <w:t>resolution, accountability and respect for international law are essential prerequisites for long-term peace, stability, real human security and sustainable prosperity in the region;</w:t>
            </w:r>
          </w:p>
        </w:tc>
        <w:tc>
          <w:tcPr>
            <w:tcW w:w="4876" w:type="dxa"/>
            <w:tcBorders>
              <w:top w:val="nil"/>
              <w:left w:val="nil"/>
              <w:bottom w:val="nil"/>
              <w:right w:val="nil"/>
            </w:tcBorders>
          </w:tcPr>
          <w:p w:rsidR="0046096B" w:rsidRPr="009C55C1" w14:paraId="642867CB" w14:textId="77B86F7A">
            <w:pPr>
              <w:pStyle w:val="Normal6a"/>
            </w:pPr>
            <w:r w:rsidRPr="009C55C1">
              <w:t>10.</w:t>
            </w:r>
            <w:r w:rsidRPr="009C55C1">
              <w:tab/>
              <w:t xml:space="preserve">Underlines that respect for international law, and the inviolability of the sovereignty and sovereign rights of Member States in their maritime zones, including exclusive economic zones, in line with UN Convention on the Law of the Sea (UNCLOS), as well as the territorial integrity and sovereignty of states, should be at the core of the common rules on which our cooperation is based; calls, therefore, for the EU to make full use of its diplomatic influence and to provide the necessary technical assistance to support the peaceful resolution of ongoing and protracted conflicts in the Mediterranean region, in full compliance with international law and the principles of the UN Charter, recognising that conflict </w:t>
            </w:r>
            <w:r w:rsidRPr="009C55C1">
              <w:t xml:space="preserve">resolution, accountability and respect for international law are essential prerequisites for long-term peace, stability, real human security and sustainable prosperity in the region; </w:t>
            </w:r>
            <w:r w:rsidRPr="009C55C1">
              <w:rPr>
                <w:b/>
                <w:i/>
              </w:rPr>
              <w:t>expresses its full solidarity with Greece and the Republic of Cyprus in the face of threats and actions that violate their sovereignty and sovereign rights; calls on Türkiye to withdraw its threat of</w:t>
            </w:r>
            <w:r w:rsidRPr="009C55C1" w:rsidR="00AE1A97">
              <w:rPr>
                <w:b/>
                <w:i/>
              </w:rPr>
              <w:t xml:space="preserve"> a</w:t>
            </w:r>
            <w:r w:rsidRPr="009C55C1">
              <w:rPr>
                <w:b/>
                <w:i/>
              </w:rPr>
              <w:t xml:space="preserve"> casus belli against Greece and to refrain from all forms of military coercion; stresses that the exercise by Member States of their rights under international law, including UNCLOS, must not be met with threats or the use of force;</w:t>
            </w:r>
          </w:p>
        </w:tc>
      </w:tr>
    </w:tbl>
    <w:p w:rsidR="0046096B" w:rsidRPr="009C55C1" w14:paraId="3C6EFC05"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08C71A92"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595302D8"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9</w:t>
      </w:r>
      <w:r w:rsidRPr="009C55C1">
        <w:rPr>
          <w:rStyle w:val="HideTWBExt"/>
        </w:rPr>
        <w:t>&lt;/NumAm&gt;</w:t>
      </w:r>
    </w:p>
    <w:p w:rsidR="0046096B" w:rsidRPr="009C55C1" w14:paraId="60A0EDF6" w14:textId="77777777">
      <w:pPr>
        <w:pStyle w:val="AmNumberTabs"/>
      </w:pPr>
      <w:r w:rsidRPr="009C55C1">
        <w:t>Amendment</w:t>
      </w:r>
      <w:r w:rsidRPr="009C55C1">
        <w:tab/>
      </w:r>
      <w:r w:rsidRPr="009C55C1">
        <w:tab/>
      </w:r>
      <w:r w:rsidRPr="009C55C1">
        <w:rPr>
          <w:rStyle w:val="HideTWBExt"/>
        </w:rPr>
        <w:t>&lt;NumAm&gt;</w:t>
      </w:r>
      <w:r w:rsidRPr="009C55C1">
        <w:t>9</w:t>
      </w:r>
      <w:r w:rsidRPr="009C55C1">
        <w:rPr>
          <w:rStyle w:val="HideTWBExt"/>
        </w:rPr>
        <w:t>&lt;/NumAm&gt;</w:t>
      </w:r>
    </w:p>
    <w:p w:rsidR="0046096B" w:rsidRPr="009C55C1" w14:paraId="18D5D9E0" w14:textId="77777777">
      <w:pPr>
        <w:pStyle w:val="NormalBold"/>
      </w:pPr>
      <w:r w:rsidRPr="009C55C1">
        <w:rPr>
          <w:rStyle w:val="HideTWBExt"/>
          <w:b w:val="0"/>
        </w:rPr>
        <w:t>&lt;RepeatBlock-By&gt;&lt;By&gt;&lt;Members&gt;</w:t>
      </w:r>
      <w:r w:rsidRPr="009C55C1">
        <w:t xml:space="preserve">Jorge </w:t>
      </w:r>
      <w:r w:rsidRPr="009C55C1">
        <w:t>Buxadé</w:t>
      </w:r>
      <w:r w:rsidRPr="009C55C1">
        <w:t xml:space="preserve"> Villalba,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Afroditi </w:t>
      </w:r>
      <w:r w:rsidRPr="009C55C1">
        <w:t>Latinopoulou</w:t>
      </w:r>
      <w:r w:rsidRPr="009C55C1">
        <w:t xml:space="preserve">,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Tomáš Kubín, Jaroslava Pokorná Jermanová, Tamás Deutsch, Csaba Dömötör, Viktória Ferenc, Kinga Gál, György </w:t>
      </w:r>
      <w:r w:rsidRPr="009C55C1">
        <w:t>Hölvényi</w:t>
      </w:r>
      <w:r w:rsidRPr="009C55C1">
        <w:t xml:space="preserve">, András László, Balázs Orbán, Annamária Vicsek, András </w:t>
      </w:r>
      <w:r w:rsidRPr="009C55C1">
        <w:t>Gyürk</w:t>
      </w:r>
      <w:r w:rsidRPr="009C55C1">
        <w:t xml:space="preserve">, Enikő Győri, Ernő Schaller-Baross, Mireia </w:t>
      </w:r>
      <w:r w:rsidRPr="009C55C1">
        <w:t>Borrás</w:t>
      </w:r>
      <w:r w:rsidRPr="009C55C1">
        <w:t xml:space="preserve"> Pabón, Juan Carlos Girauta Vidal, Jorge Martín Frías, Margarita de la Pisa Carrión, Hermann Tertsch, Elisabeth Dieringer, Roman Haider, Georg Mayer, Petra Steger, Harald Vilimsky, Zsuzsanna Borvendég,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5F14223E" w14:textId="77777777">
      <w:pPr>
        <w:pStyle w:val="NormalBold"/>
      </w:pPr>
      <w:r w:rsidRPr="009C55C1">
        <w:rPr>
          <w:rStyle w:val="HideTWBExt"/>
          <w:b w:val="0"/>
        </w:rPr>
        <w:t>&lt;/By&gt;&lt;/RepeatBlock-By&gt;</w:t>
      </w:r>
    </w:p>
    <w:p w:rsidR="0046096B" w:rsidRPr="009C55C1" w14:paraId="22728363"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1E271ECB"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5DD52391"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54C25900" w14:textId="77777777">
      <w:pPr>
        <w:pStyle w:val="Normal12a"/>
      </w:pPr>
      <w:r w:rsidRPr="009C55C1">
        <w:rPr>
          <w:rStyle w:val="HideTWBExt"/>
        </w:rPr>
        <w:t>&lt;DocRef&gt;</w:t>
      </w:r>
      <w:r w:rsidRPr="009C55C1">
        <w:t>(2026/2035(INI))</w:t>
      </w:r>
      <w:r w:rsidRPr="009C55C1">
        <w:rPr>
          <w:rStyle w:val="HideTWBExt"/>
        </w:rPr>
        <w:t>&lt;/DocRef&gt;</w:t>
      </w:r>
    </w:p>
    <w:p w:rsidR="0046096B" w:rsidRPr="009C55C1" w14:paraId="3EDD4159"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4920BFD5" w14:textId="77777777">
      <w:pPr>
        <w:pStyle w:val="NormalBold"/>
      </w:pPr>
      <w:r w:rsidRPr="009C55C1">
        <w:rPr>
          <w:rStyle w:val="HideTWBExt"/>
        </w:rPr>
        <w:t>&lt;Article&gt;</w:t>
      </w:r>
      <w:r w:rsidRPr="009C55C1">
        <w:t>Paragraph 10 a (new)</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D7FE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086C39AE" w14:textId="77777777"/>
        </w:tc>
      </w:tr>
      <w:tr w14:paraId="7033B16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444FD95E" w14:textId="77777777">
            <w:pPr>
              <w:pStyle w:val="AmColumnHeading"/>
            </w:pPr>
            <w:r w:rsidRPr="009C55C1">
              <w:t>Motion for a resolution</w:t>
            </w:r>
          </w:p>
        </w:tc>
        <w:tc>
          <w:tcPr>
            <w:tcW w:w="4876" w:type="dxa"/>
            <w:tcBorders>
              <w:top w:val="nil"/>
              <w:left w:val="nil"/>
              <w:bottom w:val="nil"/>
              <w:right w:val="nil"/>
            </w:tcBorders>
          </w:tcPr>
          <w:p w:rsidR="0046096B" w:rsidRPr="009C55C1" w14:paraId="4652C3F0" w14:textId="77777777">
            <w:pPr>
              <w:pStyle w:val="AmColumnHeading"/>
            </w:pPr>
            <w:r w:rsidRPr="009C55C1">
              <w:t>Amendment</w:t>
            </w:r>
          </w:p>
        </w:tc>
      </w:tr>
      <w:tr w14:paraId="508004F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0A29360D" w14:textId="77777777">
            <w:pPr>
              <w:pStyle w:val="Normal6a"/>
            </w:pPr>
          </w:p>
        </w:tc>
        <w:tc>
          <w:tcPr>
            <w:tcW w:w="4876" w:type="dxa"/>
            <w:tcBorders>
              <w:top w:val="nil"/>
              <w:left w:val="nil"/>
              <w:bottom w:val="nil"/>
              <w:right w:val="nil"/>
            </w:tcBorders>
          </w:tcPr>
          <w:p w:rsidR="0046096B" w:rsidRPr="009C55C1" w14:paraId="6A0B59C7" w14:textId="589D2F85">
            <w:pPr>
              <w:pStyle w:val="Normal6a"/>
            </w:pPr>
            <w:r w:rsidRPr="009C55C1">
              <w:rPr>
                <w:b/>
                <w:i/>
              </w:rPr>
              <w:t>10a.</w:t>
            </w:r>
            <w:r w:rsidRPr="009C55C1">
              <w:tab/>
            </w:r>
            <w:r w:rsidRPr="009C55C1">
              <w:rPr>
                <w:b/>
                <w:i/>
              </w:rPr>
              <w:t xml:space="preserve">Recalls that Euro-Mediterranean cooperation must fully respect the sovereignty and territorial integrity of all Member States; stresses, in particular, the status of Ceuta and Melilla as Spanish cities and external borders of the </w:t>
            </w:r>
            <w:r w:rsidRPr="009C55C1" w:rsidR="006877BA">
              <w:rPr>
                <w:b/>
                <w:i/>
              </w:rPr>
              <w:t>E</w:t>
            </w:r>
            <w:r w:rsidRPr="009C55C1">
              <w:rPr>
                <w:b/>
                <w:i/>
              </w:rPr>
              <w:t>U in North Africa and calls for the Pact</w:t>
            </w:r>
            <w:r w:rsidRPr="009C55C1" w:rsidR="003B1E82">
              <w:rPr>
                <w:b/>
                <w:i/>
              </w:rPr>
              <w:t>’</w:t>
            </w:r>
            <w:r w:rsidRPr="009C55C1">
              <w:rPr>
                <w:b/>
                <w:i/>
              </w:rPr>
              <w:t xml:space="preserve">s initiatives to </w:t>
            </w:r>
            <w:r w:rsidRPr="009C55C1">
              <w:rPr>
                <w:b/>
                <w:i/>
              </w:rPr>
              <w:t>take into account</w:t>
            </w:r>
            <w:r w:rsidRPr="009C55C1">
              <w:rPr>
                <w:b/>
                <w:i/>
              </w:rPr>
              <w:t xml:space="preserve"> the specific protection and stability needs of these territories;</w:t>
            </w:r>
          </w:p>
        </w:tc>
      </w:tr>
    </w:tbl>
    <w:p w:rsidR="0046096B" w:rsidRPr="009C55C1" w14:paraId="5A4AE06D"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0590A2FF"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18C9CB9C"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10</w:t>
      </w:r>
      <w:r w:rsidRPr="009C55C1">
        <w:rPr>
          <w:rStyle w:val="HideTWBExt"/>
        </w:rPr>
        <w:t>&lt;/NumAm&gt;</w:t>
      </w:r>
    </w:p>
    <w:p w:rsidR="0046096B" w:rsidRPr="009C55C1" w14:paraId="1094D147" w14:textId="77777777">
      <w:pPr>
        <w:pStyle w:val="AmNumberTabs"/>
      </w:pPr>
      <w:r w:rsidRPr="009C55C1">
        <w:t>Amendment</w:t>
      </w:r>
      <w:r w:rsidRPr="009C55C1">
        <w:tab/>
      </w:r>
      <w:r w:rsidRPr="009C55C1">
        <w:tab/>
      </w:r>
      <w:r w:rsidRPr="009C55C1">
        <w:rPr>
          <w:rStyle w:val="HideTWBExt"/>
        </w:rPr>
        <w:t>&lt;NumAm&gt;</w:t>
      </w:r>
      <w:r w:rsidRPr="009C55C1">
        <w:t>10</w:t>
      </w:r>
      <w:r w:rsidRPr="009C55C1">
        <w:rPr>
          <w:rStyle w:val="HideTWBExt"/>
        </w:rPr>
        <w:t>&lt;/NumAm&gt;</w:t>
      </w:r>
    </w:p>
    <w:p w:rsidR="0046096B" w:rsidRPr="009C55C1" w14:paraId="382D4DB6" w14:textId="77777777">
      <w:pPr>
        <w:pStyle w:val="NormalBold"/>
      </w:pPr>
      <w:r w:rsidRPr="009C55C1">
        <w:rPr>
          <w:rStyle w:val="HideTWBExt"/>
          <w:b w:val="0"/>
        </w:rPr>
        <w:t>&lt;RepeatBlock-By&gt;&lt;By&gt;&lt;Members&gt;</w:t>
      </w:r>
      <w:r w:rsidRPr="009C55C1">
        <w:t xml:space="preserve">Matthieu Valet,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Afroditi </w:t>
      </w:r>
      <w:r w:rsidRPr="009C55C1">
        <w:t>Latinopoulou</w:t>
      </w:r>
      <w:r w:rsidRPr="009C55C1">
        <w:t xml:space="preserve">,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Tomáš Kubín, Jaroslava Pokorná Jermanová, Tamás Deutsch, Csaba Dömötör, Viktória Ferenc, Kinga Gál, György </w:t>
      </w:r>
      <w:r w:rsidRPr="009C55C1">
        <w:t>Hölvényi</w:t>
      </w:r>
      <w:r w:rsidRPr="009C55C1">
        <w:t xml:space="preserve">, András László, Balázs Orbán, Annamária Vicsek, András </w:t>
      </w:r>
      <w:r w:rsidRPr="009C55C1">
        <w:t>Gyürk</w:t>
      </w:r>
      <w:r w:rsidRPr="009C55C1">
        <w:t xml:space="preserve">, Enikő Győri, Ernő Schaller-Baross, Jorge </w:t>
      </w:r>
      <w:r w:rsidRPr="009C55C1">
        <w:t>Buxadé</w:t>
      </w:r>
      <w:r w:rsidRPr="009C55C1">
        <w:t xml:space="preserve"> Villalba, Mireia </w:t>
      </w:r>
      <w:r w:rsidRPr="009C55C1">
        <w:t>Borrás</w:t>
      </w:r>
      <w:r w:rsidRPr="009C55C1">
        <w:t xml:space="preserve"> Pabón, Juan Carlos Girauta Vidal, Jorge Martín Frías, Margarita de la Pisa Carrión, Hermann Tertsch, Elisabeth Dieringer, Roman Haider, Georg Mayer, Petra Steger, Harald Vilimsky, Zsuzsanna Borvendég,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3D0B0C72" w14:textId="77777777">
      <w:pPr>
        <w:pStyle w:val="NormalBold"/>
      </w:pPr>
      <w:r w:rsidRPr="009C55C1">
        <w:rPr>
          <w:rStyle w:val="HideTWBExt"/>
          <w:b w:val="0"/>
        </w:rPr>
        <w:t>&lt;/By&gt;&lt;/RepeatBlock-By&gt;</w:t>
      </w:r>
    </w:p>
    <w:p w:rsidR="0046096B" w:rsidRPr="009C55C1" w14:paraId="6BE93645"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6CD3F27E"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1A0ACEAD"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2BA782EA" w14:textId="77777777">
      <w:pPr>
        <w:pStyle w:val="Normal12a"/>
      </w:pPr>
      <w:r w:rsidRPr="009C55C1">
        <w:rPr>
          <w:rStyle w:val="HideTWBExt"/>
        </w:rPr>
        <w:t>&lt;DocRef&gt;</w:t>
      </w:r>
      <w:r w:rsidRPr="009C55C1">
        <w:t>(2026/2035(INI))</w:t>
      </w:r>
      <w:r w:rsidRPr="009C55C1">
        <w:rPr>
          <w:rStyle w:val="HideTWBExt"/>
        </w:rPr>
        <w:t>&lt;/DocRef&gt;</w:t>
      </w:r>
    </w:p>
    <w:p w:rsidR="0046096B" w:rsidRPr="009C55C1" w14:paraId="54560A19"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03CE38AD" w14:textId="77777777">
      <w:pPr>
        <w:pStyle w:val="NormalBold"/>
      </w:pPr>
      <w:r w:rsidRPr="009C55C1">
        <w:rPr>
          <w:rStyle w:val="HideTWBExt"/>
        </w:rPr>
        <w:t>&lt;Article&gt;</w:t>
      </w:r>
      <w:r w:rsidRPr="009C55C1">
        <w:t>Paragraph 43</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4A37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1961054A" w14:textId="77777777"/>
        </w:tc>
      </w:tr>
      <w:tr w14:paraId="52F9FA4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44CF5C20" w14:textId="77777777">
            <w:pPr>
              <w:pStyle w:val="AmColumnHeading"/>
            </w:pPr>
            <w:r w:rsidRPr="009C55C1">
              <w:t>Motion for a resolution</w:t>
            </w:r>
          </w:p>
        </w:tc>
        <w:tc>
          <w:tcPr>
            <w:tcW w:w="4876" w:type="dxa"/>
            <w:tcBorders>
              <w:top w:val="nil"/>
              <w:left w:val="nil"/>
              <w:bottom w:val="nil"/>
              <w:right w:val="nil"/>
            </w:tcBorders>
          </w:tcPr>
          <w:p w:rsidR="0046096B" w:rsidRPr="009C55C1" w14:paraId="620E204C" w14:textId="77777777">
            <w:pPr>
              <w:pStyle w:val="AmColumnHeading"/>
            </w:pPr>
            <w:r w:rsidRPr="009C55C1">
              <w:t>Amendment</w:t>
            </w:r>
          </w:p>
        </w:tc>
      </w:tr>
      <w:tr w14:paraId="099E04E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5B0404A8" w14:textId="77777777">
            <w:pPr>
              <w:pStyle w:val="Normal6a"/>
            </w:pPr>
            <w:r w:rsidRPr="009C55C1">
              <w:t>43.</w:t>
            </w:r>
            <w:r w:rsidRPr="009C55C1">
              <w:tab/>
              <w:t>Calls on the Commission to assess whether the preconditions laid out in macro-financial assistance agreements and other financial instruments under the Pact are fulfilled by recipient countries; calls further for the monitoring processes to involve independent stakeholders and relevant UN human rights mechanisms;</w:t>
            </w:r>
          </w:p>
        </w:tc>
        <w:tc>
          <w:tcPr>
            <w:tcW w:w="4876" w:type="dxa"/>
            <w:tcBorders>
              <w:top w:val="nil"/>
              <w:left w:val="nil"/>
              <w:bottom w:val="nil"/>
              <w:right w:val="nil"/>
            </w:tcBorders>
          </w:tcPr>
          <w:p w:rsidR="0046096B" w:rsidRPr="009C55C1" w14:paraId="44339312" w14:textId="4BFD83DE">
            <w:pPr>
              <w:pStyle w:val="Normal6a"/>
            </w:pPr>
            <w:r w:rsidRPr="009C55C1">
              <w:t>43.</w:t>
            </w:r>
            <w:r w:rsidRPr="009C55C1">
              <w:tab/>
              <w:t xml:space="preserve">Calls on the Commission to assess whether the preconditions laid out in macro-financial assistance agreements and other financial instruments under the Pact are fulfilled by recipient countries; calls further for the monitoring processes to involve independent stakeholders and relevant UN human rights mechanisms; </w:t>
            </w:r>
            <w:r w:rsidRPr="009C55C1">
              <w:rPr>
                <w:b/>
                <w:i/>
              </w:rPr>
              <w:t xml:space="preserve">calls for effective cooperation on preventing illegal immigration and on the return and readmission of nationals illegally staying in the Member States to be included among the conditions governing EU development assistance and budget support to partner governments; </w:t>
            </w:r>
            <w:r w:rsidRPr="009C55C1">
              <w:rPr>
                <w:b/>
                <w:i/>
              </w:rPr>
              <w:t xml:space="preserve">insists that disbursements </w:t>
            </w:r>
            <w:r w:rsidRPr="009C55C1" w:rsidR="006877BA">
              <w:rPr>
                <w:b/>
                <w:i/>
              </w:rPr>
              <w:t>must</w:t>
            </w:r>
            <w:r w:rsidRPr="009C55C1">
              <w:rPr>
                <w:b/>
                <w:i/>
              </w:rPr>
              <w:t xml:space="preserve"> be linked to measurable results and that funding </w:t>
            </w:r>
            <w:r w:rsidRPr="009C55C1" w:rsidR="006877BA">
              <w:rPr>
                <w:b/>
                <w:i/>
              </w:rPr>
              <w:t xml:space="preserve">must </w:t>
            </w:r>
            <w:r w:rsidRPr="009C55C1">
              <w:rPr>
                <w:b/>
                <w:i/>
              </w:rPr>
              <w:t>be suspended or reduced in cases of persistent non-cooperation;</w:t>
            </w:r>
          </w:p>
        </w:tc>
      </w:tr>
    </w:tbl>
    <w:p w:rsidR="0046096B" w:rsidRPr="009C55C1" w14:paraId="0E2F43A7"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46430B73"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151B13F2"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11</w:t>
      </w:r>
      <w:r w:rsidRPr="009C55C1">
        <w:rPr>
          <w:rStyle w:val="HideTWBExt"/>
        </w:rPr>
        <w:t>&lt;/NumAm&gt;</w:t>
      </w:r>
    </w:p>
    <w:p w:rsidR="0046096B" w:rsidRPr="009C55C1" w14:paraId="4AD8E43C" w14:textId="77777777">
      <w:pPr>
        <w:pStyle w:val="AmNumberTabs"/>
      </w:pPr>
      <w:r w:rsidRPr="009C55C1">
        <w:t>Amendment</w:t>
      </w:r>
      <w:r w:rsidRPr="009C55C1">
        <w:tab/>
      </w:r>
      <w:r w:rsidRPr="009C55C1">
        <w:tab/>
      </w:r>
      <w:r w:rsidRPr="009C55C1">
        <w:rPr>
          <w:rStyle w:val="HideTWBExt"/>
        </w:rPr>
        <w:t>&lt;NumAm&gt;</w:t>
      </w:r>
      <w:r w:rsidRPr="009C55C1">
        <w:t>11</w:t>
      </w:r>
      <w:r w:rsidRPr="009C55C1">
        <w:rPr>
          <w:rStyle w:val="HideTWBExt"/>
        </w:rPr>
        <w:t>&lt;/NumAm&gt;</w:t>
      </w:r>
    </w:p>
    <w:p w:rsidR="0046096B" w:rsidRPr="009C55C1" w14:paraId="7DB8A9E9" w14:textId="77777777">
      <w:pPr>
        <w:pStyle w:val="NormalBold"/>
      </w:pPr>
      <w:r w:rsidRPr="009C55C1">
        <w:rPr>
          <w:rStyle w:val="HideTWBExt"/>
          <w:b w:val="0"/>
        </w:rPr>
        <w:t>&lt;RepeatBlock-By&gt;&lt;By&gt;&lt;Members&gt;</w:t>
      </w:r>
      <w:r w:rsidRPr="009C55C1">
        <w:t xml:space="preserve">Afroditi </w:t>
      </w:r>
      <w:r w:rsidRPr="009C55C1">
        <w:t>Latinopoulou</w:t>
      </w:r>
      <w:r w:rsidRPr="009C55C1">
        <w:t xml:space="preserve">,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Jorge </w:t>
      </w:r>
      <w:r w:rsidRPr="009C55C1">
        <w:t>Buxadé</w:t>
      </w:r>
      <w:r w:rsidRPr="009C55C1">
        <w:t xml:space="preserve"> Villalba, Mireia </w:t>
      </w:r>
      <w:r w:rsidRPr="009C55C1">
        <w:t>Borrás</w:t>
      </w:r>
      <w:r w:rsidRPr="009C55C1">
        <w:t xml:space="preserve"> Pabón, Juan Carlos Girauta Vidal, Jorge Martín Frías, Margarita de la Pisa Carrión, Hermann Tertsch, Elisabeth Dieringer, Roman Haider, Georg Mayer, Petra Steger, Harald Vilimsky,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305B40DD" w14:textId="77777777">
      <w:pPr>
        <w:pStyle w:val="NormalBold"/>
      </w:pPr>
      <w:r w:rsidRPr="009C55C1">
        <w:rPr>
          <w:rStyle w:val="HideTWBExt"/>
          <w:b w:val="0"/>
        </w:rPr>
        <w:t>&lt;/By&gt;&lt;/RepeatBlock-By&gt;</w:t>
      </w:r>
    </w:p>
    <w:p w:rsidR="0046096B" w:rsidRPr="009C55C1" w14:paraId="37D42372"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606098FD"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74DA142C"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6D44DC42" w14:textId="77777777">
      <w:pPr>
        <w:pStyle w:val="Normal12a"/>
      </w:pPr>
      <w:r w:rsidRPr="009C55C1">
        <w:rPr>
          <w:rStyle w:val="HideTWBExt"/>
        </w:rPr>
        <w:t>&lt;DocRef&gt;</w:t>
      </w:r>
      <w:r w:rsidRPr="009C55C1">
        <w:t>(2026/2035(INI))</w:t>
      </w:r>
      <w:r w:rsidRPr="009C55C1">
        <w:rPr>
          <w:rStyle w:val="HideTWBExt"/>
        </w:rPr>
        <w:t>&lt;/DocRef&gt;</w:t>
      </w:r>
    </w:p>
    <w:p w:rsidR="0046096B" w:rsidRPr="009C55C1" w14:paraId="05C2CEFC"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1D8B4888" w14:textId="77777777">
      <w:pPr>
        <w:pStyle w:val="NormalBold"/>
      </w:pPr>
      <w:r w:rsidRPr="009C55C1">
        <w:rPr>
          <w:rStyle w:val="HideTWBExt"/>
        </w:rPr>
        <w:t>&lt;Article&gt;</w:t>
      </w:r>
      <w:r w:rsidRPr="009C55C1">
        <w:t>Paragraph 79</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AA32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036A389D" w14:textId="77777777"/>
        </w:tc>
      </w:tr>
      <w:tr w14:paraId="6BFEFD2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3C21A08D" w14:textId="77777777">
            <w:pPr>
              <w:pStyle w:val="AmColumnHeading"/>
            </w:pPr>
            <w:r w:rsidRPr="009C55C1">
              <w:t>Motion for a resolution</w:t>
            </w:r>
          </w:p>
        </w:tc>
        <w:tc>
          <w:tcPr>
            <w:tcW w:w="4876" w:type="dxa"/>
            <w:tcBorders>
              <w:top w:val="nil"/>
              <w:left w:val="nil"/>
              <w:bottom w:val="nil"/>
              <w:right w:val="nil"/>
            </w:tcBorders>
          </w:tcPr>
          <w:p w:rsidR="0046096B" w:rsidRPr="009C55C1" w14:paraId="71192074" w14:textId="77777777">
            <w:pPr>
              <w:pStyle w:val="AmColumnHeading"/>
            </w:pPr>
            <w:r w:rsidRPr="009C55C1">
              <w:t>Amendment</w:t>
            </w:r>
          </w:p>
        </w:tc>
      </w:tr>
      <w:tr w14:paraId="33831CF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304364B7" w14:textId="45C201DA">
            <w:pPr>
              <w:pStyle w:val="Normal6a"/>
            </w:pPr>
            <w:r w:rsidRPr="009C55C1">
              <w:t>79.</w:t>
            </w:r>
            <w:r w:rsidRPr="009C55C1">
              <w:tab/>
              <w:t>Stresses the strategic importance of Mediterranean energy infrastructure for regional stability and European energy security; further stresses the need to support energy interconnection between Mediterranean countries with a view to ensuring the Mediterranean region</w:t>
            </w:r>
            <w:r w:rsidRPr="009C55C1" w:rsidR="003B1E82">
              <w:t>’</w:t>
            </w:r>
            <w:r w:rsidRPr="009C55C1">
              <w:t xml:space="preserve">s sustainable energy autonomy, in particular in the current context of energy diversification and reduced dependence on Russia; in that context, supports the Great Sea Interconnector electricity interconnection project; calls on the Pact for the Mediterranean to promote coordinated cross-border infrastructure and grid planning, strengthen crisis preparedness and energy solidarity mechanisms, and support the development </w:t>
            </w:r>
            <w:r w:rsidRPr="009C55C1">
              <w:t>of secure and resilient supply chains for clean energy technologies; calls also for increased investment in energy interconnectors, and cross-border electricity networks that reduce strategic dependencies on hostile actors; underlines the role of the Mediterranean region in diversifying energy sources and supply routes, reducing strategic dependencies and enhancing the resilience and competitiveness of the EU</w:t>
            </w:r>
            <w:r w:rsidRPr="009C55C1" w:rsidR="003B1E82">
              <w:t>’</w:t>
            </w:r>
            <w:r w:rsidRPr="009C55C1">
              <w:t>s energy market;</w:t>
            </w:r>
          </w:p>
        </w:tc>
        <w:tc>
          <w:tcPr>
            <w:tcW w:w="4876" w:type="dxa"/>
            <w:tcBorders>
              <w:top w:val="nil"/>
              <w:left w:val="nil"/>
              <w:bottom w:val="nil"/>
              <w:right w:val="nil"/>
            </w:tcBorders>
          </w:tcPr>
          <w:p w:rsidR="0046096B" w:rsidRPr="009C55C1" w14:paraId="247B9155" w14:textId="63B7DFFC">
            <w:pPr>
              <w:pStyle w:val="Normal6a"/>
            </w:pPr>
            <w:r w:rsidRPr="009C55C1">
              <w:t>79.</w:t>
            </w:r>
            <w:r w:rsidRPr="009C55C1">
              <w:tab/>
              <w:t>Stresses the strategic importance of Mediterranean energy infrastructure for regional stability and European energy security; further stresses the need to support energy interconnection between Mediterranean countries with a view to ensuring the Mediterranean region</w:t>
            </w:r>
            <w:r w:rsidRPr="009C55C1" w:rsidR="003B1E82">
              <w:t>’</w:t>
            </w:r>
            <w:r w:rsidRPr="009C55C1">
              <w:t xml:space="preserve">s sustainable energy autonomy, in particular in the current context of energy diversification and reduced dependence on Russia; in that context, supports the Great Sea Interconnector electricity interconnection project; calls on the Pact for the Mediterranean to promote coordinated cross-border infrastructure and grid planning, strengthen crisis preparedness and energy solidarity mechanisms, and support the development </w:t>
            </w:r>
            <w:r w:rsidRPr="009C55C1">
              <w:t>of secure and resilient supply chains for clean energy technologies; calls also for increased investment in energy interconnectors, and cross-border electricity networks that reduce strategic dependencies on hostile actors; underlines the role of the Mediterranean region in diversifying energy sources and supply routes, reducing strategic dependencies and enhancing the resilience and competitiveness of the EU</w:t>
            </w:r>
            <w:r w:rsidRPr="009C55C1" w:rsidR="003B1E82">
              <w:t>’</w:t>
            </w:r>
            <w:r w:rsidRPr="009C55C1">
              <w:t xml:space="preserve">s energy market; </w:t>
            </w:r>
            <w:r w:rsidRPr="009C55C1">
              <w:rPr>
                <w:b/>
                <w:i/>
              </w:rPr>
              <w:t>stresses that the safe and timely implementation of the electricity interconnection between Greece and the Republic of Cyprus is a European strategic priority aimed at ending Cyprus</w:t>
            </w:r>
            <w:r w:rsidRPr="009C55C1" w:rsidR="003B1E82">
              <w:rPr>
                <w:b/>
                <w:i/>
              </w:rPr>
              <w:t>’</w:t>
            </w:r>
            <w:r w:rsidRPr="009C55C1">
              <w:rPr>
                <w:b/>
                <w:i/>
              </w:rPr>
              <w:t>s energy isolation; rejects any threats or interference by Türkiye obstructing lawful survey activities, cable laying or the operation of the Great Sea Interconnector;</w:t>
            </w:r>
          </w:p>
        </w:tc>
      </w:tr>
    </w:tbl>
    <w:p w:rsidR="0046096B" w:rsidRPr="009C55C1" w14:paraId="47FB9E60"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1AF7B6DF"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2C2F555D"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12</w:t>
      </w:r>
      <w:r w:rsidRPr="009C55C1">
        <w:rPr>
          <w:rStyle w:val="HideTWBExt"/>
        </w:rPr>
        <w:t>&lt;/NumAm&gt;</w:t>
      </w:r>
    </w:p>
    <w:p w:rsidR="0046096B" w:rsidRPr="009C55C1" w14:paraId="2EEAAE26" w14:textId="77777777">
      <w:pPr>
        <w:pStyle w:val="AmNumberTabs"/>
      </w:pPr>
      <w:r w:rsidRPr="009C55C1">
        <w:t>Amendment</w:t>
      </w:r>
      <w:r w:rsidRPr="009C55C1">
        <w:tab/>
      </w:r>
      <w:r w:rsidRPr="009C55C1">
        <w:tab/>
      </w:r>
      <w:r w:rsidRPr="009C55C1">
        <w:rPr>
          <w:rStyle w:val="HideTWBExt"/>
        </w:rPr>
        <w:t>&lt;NumAm&gt;</w:t>
      </w:r>
      <w:r w:rsidRPr="009C55C1">
        <w:t>12</w:t>
      </w:r>
      <w:r w:rsidRPr="009C55C1">
        <w:rPr>
          <w:rStyle w:val="HideTWBExt"/>
        </w:rPr>
        <w:t>&lt;/NumAm&gt;</w:t>
      </w:r>
    </w:p>
    <w:p w:rsidR="0046096B" w:rsidRPr="009C55C1" w14:paraId="7C27A7B7" w14:textId="77777777">
      <w:pPr>
        <w:pStyle w:val="NormalBold"/>
      </w:pPr>
      <w:r w:rsidRPr="009C55C1">
        <w:rPr>
          <w:rStyle w:val="HideTWBExt"/>
          <w:b w:val="0"/>
        </w:rPr>
        <w:t>&lt;RepeatBlock-By&gt;&lt;By&gt;&lt;Members&gt;</w:t>
      </w:r>
      <w:r w:rsidRPr="009C55C1">
        <w:t xml:space="preserve">Afroditi </w:t>
      </w:r>
      <w:r w:rsidRPr="009C55C1">
        <w:t>Latinopoulou</w:t>
      </w:r>
      <w:r w:rsidRPr="009C55C1">
        <w:t xml:space="preserve">,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Matthieu Valet, Tomáš Kubín, Jaroslava Pokorná Jermanová, Jorge </w:t>
      </w:r>
      <w:r w:rsidRPr="009C55C1">
        <w:t>Buxadé</w:t>
      </w:r>
      <w:r w:rsidRPr="009C55C1">
        <w:t xml:space="preserve"> Villalba, Mireia </w:t>
      </w:r>
      <w:r w:rsidRPr="009C55C1">
        <w:t>Borrás</w:t>
      </w:r>
      <w:r w:rsidRPr="009C55C1">
        <w:t xml:space="preserve"> Pabón, Juan Carlos Girauta Vidal, Jorge Martín Frías, Margarita de la Pisa Carrión, Hermann Tertsch, Elisabeth Dieringer, Roman Haider, Georg Mayer, Petra Steger, Harald Vilimsky, Zsuzsanna Borvendég,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185A155D" w14:textId="77777777">
      <w:pPr>
        <w:pStyle w:val="NormalBold"/>
      </w:pPr>
      <w:r w:rsidRPr="009C55C1">
        <w:rPr>
          <w:rStyle w:val="HideTWBExt"/>
          <w:b w:val="0"/>
        </w:rPr>
        <w:t>&lt;/By&gt;&lt;/RepeatBlock-By&gt;</w:t>
      </w:r>
    </w:p>
    <w:p w:rsidR="0046096B" w:rsidRPr="009C55C1" w14:paraId="52F24A41"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341785AB"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056FB3BC"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294EF922" w14:textId="77777777">
      <w:pPr>
        <w:pStyle w:val="Normal12a"/>
      </w:pPr>
      <w:r w:rsidRPr="009C55C1">
        <w:rPr>
          <w:rStyle w:val="HideTWBExt"/>
        </w:rPr>
        <w:t>&lt;DocRef&gt;</w:t>
      </w:r>
      <w:r w:rsidRPr="009C55C1">
        <w:t>(2026/2035(INI))</w:t>
      </w:r>
      <w:r w:rsidRPr="009C55C1">
        <w:rPr>
          <w:rStyle w:val="HideTWBExt"/>
        </w:rPr>
        <w:t>&lt;/DocRef&gt;</w:t>
      </w:r>
    </w:p>
    <w:p w:rsidR="0046096B" w:rsidRPr="009C55C1" w14:paraId="55B84BEA"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1A45438D" w14:textId="77777777">
      <w:pPr>
        <w:pStyle w:val="NormalBold"/>
      </w:pPr>
      <w:r w:rsidRPr="009C55C1">
        <w:rPr>
          <w:rStyle w:val="HideTWBExt"/>
        </w:rPr>
        <w:t>&lt;Article&gt;</w:t>
      </w:r>
      <w:r w:rsidRPr="009C55C1">
        <w:t>Paragraph 106</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67DC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6E3D2F25" w14:textId="77777777"/>
        </w:tc>
      </w:tr>
      <w:tr w14:paraId="05A0B3F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77530A62" w14:textId="77777777">
            <w:pPr>
              <w:pStyle w:val="AmColumnHeading"/>
            </w:pPr>
            <w:r w:rsidRPr="009C55C1">
              <w:t>Motion for a resolution</w:t>
            </w:r>
          </w:p>
        </w:tc>
        <w:tc>
          <w:tcPr>
            <w:tcW w:w="4876" w:type="dxa"/>
            <w:tcBorders>
              <w:top w:val="nil"/>
              <w:left w:val="nil"/>
              <w:bottom w:val="nil"/>
              <w:right w:val="nil"/>
            </w:tcBorders>
          </w:tcPr>
          <w:p w:rsidR="0046096B" w:rsidRPr="009C55C1" w14:paraId="47C2576C" w14:textId="77777777">
            <w:pPr>
              <w:pStyle w:val="AmColumnHeading"/>
            </w:pPr>
            <w:r w:rsidRPr="009C55C1">
              <w:t>Amendment</w:t>
            </w:r>
          </w:p>
        </w:tc>
      </w:tr>
      <w:tr w14:paraId="4D5AB2F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0124A329" w14:textId="77777777">
            <w:pPr>
              <w:pStyle w:val="Normal6a"/>
            </w:pPr>
            <w:r w:rsidRPr="009C55C1">
              <w:t>106.</w:t>
            </w:r>
            <w:r w:rsidRPr="009C55C1">
              <w:tab/>
            </w:r>
            <w:r w:rsidRPr="009C55C1">
              <w:rPr>
                <w:b/>
                <w:i/>
              </w:rPr>
              <w:t>Highlights the fact that the Pact represents an opportunity to advance towards</w:t>
            </w:r>
            <w:r w:rsidRPr="009C55C1">
              <w:t xml:space="preserve"> a Euro-Mediterranean mobility space </w:t>
            </w:r>
            <w:r w:rsidRPr="009C55C1">
              <w:rPr>
                <w:b/>
                <w:i/>
              </w:rPr>
              <w:t>in a new and cross-cutting manner, supporting achievements in the areas of economic and trade cooperation, start-ups, SMEs, young people, students, and</w:t>
            </w:r>
            <w:r w:rsidRPr="009C55C1">
              <w:t xml:space="preserve"> academic and </w:t>
            </w:r>
            <w:r w:rsidRPr="009C55C1">
              <w:rPr>
                <w:b/>
                <w:i/>
              </w:rPr>
              <w:t>scientific</w:t>
            </w:r>
            <w:r w:rsidRPr="009C55C1">
              <w:t xml:space="preserve"> cooperation, </w:t>
            </w:r>
            <w:r w:rsidRPr="009C55C1">
              <w:rPr>
                <w:b/>
                <w:i/>
              </w:rPr>
              <w:t>through enhanced cooperation with all relevant social, economic and civic stakeholders; believes that this will contribute to the resilience, social cohesion and security of the Mediterranean region</w:t>
            </w:r>
            <w:r w:rsidRPr="009C55C1">
              <w:t>;</w:t>
            </w:r>
          </w:p>
        </w:tc>
        <w:tc>
          <w:tcPr>
            <w:tcW w:w="4876" w:type="dxa"/>
            <w:tcBorders>
              <w:top w:val="nil"/>
              <w:left w:val="nil"/>
              <w:bottom w:val="nil"/>
              <w:right w:val="nil"/>
            </w:tcBorders>
          </w:tcPr>
          <w:p w:rsidR="0046096B" w:rsidRPr="009C55C1" w14:paraId="7594179C" w14:textId="74F55211">
            <w:pPr>
              <w:pStyle w:val="Normal6a"/>
            </w:pPr>
            <w:r w:rsidRPr="009C55C1">
              <w:t>106.</w:t>
            </w:r>
            <w:r w:rsidRPr="009C55C1">
              <w:tab/>
            </w:r>
            <w:r w:rsidRPr="009C55C1" w:rsidR="008B46BF">
              <w:rPr>
                <w:b/>
                <w:i/>
              </w:rPr>
              <w:t>Underlines</w:t>
            </w:r>
            <w:r w:rsidRPr="009C55C1">
              <w:rPr>
                <w:b/>
                <w:i/>
              </w:rPr>
              <w:t xml:space="preserve"> the objective of</w:t>
            </w:r>
            <w:r w:rsidRPr="009C55C1">
              <w:t xml:space="preserve"> a Euro-Mediterranean mobility space</w:t>
            </w:r>
            <w:r w:rsidRPr="009C55C1">
              <w:rPr>
                <w:b/>
                <w:i/>
              </w:rPr>
              <w:t>; stresses that the Pact must not weaken checks at the external borders or the Member States</w:t>
            </w:r>
            <w:r w:rsidRPr="009C55C1" w:rsidR="003B1E82">
              <w:rPr>
                <w:b/>
                <w:i/>
              </w:rPr>
              <w:t>’</w:t>
            </w:r>
            <w:r w:rsidRPr="009C55C1">
              <w:rPr>
                <w:b/>
                <w:i/>
              </w:rPr>
              <w:t xml:space="preserve"> competence over admission; considers that</w:t>
            </w:r>
            <w:r w:rsidRPr="009C55C1">
              <w:t xml:space="preserve"> academic and </w:t>
            </w:r>
            <w:r w:rsidRPr="009C55C1">
              <w:rPr>
                <w:b/>
                <w:i/>
              </w:rPr>
              <w:t>business exchanges may be useful only where they are temporary, reciprocal, security-screened and conditional on readmission</w:t>
            </w:r>
            <w:r w:rsidRPr="009C55C1">
              <w:t xml:space="preserve"> cooperation, </w:t>
            </w:r>
            <w:r w:rsidRPr="009C55C1">
              <w:rPr>
                <w:b/>
                <w:i/>
              </w:rPr>
              <w:t>and that they must not be presented as a right of entry</w:t>
            </w:r>
            <w:r w:rsidRPr="009C55C1">
              <w:t>;</w:t>
            </w:r>
          </w:p>
        </w:tc>
      </w:tr>
    </w:tbl>
    <w:p w:rsidR="0046096B" w:rsidRPr="009C55C1" w14:paraId="2B904CFA"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59E5E2D8" w14:textId="77777777">
      <w:pPr>
        <w:sectPr>
          <w:pgSz w:w="11909" w:h="16834"/>
          <w:pgMar w:top="1134" w:right="1417" w:bottom="1417" w:left="1417" w:header="1134" w:footer="567" w:gutter="0"/>
          <w:cols w:space="720"/>
        </w:sectPr>
      </w:pPr>
      <w:r w:rsidRPr="009C55C1">
        <w:rPr>
          <w:rStyle w:val="HideTWBExt"/>
        </w:rPr>
        <w:t>&lt;/Amend&gt;</w:t>
      </w:r>
    </w:p>
    <w:p w:rsidR="0046096B" w:rsidRPr="009C55C1" w14:paraId="633C5202" w14:textId="77777777">
      <w:pPr>
        <w:pStyle w:val="AmDateTab"/>
      </w:pPr>
      <w:r w:rsidRPr="009C55C1">
        <w:rPr>
          <w:rStyle w:val="HideTWBExt"/>
        </w:rPr>
        <w:t>&lt;Amend&gt;&lt;Date&gt;</w:t>
      </w:r>
      <w:r w:rsidRPr="009C55C1">
        <w:rPr>
          <w:rStyle w:val="HideTWBInt"/>
        </w:rPr>
        <w:t>{14/10/2026}</w:t>
      </w:r>
      <w:r w:rsidRPr="009C55C1">
        <w:t>14.10.2026</w:t>
      </w:r>
      <w:r w:rsidRPr="009C55C1">
        <w:rPr>
          <w:rStyle w:val="HideTWBExt"/>
        </w:rPr>
        <w:t>&lt;/Date&gt;</w:t>
      </w:r>
      <w:r w:rsidRPr="009C55C1">
        <w:tab/>
      </w:r>
      <w:r w:rsidRPr="009C55C1">
        <w:rPr>
          <w:rStyle w:val="HideTWBExt"/>
        </w:rPr>
        <w:t>&lt;ANo&gt;</w:t>
      </w:r>
      <w:r w:rsidRPr="009C55C1">
        <w:t>A10-0239</w:t>
      </w:r>
      <w:r w:rsidRPr="009C55C1">
        <w:rPr>
          <w:rStyle w:val="HideTWBExt"/>
        </w:rPr>
        <w:t>&lt;/ANo&gt;</w:t>
      </w:r>
      <w:r w:rsidRPr="009C55C1">
        <w:t>/</w:t>
      </w:r>
      <w:r w:rsidRPr="009C55C1">
        <w:rPr>
          <w:rStyle w:val="HideTWBExt"/>
        </w:rPr>
        <w:t>&lt;NumAm&gt;</w:t>
      </w:r>
      <w:r w:rsidRPr="009C55C1">
        <w:t>13</w:t>
      </w:r>
      <w:r w:rsidRPr="009C55C1">
        <w:rPr>
          <w:rStyle w:val="HideTWBExt"/>
        </w:rPr>
        <w:t>&lt;/NumAm&gt;</w:t>
      </w:r>
    </w:p>
    <w:p w:rsidR="0046096B" w:rsidRPr="009C55C1" w14:paraId="1C22F2E4" w14:textId="77777777">
      <w:pPr>
        <w:pStyle w:val="AmNumberTabs"/>
      </w:pPr>
      <w:r w:rsidRPr="009C55C1">
        <w:t>Amendment</w:t>
      </w:r>
      <w:r w:rsidRPr="009C55C1">
        <w:tab/>
      </w:r>
      <w:r w:rsidRPr="009C55C1">
        <w:tab/>
      </w:r>
      <w:r w:rsidRPr="009C55C1">
        <w:rPr>
          <w:rStyle w:val="HideTWBExt"/>
        </w:rPr>
        <w:t>&lt;NumAm&gt;</w:t>
      </w:r>
      <w:r w:rsidRPr="009C55C1">
        <w:t>13</w:t>
      </w:r>
      <w:r w:rsidRPr="009C55C1">
        <w:rPr>
          <w:rStyle w:val="HideTWBExt"/>
        </w:rPr>
        <w:t>&lt;/NumAm&gt;</w:t>
      </w:r>
    </w:p>
    <w:p w:rsidR="0046096B" w:rsidRPr="009C55C1" w14:paraId="03CCD858" w14:textId="77777777">
      <w:pPr>
        <w:pStyle w:val="NormalBold"/>
      </w:pPr>
      <w:r w:rsidRPr="009C55C1">
        <w:rPr>
          <w:rStyle w:val="HideTWBExt"/>
          <w:b w:val="0"/>
        </w:rPr>
        <w:t>&lt;RepeatBlock-By&gt;&lt;By&gt;&lt;Members&gt;</w:t>
      </w:r>
      <w:r w:rsidRPr="009C55C1">
        <w:t xml:space="preserve">Matthieu Valet, Mieke Andriese, Rachel Blom, Marieke Ehlers, Sebastian Kruis, Gerolf </w:t>
      </w:r>
      <w:r w:rsidRPr="009C55C1">
        <w:t>Annemans</w:t>
      </w:r>
      <w:r w:rsidRPr="009C55C1">
        <w:t xml:space="preserve">, Barbara Bonte, Tom Vandendriessche, Jaroslav Bžoch, Klara Dostalova, Jaroslav Knot, Ondřej Knotek, Jana Nagyová, Antonín Staněk, Majbritt Birkholm, Afroditi </w:t>
      </w:r>
      <w:r w:rsidRPr="009C55C1">
        <w:t>Latinopoulou</w:t>
      </w:r>
      <w:r w:rsidRPr="009C55C1">
        <w:t xml:space="preserve">, Paolo Borchia, Susanna Ceccardi, Anna Maria Cisint, Aldo Patriciello, Silvia Sardone, Raffaele Stancanelli, Isabella Tovaglieri, Vilis </w:t>
      </w:r>
      <w:r w:rsidRPr="009C55C1">
        <w:t>Krištopans</w:t>
      </w:r>
      <w:r w:rsidRPr="009C55C1">
        <w:t xml:space="preserve">, Tiago Moreira de Sá, António </w:t>
      </w:r>
      <w:r w:rsidRPr="009C55C1">
        <w:t>Tânger</w:t>
      </w:r>
      <w:r w:rsidRPr="009C55C1">
        <w:t xml:space="preserve"> Corrêa, Christine Anderson, Irmhild </w:t>
      </w:r>
      <w:r w:rsidRPr="009C55C1">
        <w:t>Boßdorf</w:t>
      </w:r>
      <w:r w:rsidRPr="009C55C1">
        <w:t xml:space="preserve">, Alexander Sell, Petras Gražulis, Roberto Vannacci, Volker Schnurrbusch, Mathilde Androuët, Valérie Deloge, Angéline Furet, Jean-Paul Garraud, Catherine Griset, France </w:t>
      </w:r>
      <w:r w:rsidRPr="009C55C1">
        <w:t>Jamet</w:t>
      </w:r>
      <w:r w:rsidRPr="009C55C1">
        <w:t xml:space="preserve">, Virginie Joron, Fabrice </w:t>
      </w:r>
      <w:r w:rsidRPr="009C55C1">
        <w:t>Leggeri</w:t>
      </w:r>
      <w:r w:rsidRPr="009C55C1">
        <w:t xml:space="preserve">, Thierry Mariani, Philippe Olivier, Pierre Pimpie, Pierre-Romain Thionnet, Alexandre Varaut, André Rougé, Aleksandar Nikolic, Rody Tolassy, Christophe Bay, Julien Leonardelli, Séverine Werbrouck, Julie Rechagneux, Gilles Pennelle, Marie Dauchy, Anne-Sophie Frigout, Marie-Luce Brasier-Clain, Pascale Piera, Tomáš Kubín, Jaroslava Pokorná Jermanová, Tamás Deutsch, Csaba Dömötör, Viktória Ferenc, Kinga Gál, György </w:t>
      </w:r>
      <w:r w:rsidRPr="009C55C1">
        <w:t>Hölvényi</w:t>
      </w:r>
      <w:r w:rsidRPr="009C55C1">
        <w:t xml:space="preserve">, András László, Balázs Orbán, Annamária Vicsek, András </w:t>
      </w:r>
      <w:r w:rsidRPr="009C55C1">
        <w:t>Gyürk</w:t>
      </w:r>
      <w:r w:rsidRPr="009C55C1">
        <w:t xml:space="preserve">, Enikő Győri, Ernő Schaller-Baross, Jorge </w:t>
      </w:r>
      <w:r w:rsidRPr="009C55C1">
        <w:t>Buxadé</w:t>
      </w:r>
      <w:r w:rsidRPr="009C55C1">
        <w:t xml:space="preserve"> Villalba, Mireia </w:t>
      </w:r>
      <w:r w:rsidRPr="009C55C1">
        <w:t>Borrás</w:t>
      </w:r>
      <w:r w:rsidRPr="009C55C1">
        <w:t xml:space="preserve"> Pabón, Juan Carlos Girauta Vidal, Jorge Martín Frías, Margarita de la Pisa Carrión, Hermann Tertsch, Elisabeth Dieringer, Roman Haider, Georg Mayer, Petra Steger, Harald Vilimsky, Zsuzsanna Borvendég, Mélanie </w:t>
      </w:r>
      <w:r w:rsidRPr="009C55C1">
        <w:t>Disdier</w:t>
      </w:r>
      <w:r w:rsidRPr="009C55C1">
        <w:t xml:space="preserve">, Tomasz Buczek, Anna Bryłka, Ewa </w:t>
      </w:r>
      <w:r w:rsidRPr="009C55C1">
        <w:t>Zajączkowska-Hernik</w:t>
      </w:r>
      <w:r w:rsidRPr="009C55C1">
        <w:t xml:space="preserve">, </w:t>
      </w:r>
      <w:r w:rsidRPr="009C55C1">
        <w:t>Geadis</w:t>
      </w:r>
      <w:r w:rsidRPr="009C55C1">
        <w:t xml:space="preserve"> </w:t>
      </w:r>
      <w:r w:rsidRPr="009C55C1">
        <w:t>Geadi</w:t>
      </w:r>
      <w:r w:rsidRPr="009C55C1">
        <w:rPr>
          <w:rStyle w:val="HideTWBExt"/>
          <w:b w:val="0"/>
        </w:rPr>
        <w:t>&lt;/Members&gt;</w:t>
      </w:r>
    </w:p>
    <w:p w:rsidR="0046096B" w:rsidRPr="009C55C1" w14:paraId="64944E55" w14:textId="77777777">
      <w:pPr>
        <w:pStyle w:val="NormalBold"/>
      </w:pPr>
      <w:r w:rsidRPr="009C55C1">
        <w:rPr>
          <w:rStyle w:val="HideTWBExt"/>
          <w:b w:val="0"/>
        </w:rPr>
        <w:t>&lt;/By&gt;&lt;/RepeatBlock-By&gt;</w:t>
      </w:r>
    </w:p>
    <w:p w:rsidR="0046096B" w:rsidRPr="009C55C1" w14:paraId="288DECB8" w14:textId="77777777">
      <w:pPr>
        <w:pStyle w:val="AmDocTypeTab"/>
      </w:pPr>
      <w:r w:rsidRPr="009C55C1">
        <w:rPr>
          <w:rStyle w:val="HideTWBExt"/>
        </w:rPr>
        <w:t>&lt;TitreType&gt;</w:t>
      </w:r>
      <w:r w:rsidRPr="009C55C1">
        <w:t>Report</w:t>
      </w:r>
      <w:r w:rsidRPr="009C55C1">
        <w:rPr>
          <w:rStyle w:val="HideTWBExt"/>
        </w:rPr>
        <w:t>&lt;/TitreType&gt;</w:t>
      </w:r>
      <w:r w:rsidRPr="009C55C1">
        <w:tab/>
        <w:t>A10-0239/2026</w:t>
      </w:r>
    </w:p>
    <w:p w:rsidR="0046096B" w:rsidRPr="009C55C1" w14:paraId="67BF2083" w14:textId="77777777">
      <w:pPr>
        <w:pStyle w:val="NormalBold"/>
      </w:pPr>
      <w:r w:rsidRPr="009C55C1">
        <w:rPr>
          <w:rStyle w:val="HideTWBExt"/>
        </w:rPr>
        <w:t>&lt;Rapporteur&gt;</w:t>
      </w:r>
      <w:r w:rsidRPr="009C55C1">
        <w:t>Nicola Zingaretti</w:t>
      </w:r>
      <w:r w:rsidRPr="009C55C1">
        <w:rPr>
          <w:rStyle w:val="HideTWBExt"/>
        </w:rPr>
        <w:t>&lt;/Rapporteur&gt;</w:t>
      </w:r>
    </w:p>
    <w:p w:rsidR="0046096B" w:rsidRPr="009C55C1" w14:paraId="2A4F4158" w14:textId="77777777">
      <w:r w:rsidRPr="009C55C1">
        <w:rPr>
          <w:rStyle w:val="HideTWBExt"/>
        </w:rPr>
        <w:t>&lt;Titre&gt;</w:t>
      </w:r>
      <w:r w:rsidRPr="009C55C1">
        <w:t>A new co-ownership for the future of Euro-Mediterranean relations – the Pact for the Mediterranean</w:t>
      </w:r>
      <w:r w:rsidRPr="009C55C1">
        <w:rPr>
          <w:rStyle w:val="HideTWBExt"/>
        </w:rPr>
        <w:t>&lt;/Titre&gt;</w:t>
      </w:r>
    </w:p>
    <w:p w:rsidR="0046096B" w:rsidRPr="009C55C1" w14:paraId="3D8A9B32" w14:textId="77777777">
      <w:pPr>
        <w:pStyle w:val="Normal12a"/>
      </w:pPr>
      <w:r w:rsidRPr="009C55C1">
        <w:rPr>
          <w:rStyle w:val="HideTWBExt"/>
        </w:rPr>
        <w:t>&lt;DocRef&gt;</w:t>
      </w:r>
      <w:r w:rsidRPr="009C55C1">
        <w:t>(2026/2035(INI))</w:t>
      </w:r>
      <w:r w:rsidRPr="009C55C1">
        <w:rPr>
          <w:rStyle w:val="HideTWBExt"/>
        </w:rPr>
        <w:t>&lt;/DocRef&gt;</w:t>
      </w:r>
    </w:p>
    <w:p w:rsidR="0046096B" w:rsidRPr="009C55C1" w14:paraId="097098EC" w14:textId="77777777">
      <w:pPr>
        <w:pStyle w:val="NormalBold"/>
      </w:pPr>
      <w:r w:rsidRPr="009C55C1">
        <w:rPr>
          <w:rStyle w:val="HideTWBExt"/>
        </w:rPr>
        <w:t>&lt;DocAmend&gt;</w:t>
      </w:r>
      <w:r w:rsidRPr="009C55C1">
        <w:t>Motion for a resolution</w:t>
      </w:r>
      <w:r w:rsidRPr="009C55C1">
        <w:rPr>
          <w:rStyle w:val="HideTWBExt"/>
        </w:rPr>
        <w:t>&lt;/DocAmend&gt;</w:t>
      </w:r>
    </w:p>
    <w:p w:rsidR="0046096B" w:rsidRPr="009C55C1" w14:paraId="3FA73B59" w14:textId="77777777">
      <w:pPr>
        <w:pStyle w:val="NormalBold"/>
      </w:pPr>
      <w:r w:rsidRPr="009C55C1">
        <w:rPr>
          <w:rStyle w:val="HideTWBExt"/>
        </w:rPr>
        <w:t>&lt;Article&gt;</w:t>
      </w:r>
      <w:r w:rsidRPr="009C55C1">
        <w:t>Paragraph 119</w:t>
      </w:r>
      <w:r w:rsidRPr="009C55C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1608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6096B" w:rsidRPr="009C55C1" w14:paraId="0D9CA638" w14:textId="77777777"/>
        </w:tc>
      </w:tr>
      <w:tr w14:paraId="4BCC0A4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6096B" w:rsidRPr="009C55C1" w14:paraId="42FFE425" w14:textId="77777777">
            <w:pPr>
              <w:pStyle w:val="AmColumnHeading"/>
            </w:pPr>
            <w:r w:rsidRPr="009C55C1">
              <w:t>Motion for a resolution</w:t>
            </w:r>
          </w:p>
        </w:tc>
        <w:tc>
          <w:tcPr>
            <w:tcW w:w="4876" w:type="dxa"/>
            <w:tcBorders>
              <w:top w:val="nil"/>
              <w:left w:val="nil"/>
              <w:bottom w:val="nil"/>
              <w:right w:val="nil"/>
            </w:tcBorders>
          </w:tcPr>
          <w:p w:rsidR="0046096B" w:rsidRPr="009C55C1" w14:paraId="6DE02A84" w14:textId="77777777">
            <w:pPr>
              <w:pStyle w:val="AmColumnHeading"/>
            </w:pPr>
            <w:r w:rsidRPr="009C55C1">
              <w:t>Amendment</w:t>
            </w:r>
          </w:p>
        </w:tc>
      </w:tr>
      <w:tr w14:paraId="6CEFB8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6096B" w:rsidRPr="009C55C1" w14:paraId="6DB43204" w14:textId="282785D9">
            <w:pPr>
              <w:pStyle w:val="Normal6a"/>
            </w:pPr>
            <w:r w:rsidRPr="009C55C1">
              <w:t>119.</w:t>
            </w:r>
            <w:r w:rsidRPr="009C55C1">
              <w:tab/>
            </w:r>
            <w:r w:rsidRPr="009C55C1">
              <w:rPr>
                <w:b/>
                <w:i/>
              </w:rPr>
              <w:t>Calls for an ambitious and constructive approach to address migration phenomena at their root and to facilitate the establishment of legal pathways, with a sustained focus on talent and people development; emphasises that</w:t>
            </w:r>
            <w:r w:rsidRPr="009C55C1">
              <w:t xml:space="preserve"> the Mediterranean </w:t>
            </w:r>
            <w:r w:rsidRPr="009C55C1">
              <w:rPr>
                <w:b/>
                <w:i/>
              </w:rPr>
              <w:t>remains one of the main migration routes and recognises that tackling irregular migration – while upholding the right to seek asylum in the EU – is a complex yet urgent and necessary challenge requiring effective</w:t>
            </w:r>
            <w:r w:rsidRPr="009C55C1">
              <w:t xml:space="preserve"> cooperation with </w:t>
            </w:r>
            <w:r w:rsidRPr="009C55C1">
              <w:rPr>
                <w:b/>
                <w:i/>
              </w:rPr>
              <w:t>the EU</w:t>
            </w:r>
            <w:r w:rsidRPr="009C55C1" w:rsidR="003B1E82">
              <w:rPr>
                <w:b/>
                <w:i/>
              </w:rPr>
              <w:t>’</w:t>
            </w:r>
            <w:r w:rsidRPr="009C55C1">
              <w:rPr>
                <w:b/>
                <w:i/>
              </w:rPr>
              <w:t>s Southern Neighbourhood partners, both as</w:t>
            </w:r>
            <w:r w:rsidRPr="009C55C1">
              <w:t xml:space="preserve"> origin and transit </w:t>
            </w:r>
            <w:r w:rsidRPr="009C55C1">
              <w:rPr>
                <w:b/>
                <w:i/>
              </w:rPr>
              <w:t>countries</w:t>
            </w:r>
            <w:r w:rsidRPr="009C55C1">
              <w:t>;</w:t>
            </w:r>
          </w:p>
        </w:tc>
        <w:tc>
          <w:tcPr>
            <w:tcW w:w="4876" w:type="dxa"/>
            <w:tcBorders>
              <w:top w:val="nil"/>
              <w:left w:val="nil"/>
              <w:bottom w:val="nil"/>
              <w:right w:val="nil"/>
            </w:tcBorders>
          </w:tcPr>
          <w:p w:rsidR="0046096B" w:rsidRPr="009C55C1" w14:paraId="34EFC1EF" w14:textId="6284E030">
            <w:pPr>
              <w:pStyle w:val="Normal6a"/>
            </w:pPr>
            <w:r w:rsidRPr="009C55C1">
              <w:t>119.</w:t>
            </w:r>
            <w:r w:rsidRPr="009C55C1">
              <w:tab/>
            </w:r>
            <w:r w:rsidRPr="009C55C1">
              <w:rPr>
                <w:b/>
                <w:i/>
              </w:rPr>
              <w:t>Underlines that combating illegal immigration and ensuring effective border protection must be core priorities of the Pact for</w:t>
            </w:r>
            <w:r w:rsidRPr="009C55C1">
              <w:t xml:space="preserve"> the Mediterranean</w:t>
            </w:r>
            <w:r w:rsidRPr="009C55C1">
              <w:rPr>
                <w:b/>
                <w:i/>
              </w:rPr>
              <w:t>; calls for</w:t>
            </w:r>
            <w:r w:rsidRPr="009C55C1">
              <w:t xml:space="preserve"> cooperation with </w:t>
            </w:r>
            <w:r w:rsidRPr="009C55C1">
              <w:rPr>
                <w:b/>
                <w:i/>
              </w:rPr>
              <w:t>countries of</w:t>
            </w:r>
            <w:r w:rsidRPr="009C55C1">
              <w:t xml:space="preserve"> origin and transit </w:t>
            </w:r>
            <w:r w:rsidRPr="009C55C1">
              <w:rPr>
                <w:b/>
                <w:i/>
              </w:rPr>
              <w:t xml:space="preserve">to focus on preventing illegal departures, dismantling migrant smuggling networks and ensuring the effective return and readmission of </w:t>
            </w:r>
            <w:r w:rsidRPr="009C55C1" w:rsidR="00E26C85">
              <w:rPr>
                <w:b/>
                <w:i/>
              </w:rPr>
              <w:t>non-EU</w:t>
            </w:r>
            <w:r w:rsidRPr="009C55C1">
              <w:rPr>
                <w:b/>
                <w:i/>
              </w:rPr>
              <w:t xml:space="preserve"> nationals with no legal right to remain in the Member States</w:t>
            </w:r>
            <w:r w:rsidRPr="009C55C1">
              <w:t>;</w:t>
            </w:r>
          </w:p>
        </w:tc>
      </w:tr>
    </w:tbl>
    <w:p w:rsidR="0046096B" w:rsidRPr="009C55C1" w14:paraId="438CB04C" w14:textId="77777777">
      <w:pPr>
        <w:pStyle w:val="AmOrLang"/>
      </w:pPr>
      <w:r w:rsidRPr="009C55C1">
        <w:t xml:space="preserve">Or. </w:t>
      </w:r>
      <w:r w:rsidRPr="009C55C1">
        <w:rPr>
          <w:rStyle w:val="HideTWBExt"/>
        </w:rPr>
        <w:t>&lt;Original&gt;</w:t>
      </w:r>
      <w:r w:rsidRPr="009C55C1">
        <w:rPr>
          <w:rStyle w:val="HideTWBInt"/>
        </w:rPr>
        <w:t>{EN}</w:t>
      </w:r>
      <w:r w:rsidRPr="009C55C1">
        <w:t>en</w:t>
      </w:r>
      <w:r w:rsidRPr="009C55C1">
        <w:rPr>
          <w:rStyle w:val="HideTWBExt"/>
        </w:rPr>
        <w:t>&lt;/Original&gt;</w:t>
      </w:r>
    </w:p>
    <w:p w:rsidR="0046096B" w:rsidRPr="009C55C1" w14:paraId="0754195F" w14:textId="77777777">
      <w:r w:rsidRPr="009C55C1">
        <w:rPr>
          <w:rStyle w:val="HideTWBExt"/>
        </w:rPr>
        <w:t>&lt;/Amend&gt;</w:t>
      </w:r>
    </w:p>
    <w:p w:rsidR="0046096B" w:rsidRPr="009C55C1" w14:paraId="405E091C" w14:textId="77777777">
      <w:r w:rsidRPr="009C55C1">
        <w:rPr>
          <w:rStyle w:val="HideTWBExt"/>
        </w:rPr>
        <w:t>&lt;/RepeatBlock-Amend&gt;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CDC" w:rsidRPr="009C55C1" w14:paraId="00FF73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700" w:rsidRPr="009C55C1" w:rsidP="005F4700" w14:paraId="68F3A8B7" w14:textId="77777777">
    <w:pPr>
      <w:pStyle w:val="EPFooter"/>
      <w:rPr>
        <w:lang w:val="de-DE"/>
      </w:rPr>
    </w:pPr>
    <w:r w:rsidRPr="009C55C1">
      <w:rPr>
        <w:rStyle w:val="HideTWBExt"/>
        <w:lang w:val="de-DE"/>
      </w:rPr>
      <w:t>&lt;PathFdR&gt;</w:t>
    </w:r>
    <w:r w:rsidRPr="009C55C1">
      <w:rPr>
        <w:lang w:val="de-DE"/>
      </w:rPr>
      <w:t>AM\1352790EN.docx</w:t>
    </w:r>
    <w:r w:rsidRPr="009C55C1">
      <w:rPr>
        <w:rStyle w:val="HideTWBExt"/>
        <w:lang w:val="de-DE"/>
      </w:rPr>
      <w:t>&lt;/PathFdR&gt;</w:t>
    </w:r>
    <w:r w:rsidRPr="009C55C1">
      <w:rPr>
        <w:lang w:val="de-DE"/>
      </w:rPr>
      <w:tab/>
    </w:r>
    <w:r w:rsidRPr="009C55C1">
      <w:rPr>
        <w:lang w:val="de-DE"/>
      </w:rPr>
      <w:tab/>
      <w:t>PE</w:t>
    </w:r>
    <w:r w:rsidRPr="009C55C1">
      <w:rPr>
        <w:rStyle w:val="HideTWBExt"/>
        <w:lang w:val="de-DE"/>
      </w:rPr>
      <w:t>&lt;NoPE&gt;</w:t>
    </w:r>
    <w:r w:rsidRPr="009C55C1">
      <w:rPr>
        <w:lang w:val="de-DE"/>
      </w:rPr>
      <w:t>788.352</w:t>
    </w:r>
    <w:r w:rsidRPr="009C55C1">
      <w:rPr>
        <w:rStyle w:val="HideTWBExt"/>
        <w:lang w:val="de-DE"/>
      </w:rPr>
      <w:t>&lt;/NoPE&gt;&lt;Version&gt;</w:t>
    </w:r>
    <w:r w:rsidRPr="009C55C1">
      <w:rPr>
        <w:lang w:val="de-DE"/>
      </w:rPr>
      <w:t>v01-00</w:t>
    </w:r>
    <w:r w:rsidRPr="009C55C1">
      <w:rPr>
        <w:rStyle w:val="HideTWBExt"/>
        <w:lang w:val="de-DE"/>
      </w:rPr>
      <w:t>&lt;/Version&gt;</w:t>
    </w:r>
  </w:p>
  <w:p w:rsidR="0046096B" w:rsidRPr="009C55C1" w:rsidP="005F4700" w14:paraId="23F10BA6" w14:textId="26C6065B">
    <w:pPr>
      <w:pStyle w:val="EPFooter2"/>
    </w:pPr>
    <w:r w:rsidRPr="009C55C1">
      <w:t>EN</w:t>
    </w:r>
    <w:r w:rsidRPr="009C55C1">
      <w:tab/>
    </w:r>
    <w:r w:rsidRPr="009C55C1">
      <w:rPr>
        <w:b w:val="0"/>
        <w:i/>
        <w:color w:val="C0C0C0"/>
        <w:sz w:val="22"/>
      </w:rPr>
      <w:t>United in diversity</w:t>
    </w:r>
    <w:r w:rsidRPr="009C55C1">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CDC" w:rsidRPr="009C55C1" w14:paraId="6426ED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CDC" w:rsidRPr="009C55C1" w14:paraId="6204C93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CDC" w:rsidRPr="009C55C1" w14:paraId="0E29139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7CDC" w:rsidRPr="009C55C1" w14:paraId="6B1D3EA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6DD2"/>
    <w:rsid w:val="0016491F"/>
    <w:rsid w:val="00171CB4"/>
    <w:rsid w:val="00182D8C"/>
    <w:rsid w:val="00200915"/>
    <w:rsid w:val="00266744"/>
    <w:rsid w:val="002907C3"/>
    <w:rsid w:val="00364D89"/>
    <w:rsid w:val="0039664C"/>
    <w:rsid w:val="003B1E82"/>
    <w:rsid w:val="0046096B"/>
    <w:rsid w:val="004C0975"/>
    <w:rsid w:val="005317A0"/>
    <w:rsid w:val="00581848"/>
    <w:rsid w:val="005F4700"/>
    <w:rsid w:val="00677CDC"/>
    <w:rsid w:val="006877BA"/>
    <w:rsid w:val="006A7886"/>
    <w:rsid w:val="006B2B8C"/>
    <w:rsid w:val="006E2442"/>
    <w:rsid w:val="00720080"/>
    <w:rsid w:val="00792653"/>
    <w:rsid w:val="008B46BF"/>
    <w:rsid w:val="009642D0"/>
    <w:rsid w:val="0098614B"/>
    <w:rsid w:val="009A551C"/>
    <w:rsid w:val="009C55C1"/>
    <w:rsid w:val="009E79B0"/>
    <w:rsid w:val="00A505A8"/>
    <w:rsid w:val="00A70F0A"/>
    <w:rsid w:val="00A77B3E"/>
    <w:rsid w:val="00AB16D7"/>
    <w:rsid w:val="00AE1A97"/>
    <w:rsid w:val="00AE49E7"/>
    <w:rsid w:val="00C71C3B"/>
    <w:rsid w:val="00CA2A55"/>
    <w:rsid w:val="00CF73D5"/>
    <w:rsid w:val="00DF183F"/>
    <w:rsid w:val="00E232F4"/>
    <w:rsid w:val="00E26C85"/>
    <w:rsid w:val="00EE60C2"/>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52"/>
    <w:docVar w:name="TXTPEorAP" w:val="PE"/>
    <w:docVar w:name="TXTROUTE" w:val="AM\1352790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FEF75240-FAA2-4C4F-AAA4-9B6DCF4A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F4700"/>
    <w:pPr>
      <w:tabs>
        <w:tab w:val="center" w:pos="4513"/>
        <w:tab w:val="right" w:pos="9026"/>
      </w:tabs>
    </w:pPr>
  </w:style>
  <w:style w:type="character" w:customStyle="1" w:styleId="HeaderChar">
    <w:name w:val="Header Char"/>
    <w:basedOn w:val="DefaultParagraphFont"/>
    <w:link w:val="Header"/>
    <w:rsid w:val="005F4700"/>
    <w:rPr>
      <w:sz w:val="24"/>
      <w:szCs w:val="24"/>
    </w:rPr>
  </w:style>
  <w:style w:type="paragraph" w:styleId="Footer">
    <w:name w:val="footer"/>
    <w:basedOn w:val="Normal"/>
    <w:link w:val="FooterChar1"/>
    <w:rsid w:val="005F4700"/>
    <w:pPr>
      <w:tabs>
        <w:tab w:val="center" w:pos="4513"/>
        <w:tab w:val="right" w:pos="9026"/>
      </w:tabs>
    </w:pPr>
  </w:style>
  <w:style w:type="character" w:customStyle="1" w:styleId="FooterChar1">
    <w:name w:val="Footer Char1"/>
    <w:basedOn w:val="DefaultParagraphFont"/>
    <w:link w:val="Footer"/>
    <w:rsid w:val="005F4700"/>
    <w:rPr>
      <w:sz w:val="24"/>
      <w:szCs w:val="24"/>
    </w:rPr>
  </w:style>
  <w:style w:type="character" w:styleId="CommentReference">
    <w:name w:val="annotation reference"/>
    <w:basedOn w:val="DefaultParagraphFont"/>
    <w:rsid w:val="00792653"/>
    <w:rPr>
      <w:sz w:val="16"/>
      <w:szCs w:val="16"/>
    </w:rPr>
  </w:style>
  <w:style w:type="paragraph" w:styleId="CommentText">
    <w:name w:val="annotation text"/>
    <w:basedOn w:val="Normal"/>
    <w:link w:val="CommentTextChar"/>
    <w:rsid w:val="00792653"/>
    <w:rPr>
      <w:sz w:val="20"/>
      <w:szCs w:val="20"/>
    </w:rPr>
  </w:style>
  <w:style w:type="character" w:customStyle="1" w:styleId="CommentTextChar">
    <w:name w:val="Comment Text Char"/>
    <w:basedOn w:val="DefaultParagraphFont"/>
    <w:link w:val="CommentText"/>
    <w:rsid w:val="00792653"/>
  </w:style>
  <w:style w:type="paragraph" w:styleId="CommentSubject">
    <w:name w:val="annotation subject"/>
    <w:basedOn w:val="CommentText"/>
    <w:next w:val="CommentText"/>
    <w:link w:val="CommentSubjectChar"/>
    <w:rsid w:val="00792653"/>
    <w:rPr>
      <w:b/>
      <w:bCs/>
    </w:rPr>
  </w:style>
  <w:style w:type="character" w:customStyle="1" w:styleId="CommentSubjectChar">
    <w:name w:val="Comment Subject Char"/>
    <w:basedOn w:val="CommentTextChar"/>
    <w:link w:val="CommentSubject"/>
    <w:rsid w:val="00792653"/>
    <w:rPr>
      <w:b/>
      <w:bCs/>
    </w:rPr>
  </w:style>
  <w:style w:type="paragraph" w:styleId="Revision">
    <w:name w:val="Revision"/>
    <w:hidden/>
    <w:uiPriority w:val="99"/>
    <w:semiHidden/>
    <w:rsid w:val="00DF183F"/>
    <w:rPr>
      <w:sz w:val="24"/>
      <w:szCs w:val="24"/>
    </w:rPr>
  </w:style>
  <w:style w:type="paragraph" w:styleId="FootnoteText">
    <w:name w:val="footnote text"/>
    <w:basedOn w:val="Normal"/>
    <w:link w:val="FootnoteTextChar"/>
    <w:rsid w:val="00DF183F"/>
    <w:rPr>
      <w:sz w:val="20"/>
      <w:szCs w:val="20"/>
    </w:rPr>
  </w:style>
  <w:style w:type="character" w:customStyle="1" w:styleId="FootnoteTextChar">
    <w:name w:val="Footnote Text Char"/>
    <w:basedOn w:val="DefaultParagraphFont"/>
    <w:link w:val="FootnoteText"/>
    <w:rsid w:val="00DF183F"/>
  </w:style>
  <w:style w:type="character" w:styleId="FootnoteReference">
    <w:name w:val="footnote reference"/>
    <w:basedOn w:val="DefaultParagraphFont"/>
    <w:rsid w:val="00DF183F"/>
    <w:rPr>
      <w:vertAlign w:val="superscript"/>
    </w:rPr>
  </w:style>
  <w:style w:type="character" w:styleId="Hyperlink">
    <w:name w:val="Hyperlink"/>
    <w:basedOn w:val="DefaultParagraphFont"/>
    <w:rsid w:val="00DF183F"/>
    <w:rPr>
      <w:color w:val="0000FF" w:themeColor="hyperlink"/>
      <w:u w:val="single"/>
    </w:rPr>
  </w:style>
  <w:style w:type="character" w:customStyle="1" w:styleId="UnresolvedMention">
    <w:name w:val="Unresolved Mention"/>
    <w:basedOn w:val="DefaultParagraphFont"/>
    <w:uiPriority w:val="99"/>
    <w:semiHidden/>
    <w:unhideWhenUsed/>
    <w:rsid w:val="00DF1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data.europa.eu/eli/reg/2026/1395/oj"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039DC-3F1C-4017-B183-0229120DB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4636</Words>
  <Characters>26430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31004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2026-10-14T17:25:00Z</cp:lastPrinted>
  <dcterms:created xsi:type="dcterms:W3CDTF">2026-10-15T08:39:00Z</dcterms:created>
  <dcterms:modified xsi:type="dcterms:W3CDTF">2026-10-15T08:39:00Z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1352790</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20:51</vt:lpwstr>
  </property>
  <property fmtid="{D5CDD505-2E9C-101B-9397-08002B2CF9AE}" pid="7" name="dmxml.render.id">
    <vt:lpwstr>655059</vt:lpwstr>
  </property>
  <property fmtid="{D5CDD505-2E9C-101B-9397-08002B2CF9AE}" pid="8" name="dmxml.render.traceId">
    <vt:lpwstr>6acf902beed6581db1969ca34d9e6b92</vt:lpwstr>
  </property>
  <property fmtid="{D5CDD505-2E9C-101B-9397-08002B2CF9AE}" pid="9" name="FooterPath">
    <vt:lpwstr>AM\1352790EN.docx</vt:lpwstr>
  </property>
  <property fmtid="{D5CDD505-2E9C-101B-9397-08002B2CF9AE}" pid="10" name="LastEdited with">
    <vt:lpwstr>10.3.1 Build [20260902]</vt:lpwstr>
  </property>
  <property fmtid="{D5CDD505-2E9C-101B-9397-08002B2CF9AE}" pid="11" name="PE Number">
    <vt:lpwstr>788.352</vt:lpwstr>
  </property>
  <property fmtid="{D5CDD505-2E9C-101B-9397-08002B2CF9AE}" pid="12" name="RegistreCheck">
    <vt:lpwstr>OK</vt:lpwstr>
  </property>
  <property fmtid="{D5CDD505-2E9C-101B-9397-08002B2CF9AE}" pid="13" name="UID">
    <vt:lpwstr>eu.europa.europarl-DIN1-2026-0000282001_01.00-en-01.00_text-xml</vt:lpwstr>
  </property>
</Properties>
</file>