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A10-0241</w:t>
      </w:r>
      <w:r>
        <w:rPr>
          <w:rStyle w:val="HideTWBExt"/>
        </w:rPr>
        <w:t>&lt;/ANo&gt;</w:t>
      </w:r>
      <w:r>
        <w:t>/</w:t>
      </w:r>
      <w:r>
        <w:rPr>
          <w:rStyle w:val="HideTWBExt"/>
        </w:rPr>
        <w:t>&lt;NumAm&gt;</w:t>
      </w:r>
      <w:r>
        <w:t>1</w:t>
      </w:r>
      <w:r>
        <w:rPr>
          <w:rStyle w:val="HideTWBExt"/>
        </w:rPr>
        <w:t>&lt;/NumAm&gt;</w:t>
      </w:r>
    </w:p>
    <w:p>
      <w:pPr>
        <w:pStyle w:val="AmNumberTabs"/>
      </w:pP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Alexander Jungbluth, Stanisław Tyszka</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A10-0241/2026</w:t>
      </w:r>
    </w:p>
    <w:p>
      <w:pPr>
        <w:pStyle w:val="NormalBold"/>
      </w:pPr>
      <w:r>
        <w:rPr>
          <w:rStyle w:val="HideTWBExt"/>
        </w:rPr>
        <w:t>&lt;Rapporteur&gt;</w:t>
      </w:r>
      <w:r>
        <w:t>Hélder Sousa Silva</w:t>
      </w:r>
      <w:r>
        <w:rPr>
          <w:rStyle w:val="HideTWBExt"/>
        </w:rPr>
        <w:t>&lt;/Rapporteur&gt;</w:t>
      </w:r>
    </w:p>
    <w:p>
      <w:r>
        <w:rPr>
          <w:rStyle w:val="HideTWBExt"/>
        </w:rPr>
        <w:t>&lt;Titre&gt;</w:t>
      </w:r>
      <w:r>
        <w:t>Mobilisation of the European Globalisation Adjustment Fund for Displaced Workers: application EGF/2026/001 BE/Cora - Belgium</w:t>
      </w:r>
      <w:r>
        <w:rPr>
          <w:rStyle w:val="HideTWBExt"/>
        </w:rPr>
        <w:t>&lt;/Titre&gt;</w:t>
      </w:r>
    </w:p>
    <w:p>
      <w:pPr>
        <w:pStyle w:val="Normal12a"/>
      </w:pPr>
      <w:r>
        <w:rPr>
          <w:rStyle w:val="HideTWBExt"/>
        </w:rPr>
        <w:t>&lt;DocRef&gt;</w:t>
      </w:r>
      <w:r>
        <w:t>(2026/0197(BUD))</w:t>
      </w:r>
      <w:r>
        <w:rPr>
          <w:rStyle w:val="HideTWBExt"/>
        </w:rPr>
        <w:t>&lt;/DocRef&gt;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Stresses that</w:t>
            </w:r>
            <w:r>
              <w:t xml:space="preserve"> the Belgian authorities </w:t>
            </w:r>
            <w:r>
              <w:rPr>
                <w:b/>
                <w:i/>
              </w:rPr>
              <w:t>shall ensure the visibility of the Union funding and highlight its added value by providing effective, clear and timely information to beneficiaries, regional and local authorities, social partners, and the wider public</w:t>
            </w:r>
            <w:r>
              <w:t>;</w:t>
            </w:r>
          </w:p>
        </w:tc>
        <w:tc>
          <w:tcPr>
            <w:tcW w:w="4876" w:type="dxa"/>
            <w:tcBorders>
              <w:top w:val="nil"/>
              <w:left w:val="nil"/>
              <w:bottom w:val="nil"/>
              <w:right w:val="nil"/>
            </w:tcBorders>
          </w:tcPr>
          <w:p>
            <w:pPr>
              <w:pStyle w:val="Normal6a"/>
            </w:pPr>
            <w:r>
              <w:t>9.</w:t>
            </w:r>
            <w:r>
              <w:tab/>
            </w:r>
            <w:r>
              <w:rPr>
                <w:b/>
                <w:i/>
              </w:rPr>
              <w:t>Insists that expenditure on information and publicity be limited to what is necessary to inform eligible workers of the assistance available and to meet applicable legal requirements; calls on</w:t>
            </w:r>
            <w:r>
              <w:t xml:space="preserve"> the Belgian authorities </w:t>
            </w:r>
            <w:r>
              <w:rPr>
                <w:b/>
                <w:i/>
              </w:rPr>
              <w:t>to avoid promotional expenditure beyond those purposes and to disclose the amounts spent on communication and publicity</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A10-0241</w:t>
      </w:r>
      <w:r>
        <w:rPr>
          <w:rStyle w:val="HideTWBExt"/>
        </w:rPr>
        <w:t>&lt;/ANo&gt;</w:t>
      </w:r>
      <w:r>
        <w:t>/</w:t>
      </w:r>
      <w:r>
        <w:rPr>
          <w:rStyle w:val="HideTWBExt"/>
        </w:rPr>
        <w:t>&lt;NumAm&gt;</w:t>
      </w:r>
      <w:r>
        <w:t>2</w:t>
      </w:r>
      <w:r>
        <w:rPr>
          <w:rStyle w:val="HideTWBExt"/>
        </w:rPr>
        <w:t>&lt;/NumAm&gt;</w:t>
      </w:r>
    </w:p>
    <w:p>
      <w:pPr>
        <w:pStyle w:val="AmNumberTabs"/>
      </w:pP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Alexander Jungbluth, Stanisław Tyszka</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A10-0241/2026</w:t>
      </w:r>
    </w:p>
    <w:p>
      <w:pPr>
        <w:pStyle w:val="NormalBold"/>
      </w:pPr>
      <w:r>
        <w:rPr>
          <w:rStyle w:val="HideTWBExt"/>
        </w:rPr>
        <w:t>&lt;Rapporteur&gt;</w:t>
      </w:r>
      <w:r>
        <w:t>Hélder Sousa Silva</w:t>
      </w:r>
      <w:r>
        <w:rPr>
          <w:rStyle w:val="HideTWBExt"/>
        </w:rPr>
        <w:t>&lt;/Rapporteur&gt;</w:t>
      </w:r>
    </w:p>
    <w:p>
      <w:r>
        <w:rPr>
          <w:rStyle w:val="HideTWBExt"/>
        </w:rPr>
        <w:t>&lt;Titre&gt;</w:t>
      </w:r>
      <w:r>
        <w:t>Mobilisation of the European Globalisation Adjustment Fund for Displaced Workers: application EGF/2026/001 BE/Cora - Belgium</w:t>
      </w:r>
      <w:r>
        <w:rPr>
          <w:rStyle w:val="HideTWBExt"/>
        </w:rPr>
        <w:t>&lt;/Titre&gt;</w:t>
      </w:r>
    </w:p>
    <w:p>
      <w:pPr>
        <w:pStyle w:val="Normal12a"/>
      </w:pPr>
      <w:r>
        <w:rPr>
          <w:rStyle w:val="HideTWBExt"/>
        </w:rPr>
        <w:t>&lt;DocRef&gt;</w:t>
      </w:r>
      <w:r>
        <w:t>(2026/0197(BUD))</w:t>
      </w:r>
      <w:r>
        <w:rPr>
          <w:rStyle w:val="HideTWBExt"/>
        </w:rPr>
        <w:t>&lt;/DocRef&gt;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Calls for thorough final evaluations of the measures implemented, including clear information on the use of funds, the success of the reintegration of workers into the labour market and its effectiveness, to ensure accountability, sound financial management and the effective use of Union funds; reiterates the need for appropriate monitoring and control of the use of EGF funding and whether the EGF objectives were achieved;</w:t>
            </w:r>
          </w:p>
        </w:tc>
        <w:tc>
          <w:tcPr>
            <w:tcW w:w="4876" w:type="dxa"/>
            <w:tcBorders>
              <w:top w:val="nil"/>
              <w:left w:val="nil"/>
              <w:bottom w:val="nil"/>
              <w:right w:val="nil"/>
            </w:tcBorders>
          </w:tcPr>
          <w:p>
            <w:pPr>
              <w:pStyle w:val="Normal6a"/>
            </w:pPr>
            <w:r>
              <w:t>12.</w:t>
            </w:r>
            <w:r>
              <w:tab/>
            </w:r>
            <w:r>
              <w:t xml:space="preserve">Calls for thorough final evaluations of the measures implemented, including clear information on the use of funds, the success of the reintegration of workers into the labour market and its effectiveness, to ensure accountability, sound financial management and the effective use of Union funds; reiterates the need for appropriate monitoring and control of the use of EGF funding and whether the EGF objectives were achieved; </w:t>
            </w:r>
            <w:r>
              <w:rPr>
                <w:b/>
                <w:i/>
              </w:rPr>
              <w:t>stresses that expenditure must be substantiated and subject to effective checks; calls on the Commission to ensure that unused amounts and expenditure found to be ineligible are recovered in accordance with the applicable rules, and that the final evaluation clearly identifies actual participation, employment outcomes and administrative costs;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AM\P10_AMA(2026)0241(001-002)_EN.docx</w:t>
    </w:r>
    <w:r>
      <w:rPr>
        <w:rStyle w:val="HideTWBExt"/>
      </w:rPr>
      <w:t>&lt;/PathFdR&gt;</w:t>
    </w:r>
    <w:r>
      <w:tab/>
    </w:r>
    <w:r>
      <w:tab/>
    </w:r>
    <w:r>
      <w:t>PE</w:t>
    </w:r>
    <w:r>
      <w:rPr>
        <w:rStyle w:val="HideTWBExt"/>
      </w:rPr>
      <w:t>&lt;NoPE&gt;</w:t>
    </w:r>
    <w:r>
      <w:t>788.297</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Pages>
  <Words>364</Words>
  <Characters>2162</Characters>
  <Application>Microsoft Office Word</Application>
  <DocSecurity>0</DocSecurity>
  <Lines>1</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634708</vt:lpwstr>
  </property>
  <property fmtid="{D5CDD505-2E9C-101B-9397-08002B2CF9AE}" pid="7" name="dmxml.render.traceId">
    <vt:lpwstr>6abd2b9135e61d44b74b42e5939754e7</vt:lpwstr>
  </property>
  <property fmtid="{D5CDD505-2E9C-101B-9397-08002B2CF9AE}" pid="8" name="FooterPath">
    <vt:lpwstr>AM\P10_AMA(2026)0241(001-002)_EN.docx</vt:lpwstr>
  </property>
  <property fmtid="{D5CDD505-2E9C-101B-9397-08002B2CF9AE}" pid="9" name="PE Number">
    <vt:lpwstr>788.297</vt:lpwstr>
  </property>
  <property fmtid="{D5CDD505-2E9C-101B-9397-08002B2CF9AE}" pid="10" name="UID">
    <vt:lpwstr>eu.europa.europarl-DIN1-2026-0000258120_01.00-en-01.00_text-xml</vt:lpwstr>
  </property>
</Properties>
</file>