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167</w:t>
      </w:r>
      <w:r>
        <w:rPr>
          <w:rStyle w:val="HideTWBExt"/>
        </w:rPr>
        <w:t>&lt;/NumAm&gt;</w:t>
      </w:r>
    </w:p>
    <w:p>
      <w:pPr>
        <w:pStyle w:val="AmNumberTabs"/>
      </w:pP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foster </w:t>
            </w:r>
            <w:r>
              <w:rPr>
                <w:b/>
                <w:i/>
              </w:rPr>
              <w:t>a sense of European identity and</w:t>
            </w:r>
            <w:r>
              <w:t xml:space="preserve"> active citizenship, enhance solidarity and active participation in society and democracy, inducing a positive societal impact, greater resilience and better preparedness to anticipate, prevent and respond to risks of different nature;</w:t>
            </w:r>
          </w:p>
        </w:tc>
        <w:tc>
          <w:tcPr>
            <w:tcW w:w="4876" w:type="dxa"/>
            <w:tcBorders>
              <w:top w:val="nil"/>
              <w:left w:val="nil"/>
              <w:bottom w:val="nil"/>
              <w:right w:val="nil"/>
            </w:tcBorders>
          </w:tcPr>
          <w:p>
            <w:pPr>
              <w:pStyle w:val="Normal6a"/>
            </w:pPr>
            <w:r>
              <w:t>(b)</w:t>
            </w:r>
            <w:r>
              <w:tab/>
            </w:r>
            <w:r>
              <w:t xml:space="preserve">foster </w:t>
            </w:r>
            <w:r>
              <w:rPr>
                <w:b/>
                <w:i/>
              </w:rPr>
              <w:t>knowledge of Europe's shared history and cultural heritage, while respecting the national identities and cultural and linguistic diversity of the Member States, promote</w:t>
            </w:r>
            <w:r>
              <w:t xml:space="preserve"> active citizenship, enhance solidarity and active participation in society and democracy, inducing a positive societal impact, greater resilience and better preparedness to anticipate, prevent and respond to risks of different nature;</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168</w:t>
      </w:r>
      <w:r>
        <w:rPr>
          <w:rStyle w:val="HideTWBExt"/>
        </w:rPr>
        <w:t>&lt;/NumAm&gt;</w:t>
      </w:r>
    </w:p>
    <w:p>
      <w:pPr>
        <w:pStyle w:val="AmNumberTabs"/>
      </w:pP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3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Actions supported under the Programme in the fields of education and training shall fully respect the responsibility of the Member States for the content of teaching and the organisation of education systems, as well as their national, regional, cultural and linguistic diversity, in accordance with Articles 165 and 166 TFEU. The Programme shall not result in any harmonisation of the laws and regulations of the Member States in those fields.</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169</w:t>
      </w:r>
      <w:r>
        <w:rPr>
          <w:rStyle w:val="HideTWBExt"/>
        </w:rPr>
        <w:t>&lt;/NumAm&gt;</w:t>
      </w:r>
    </w:p>
    <w:p>
      <w:pPr>
        <w:pStyle w:val="AmNumberTabs"/>
      </w:pP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Experimentation, preparation and implementation of the Union’s policy agendas and tools covering skills, education and training, youth and sport</w:t>
            </w:r>
            <w:r>
              <w:rPr>
                <w:vertAlign w:val="superscript"/>
              </w:rPr>
              <w:t>21</w:t>
            </w:r>
            <w:r>
              <w:t xml:space="preserve"> ;</w:t>
            </w:r>
          </w:p>
        </w:tc>
        <w:tc>
          <w:tcPr>
            <w:tcW w:w="4876" w:type="dxa"/>
            <w:tcBorders>
              <w:top w:val="nil"/>
              <w:left w:val="nil"/>
              <w:bottom w:val="nil"/>
              <w:right w:val="nil"/>
            </w:tcBorders>
          </w:tcPr>
          <w:p>
            <w:pPr>
              <w:pStyle w:val="Normal6a"/>
            </w:pPr>
            <w:r>
              <w:t>(a)</w:t>
            </w:r>
            <w:r>
              <w:tab/>
            </w:r>
            <w:r>
              <w:t>Experimentation, preparation and implementation of the Union’s policy agendas and tools covering skills, education and training, youth and sport</w:t>
            </w:r>
            <w:r>
              <w:rPr>
                <w:vertAlign w:val="superscript"/>
              </w:rPr>
              <w:t>21</w:t>
            </w:r>
            <w:r>
              <w:rPr>
                <w:b/>
                <w:i/>
              </w:rPr>
              <w:t>, in full respect of the responsibility of the Member States for the content of teaching and the organisation of education and vocational training systems, without making changes to national curricula or education legislation a condition for participation in the Programme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In particular: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Euroguidance network, the common framework and tools for the provision of better services for skills and qualifications (Europass), the Eurydice Network, National Coordinators for Adult Learning, the Central and National Support Services for online platforms, the European Higher Education Area (EHEA) and the National Reference Points on graduate tracking, Youth wiki network, the Eurodesk network, the European Youth Forum, Youthpass, the National Working Groups implementing the EU Youth Dialogue and the National Coordinating Bodies implementing the European Week of Sport at national level.</w:t>
            </w:r>
          </w:p>
        </w:tc>
        <w:tc>
          <w:tcPr>
            <w:tcW w:w="4876" w:type="dxa"/>
            <w:tcBorders>
              <w:top w:val="nil"/>
              <w:left w:val="nil"/>
              <w:bottom w:val="nil"/>
              <w:right w:val="nil"/>
            </w:tcBorders>
          </w:tcPr>
          <w:p>
            <w:pPr>
              <w:pStyle w:val="Normal6a"/>
            </w:pPr>
            <w:r>
              <w:rPr>
                <w:vertAlign w:val="superscript"/>
              </w:rPr>
              <w:t>21</w:t>
            </w:r>
            <w:r>
              <w:t xml:space="preserve"> </w:t>
            </w:r>
            <w:r>
              <w:t>In particular: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Euroguidance network, the common framework and tools for the provision of better services for skills and qualifications (Europass), the Eurydice Network, National Coordinators for Adult Learning, the Central and National Support Services for online platforms, the European Higher Education Area (EHEA) and the National Reference Points on graduate tracking, Youth wiki network, the Eurodesk network, the European Youth Forum, Youthpass, the National Working Groups implementing the EU Youth Dialogue and the National Coordinating Bodies implementing the European Week of Sport at national level.</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170</w:t>
      </w:r>
      <w:r>
        <w:rPr>
          <w:rStyle w:val="HideTWBExt"/>
        </w:rPr>
        <w:t>&lt;/NumAm&gt;</w:t>
      </w:r>
    </w:p>
    <w:p>
      <w:pPr>
        <w:pStyle w:val="AmNumberTabs"/>
      </w:pP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national agencies referred to in Article 19 shall develop or update where relevant, national inclusion and diversity action plans, based on the framework, and with particular attention to the specific challenges to </w:t>
            </w:r>
            <w:r>
              <w:rPr>
                <w:b/>
                <w:i/>
              </w:rPr>
              <w:t>access</w:t>
            </w:r>
            <w:r>
              <w:t xml:space="preserve"> the programme within the national contexts. The national inclusion and diversity plans shall form an integral part of the national agencies’ planning documents as referred to in Article 19(2).</w:t>
            </w:r>
          </w:p>
        </w:tc>
        <w:tc>
          <w:tcPr>
            <w:tcW w:w="4876" w:type="dxa"/>
            <w:tcBorders>
              <w:top w:val="nil"/>
              <w:left w:val="nil"/>
              <w:bottom w:val="nil"/>
              <w:right w:val="nil"/>
            </w:tcBorders>
          </w:tcPr>
          <w:p>
            <w:pPr>
              <w:pStyle w:val="Normal6a"/>
            </w:pPr>
            <w:r>
              <w:t>6.</w:t>
            </w:r>
            <w:r>
              <w:tab/>
            </w:r>
            <w:r>
              <w:t>The national agencies referred to in Article 19 shall develop or update</w:t>
            </w:r>
            <w:r>
              <w:rPr>
                <w:b/>
                <w:i/>
              </w:rPr>
              <w:t>,</w:t>
            </w:r>
            <w:r>
              <w:t xml:space="preserve"> where relevant, national inclusion and diversity action plans, based on the framework, and with particular attention to the specific challenges to </w:t>
            </w:r>
            <w:r>
              <w:rPr>
                <w:b/>
                <w:i/>
              </w:rPr>
              <w:t>accessing</w:t>
            </w:r>
            <w:r>
              <w:t xml:space="preserve"> the Programme within the national contexts</w:t>
            </w:r>
            <w:r>
              <w:rPr>
                <w:b/>
                <w:i/>
              </w:rPr>
              <w:t>, including geographical obstacles affecting participants and organisations in rural, remote, peripheral and border regions, as well as administrative barriers faced by small, local and newcomer organisations</w:t>
            </w:r>
            <w:r>
              <w:t>. The national inclusion and diversity plans shall form an integral part of the national agencies’ planning documents as referred to in Article 19(2).</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171</w:t>
      </w:r>
      <w:r>
        <w:rPr>
          <w:rStyle w:val="HideTWBExt"/>
        </w:rPr>
        <w:t>&lt;/NumAm&gt;</w:t>
      </w:r>
    </w:p>
    <w:p>
      <w:pPr>
        <w:pStyle w:val="AmNumberTabs"/>
      </w:pP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financial envelope referred to in </w:t>
            </w:r>
            <w:r>
              <w:rPr>
                <w:b/>
                <w:i/>
              </w:rPr>
              <w:t>paragraph</w:t>
            </w:r>
            <w:r>
              <w:t xml:space="preserve"> 1 and 2 of this Article and the amounts of additional resources referred to in Article 10 may also be used for technical and administrative assistance for the implementation of the Programme, such as preparatory, monitoring, control, audit and evaluation activities, specific and corporate information technology systems and platforms, information and communication activities</w:t>
            </w:r>
            <w:r>
              <w:rPr>
                <w:b/>
                <w:i/>
              </w:rPr>
              <w:t>, including corporate communication on the political priorities</w:t>
            </w:r>
            <w:r>
              <w:t xml:space="preserve"> of the </w:t>
            </w:r>
            <w:r>
              <w:rPr>
                <w:b/>
                <w:i/>
              </w:rPr>
              <w:t>Union</w:t>
            </w:r>
            <w:r>
              <w:t>, and all other technical and administrative assistance or staff-related expenses incurred by the Commission for the management of the Programme.</w:t>
            </w:r>
          </w:p>
        </w:tc>
        <w:tc>
          <w:tcPr>
            <w:tcW w:w="4876" w:type="dxa"/>
            <w:tcBorders>
              <w:top w:val="nil"/>
              <w:left w:val="nil"/>
              <w:bottom w:val="nil"/>
              <w:right w:val="nil"/>
            </w:tcBorders>
          </w:tcPr>
          <w:p>
            <w:pPr>
              <w:pStyle w:val="Normal6a"/>
            </w:pPr>
            <w:r>
              <w:t>4.</w:t>
            </w:r>
            <w:r>
              <w:tab/>
            </w:r>
            <w:r>
              <w:t xml:space="preserve">The financial envelope referred to in </w:t>
            </w:r>
            <w:r>
              <w:rPr>
                <w:b/>
                <w:i/>
              </w:rPr>
              <w:t>paragraphs</w:t>
            </w:r>
            <w:r>
              <w:t xml:space="preserve"> 1 and 2 of this Article and the amounts of additional resources referred to in Article 10 may also be used for technical and administrative assistance for the implementation of the Programme, such as preparatory, monitoring, control, audit and evaluation activities, specific and corporate information technology systems and platforms, information and communication activities </w:t>
            </w:r>
            <w:r>
              <w:rPr>
                <w:b/>
                <w:i/>
              </w:rPr>
              <w:t>directly related to the objectives, opportunities, implementation and results</w:t>
            </w:r>
            <w:r>
              <w:t xml:space="preserve"> of the </w:t>
            </w:r>
            <w:r>
              <w:rPr>
                <w:b/>
                <w:i/>
              </w:rPr>
              <w:t>Programme</w:t>
            </w:r>
            <w:r>
              <w:t xml:space="preserve">, and all other technical and administrative assistance or staff-related expenses incurred by the Commission for the management of the Programme. </w:t>
            </w:r>
            <w:r>
              <w:rPr>
                <w:b/>
                <w:i/>
              </w:rPr>
              <w:t>Such appropriations shall not be used to finance general institutional or political communication campaigns unrelated to the objectives of the Programme.</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172</w:t>
      </w:r>
      <w:r>
        <w:rPr>
          <w:rStyle w:val="HideTWBExt"/>
        </w:rPr>
        <w:t>&lt;/NumAm&gt;</w:t>
      </w:r>
    </w:p>
    <w:p>
      <w:pPr>
        <w:pStyle w:val="AmNumberTabs"/>
      </w:pP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work programme referred to in Article 110 of Regulation (EU, Euratom) 2024/2509 or the documents related to the award procedure may further specify the eligibility criteria set out in this Regulation or set additional eligibility criteria for specific actions.</w:t>
            </w:r>
          </w:p>
        </w:tc>
        <w:tc>
          <w:tcPr>
            <w:tcW w:w="4876" w:type="dxa"/>
            <w:tcBorders>
              <w:top w:val="nil"/>
              <w:left w:val="nil"/>
              <w:bottom w:val="nil"/>
              <w:right w:val="nil"/>
            </w:tcBorders>
          </w:tcPr>
          <w:p>
            <w:pPr>
              <w:pStyle w:val="Normal6a"/>
            </w:pPr>
            <w:r>
              <w:t>5.</w:t>
            </w:r>
            <w:r>
              <w:tab/>
            </w:r>
            <w:r>
              <w:t xml:space="preserve">The work programme referred to in Article 110 of Regulation (EU, Euratom) 2024/2509 or the documents related to the award procedure may further specify the eligibility criteria set out in this Regulation or set additional eligibility criteria for specific actions. </w:t>
            </w:r>
            <w:r>
              <w:rPr>
                <w:b/>
                <w:i/>
              </w:rPr>
              <w:t>Any additional eligibility criteria shall be necessary and proportionate to the objectives of the relevant action and shall be based on objective, transparent and non-discriminatory conditions. Such criteria shall not require applicants to endorse political positions unrelated to the objectives of the funded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AM\P10_AMA(2026)0257(167-172)_EN.docx</w:t>
    </w:r>
    <w:r>
      <w:rPr>
        <w:rStyle w:val="HideTWBExt"/>
      </w:rPr>
      <w:t>&lt;/PathFdR&gt;</w:t>
    </w:r>
    <w:r>
      <w:tab/>
    </w:r>
    <w:r>
      <w:tab/>
    </w:r>
    <w:r>
      <w:t>PE</w:t>
    </w:r>
    <w:r>
      <w:rPr>
        <w:rStyle w:val="HideTWBExt"/>
      </w:rPr>
      <w:t>&lt;NoPE&gt;</w:t>
    </w:r>
    <w:r>
      <w:t>788.339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1254</Words>
  <Characters>7763</Characters>
  <Application>Microsoft Office Word</Application>
  <DocSecurity>0</DocSecurity>
  <Lines>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655028</vt:lpwstr>
  </property>
  <property fmtid="{D5CDD505-2E9C-101B-9397-08002B2CF9AE}" pid="7" name="dmxml.render.traceId">
    <vt:lpwstr>6acf8e183e840669d72eade6052088c7</vt:lpwstr>
  </property>
  <property fmtid="{D5CDD505-2E9C-101B-9397-08002B2CF9AE}" pid="8" name="FooterPath">
    <vt:lpwstr>AM\P10_AMA(2026)0257(167-172)_EN.docx</vt:lpwstr>
  </property>
  <property fmtid="{D5CDD505-2E9C-101B-9397-08002B2CF9AE}" pid="9" name="PE Number">
    <vt:lpwstr>788.339</vt:lpwstr>
  </property>
  <property fmtid="{D5CDD505-2E9C-101B-9397-08002B2CF9AE}" pid="10" name="UID">
    <vt:lpwstr>eu.europa.europarl-DIN1-2026-0000281992_01.00-en-01.00_text-xml</vt:lpwstr>
  </property>
</Properties>
</file>