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173</w:t>
      </w:r>
      <w:r>
        <w:rPr>
          <w:rStyle w:val="HideTWBExt"/>
        </w:rPr>
        <w:t>&lt;/NumAm&gt;</w:t>
      </w:r>
    </w:p>
    <w:p>
      <w:pPr>
        <w:pStyle w:val="AmNumberTabs"/>
      </w:pP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Europe faces a growing challenge in meeting the demand for skilled talent in strategic and evolving sectors like clean and circular technologies, transport, energy, water resilience, healthcare, digital technologies, aerospace and defence. To address this key need, it is essential to develop, attract and retain talented individuals in these fields. </w:t>
            </w:r>
            <w:r>
              <w:rPr>
                <w:b/>
                <w:i/>
              </w:rPr>
              <w:t>In line with the Union of skills,</w:t>
            </w:r>
            <w:r>
              <w:t xml:space="preserve"> the Programme should among other support EU students to pursue studies in such critical sectors </w:t>
            </w:r>
            <w:r>
              <w:rPr>
                <w:b/>
                <w:i/>
              </w:rPr>
              <w:t>and attract as well top talent to Europe</w:t>
            </w:r>
            <w:r>
              <w:t xml:space="preserve"> by enhancing the attractiveness of education and training and offering scholarships to students, </w:t>
            </w:r>
            <w:r>
              <w:rPr>
                <w:b/>
                <w:i/>
              </w:rPr>
              <w:t>including through Erasmus Mundus scholarships</w:t>
            </w:r>
            <w:r>
              <w:t>. This would contribute to address the skills needs for the labour market, including for sectors suffering severe staff shortages.</w:t>
            </w:r>
          </w:p>
        </w:tc>
        <w:tc>
          <w:tcPr>
            <w:tcW w:w="4876" w:type="dxa"/>
            <w:tcBorders>
              <w:top w:val="nil"/>
              <w:left w:val="nil"/>
              <w:bottom w:val="nil"/>
              <w:right w:val="nil"/>
            </w:tcBorders>
          </w:tcPr>
          <w:p>
            <w:pPr>
              <w:pStyle w:val="Normal6a"/>
            </w:pPr>
            <w:r>
              <w:t>(27)</w:t>
            </w:r>
            <w:r>
              <w:tab/>
            </w:r>
            <w:r>
              <w:t xml:space="preserve">Europe faces a growing challenge in meeting the demand for skilled talent in strategic and evolving sectors like clean and circular technologies, transport, energy, water resilience, healthcare, digital technologies, aerospace and defence. To address this key need, it is essential to develop, attract and retain talented individuals in these fields. The Programme should among other support EU students to pursue studies in such critical sectors by enhancing the attractiveness of education and training and offering scholarships to students, </w:t>
            </w:r>
            <w:r>
              <w:rPr>
                <w:b/>
                <w:i/>
              </w:rPr>
              <w:t>without creating a new migration pathway for third-country nationals</w:t>
            </w:r>
            <w:r>
              <w:t>. This would contribute to address the skills needs for the labour market, including for sectors suffering severe staff shortages.</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174</w:t>
      </w:r>
      <w:r>
        <w:rPr>
          <w:rStyle w:val="HideTWBExt"/>
        </w:rPr>
        <w:t>&lt;/NumAm&gt;</w:t>
      </w:r>
    </w:p>
    <w:p>
      <w:pPr>
        <w:pStyle w:val="AmNumberTabs"/>
      </w:pP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general objective of the Programme is to contribute to a resilient, competitive, and cohesive Europe by promoting high quality lifelong learning, enhancing skills and competences for life and for jobs for all, while fostering </w:t>
            </w:r>
            <w:r>
              <w:rPr>
                <w:b/>
                <w:i/>
              </w:rPr>
              <w:t>Union values,</w:t>
            </w:r>
            <w:r>
              <w:t xml:space="preserve"> democratic </w:t>
            </w:r>
            <w:r>
              <w:rPr>
                <w:b/>
                <w:i/>
              </w:rPr>
              <w:t>and societal</w:t>
            </w:r>
            <w:r>
              <w:t xml:space="preserve"> participation, solidarity, social inclusion and equal opportunities, in the EU </w:t>
            </w:r>
            <w:r>
              <w:rPr>
                <w:b/>
                <w:i/>
              </w:rPr>
              <w:t>and beyond</w:t>
            </w:r>
            <w:r>
              <w:t xml:space="preserve">. The Programme shall </w:t>
            </w:r>
            <w:r>
              <w:rPr>
                <w:b/>
                <w:i/>
              </w:rPr>
              <w:t>be a key instrument for building the Union of Skills, developing the European Education Area and supporting the implementation of European strategic cooperation</w:t>
            </w:r>
            <w:r>
              <w:t xml:space="preserve"> in the fields of education and </w:t>
            </w:r>
            <w:r>
              <w:rPr>
                <w:b/>
                <w:i/>
              </w:rPr>
              <w:t>training, including its underlying sectoral agendas</w:t>
            </w:r>
            <w:r>
              <w:t>.</w:t>
            </w:r>
          </w:p>
        </w:tc>
        <w:tc>
          <w:tcPr>
            <w:tcW w:w="4876" w:type="dxa"/>
            <w:tcBorders>
              <w:top w:val="nil"/>
              <w:left w:val="nil"/>
              <w:bottom w:val="nil"/>
              <w:right w:val="nil"/>
            </w:tcBorders>
          </w:tcPr>
          <w:p>
            <w:pPr>
              <w:pStyle w:val="Normal6a"/>
            </w:pPr>
            <w:r>
              <w:t>The general objective of the Programme is to contribute to a resilient, competitive, and cohesive Europe by promoting high quality lifelong learning, enhancing skills and competences for life and for jobs for all, while fostering democratic participation, solidarity, social inclusion and equal opportunities, in the EU. The Programme shall</w:t>
            </w:r>
            <w:r>
              <w:rPr>
                <w:b/>
                <w:i/>
              </w:rPr>
              <w:t>, however, strictly respect the competences of Member States</w:t>
            </w:r>
            <w:r>
              <w:t xml:space="preserve"> in the fields of education and </w:t>
            </w:r>
            <w:r>
              <w:rPr>
                <w:b/>
                <w:i/>
              </w:rPr>
              <w:t>employment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175</w:t>
      </w:r>
      <w:r>
        <w:rPr>
          <w:rStyle w:val="HideTWBExt"/>
        </w:rPr>
        <w:t>&lt;/NumAm&gt;</w:t>
      </w:r>
    </w:p>
    <w:p>
      <w:pPr>
        <w:pStyle w:val="AmNumberTabs"/>
      </w:pP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When implementing this Regulation, the Commission, Member States and third countries associated to the Programme shall ensure </w:t>
            </w:r>
            <w:r>
              <w:rPr>
                <w:b/>
                <w:i/>
              </w:rPr>
              <w:t>an inclusive</w:t>
            </w:r>
            <w:r>
              <w:t xml:space="preserve"> approach across all activities.</w:t>
            </w:r>
          </w:p>
        </w:tc>
        <w:tc>
          <w:tcPr>
            <w:tcW w:w="4876" w:type="dxa"/>
            <w:tcBorders>
              <w:top w:val="nil"/>
              <w:left w:val="nil"/>
              <w:bottom w:val="nil"/>
              <w:right w:val="nil"/>
            </w:tcBorders>
          </w:tcPr>
          <w:p>
            <w:pPr>
              <w:pStyle w:val="Normal6a"/>
            </w:pPr>
            <w:r>
              <w:t>1.</w:t>
            </w:r>
            <w:r>
              <w:tab/>
            </w:r>
            <w:r>
              <w:t xml:space="preserve">When implementing this Regulation, the Commission, Member States and third countries associated to the Programme shall ensure </w:t>
            </w:r>
            <w:r>
              <w:rPr>
                <w:b/>
                <w:i/>
              </w:rPr>
              <w:t>a fair</w:t>
            </w:r>
            <w:r>
              <w:t xml:space="preserve"> approach across all activities</w:t>
            </w:r>
            <w:r>
              <w:rPr>
                <w:b/>
                <w:i/>
              </w:rPr>
              <w:t>, ensuring in particular that the final beneficiaries of the Programme are never penalised as a result of political conflicts within the Union's institutions as well as well as conflicts between Member States and the Union’s institutions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176</w:t>
      </w:r>
      <w:r>
        <w:rPr>
          <w:rStyle w:val="HideTWBExt"/>
        </w:rPr>
        <w:t>&lt;/NumAm&gt;</w:t>
      </w:r>
    </w:p>
    <w:p>
      <w:pPr>
        <w:pStyle w:val="AmNumberTabs"/>
      </w:pP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the Member States and the third countries associated with the Programme shall ensure that no funding is awarded to higher education institutions that, on political or religious grounds, support or condone violent or discriminatory conduct against academic staff or students, including through biased assessment or grading.</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177</w:t>
      </w:r>
      <w:r>
        <w:rPr>
          <w:rStyle w:val="HideTWBExt"/>
        </w:rPr>
        <w:t>&lt;/NumAm&gt;</w:t>
      </w:r>
    </w:p>
    <w:p>
      <w:pPr>
        <w:pStyle w:val="AmNumberTabs"/>
      </w:pP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2 – subparagraph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 relevant, ensure the protection of security and public order interests of the Union.</w:t>
            </w:r>
          </w:p>
        </w:tc>
        <w:tc>
          <w:tcPr>
            <w:tcW w:w="4876" w:type="dxa"/>
            <w:tcBorders>
              <w:top w:val="nil"/>
              <w:left w:val="nil"/>
              <w:bottom w:val="nil"/>
              <w:right w:val="nil"/>
            </w:tcBorders>
          </w:tcPr>
          <w:p>
            <w:pPr>
              <w:pStyle w:val="Normal6a"/>
            </w:pPr>
            <w:r>
              <w:t>(e)</w:t>
            </w:r>
            <w:r>
              <w:tab/>
            </w:r>
            <w:r>
              <w:t>where relevant, ensure the protection of security and public order interests of the Union</w:t>
            </w:r>
            <w:r>
              <w:rPr>
                <w:b/>
                <w:i/>
              </w:rPr>
              <w:t>, including by requiring third countries to automatically readmit their nationals at the request of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A10-0257</w:t>
      </w:r>
      <w:r>
        <w:rPr>
          <w:rStyle w:val="HideTWBExt"/>
        </w:rPr>
        <w:t>&lt;/ANo&gt;</w:t>
      </w:r>
      <w:r>
        <w:t>/</w:t>
      </w:r>
      <w:r>
        <w:rPr>
          <w:rStyle w:val="HideTWBExt"/>
        </w:rPr>
        <w:t>&lt;NumAm&gt;</w:t>
      </w:r>
      <w:r>
        <w:t>178</w:t>
      </w:r>
      <w:r>
        <w:rPr>
          <w:rStyle w:val="HideTWBExt"/>
        </w:rPr>
        <w:t>&lt;/NumAm&gt;</w:t>
      </w:r>
    </w:p>
    <w:p>
      <w:pPr>
        <w:pStyle w:val="AmNumberTabs"/>
      </w:pP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Catherine Griset, Annamária Vicsek, Juan Carlos Girauta Vidal, Antonín Staněk, Elisabeth Dieringer</w:t>
      </w:r>
      <w:r>
        <w:rPr>
          <w:rStyle w:val="HideTWBExt"/>
          <w:b w:val="0"/>
        </w:rPr>
        <w:t>&lt;/Members&gt;</w:t>
      </w:r>
    </w:p>
    <w:p>
      <w:r>
        <w:rPr>
          <w:rStyle w:val="HideTWBExt"/>
        </w:rPr>
        <w:t>&lt;AuNomDe&gt;</w:t>
      </w:r>
      <w:r>
        <w:rPr>
          <w:rStyle w:val="HideTWBInt"/>
        </w:rPr>
        <w:t>{PfE}</w:t>
      </w:r>
      <w:r>
        <w:t>on behalf of the PfE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A10-0257/2026</w:t>
      </w:r>
    </w:p>
    <w:p>
      <w:pPr>
        <w:pStyle w:val="NormalBold"/>
      </w:pPr>
      <w:r>
        <w:rPr>
          <w:rStyle w:val="HideTWBExt"/>
        </w:rPr>
        <w:t>&lt;Rapporteur&gt;</w:t>
      </w:r>
      <w:r>
        <w:t>Bogdan Andrzej Zdrojewski</w:t>
      </w:r>
      <w:r>
        <w:rPr>
          <w:rStyle w:val="HideTWBExt"/>
        </w:rPr>
        <w:t>&lt;/Rapporteur&gt;</w:t>
      </w:r>
    </w:p>
    <w:p>
      <w:r>
        <w:rPr>
          <w:rStyle w:val="HideTWBExt"/>
        </w:rPr>
        <w:t>&lt;Titre&gt;</w:t>
      </w:r>
      <w:r>
        <w:t>Erasmus+ programme 2028–2034</w:t>
      </w:r>
      <w:r>
        <w:rPr>
          <w:rStyle w:val="HideTWBExt"/>
        </w:rPr>
        <w:t>&lt;/Titre&gt;</w:t>
      </w:r>
    </w:p>
    <w:p>
      <w:pPr>
        <w:pStyle w:val="Normal12a"/>
      </w:pPr>
      <w:r>
        <w:rPr>
          <w:rStyle w:val="HideTWBExt"/>
        </w:rPr>
        <w:t>&lt;DocRef&gt;</w:t>
      </w:r>
      <w:r>
        <w:t>(COM(2025)0549 – C10-0170/2025 – 2025/0222(COD))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Eligibility criteria shall be set to support achievement of the objectives laid down in Article 3, in accordance with Regulation (EU, Euratom) 2024/2509.</w:t>
            </w:r>
          </w:p>
        </w:tc>
        <w:tc>
          <w:tcPr>
            <w:tcW w:w="4876" w:type="dxa"/>
            <w:tcBorders>
              <w:top w:val="nil"/>
              <w:left w:val="nil"/>
              <w:bottom w:val="nil"/>
              <w:right w:val="nil"/>
            </w:tcBorders>
          </w:tcPr>
          <w:p>
            <w:pPr>
              <w:pStyle w:val="Normal6a"/>
            </w:pPr>
            <w:r>
              <w:t>1.</w:t>
            </w:r>
            <w:r>
              <w:tab/>
            </w:r>
            <w:r>
              <w:t xml:space="preserve">Eligibility criteria shall be set to support achievement of the objectives laid down in Article 3, in accordance with Regulation (EU, Euratom) 2024/2509. </w:t>
            </w:r>
            <w:r>
              <w:rPr>
                <w:b/>
                <w:i/>
              </w:rPr>
              <w:t>Those criteria shall exclude entities linked to terrorist organisations or to Islamist extremism, or that promote or condone violence, hatred or intolerance, in particular towards women and Christian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AM\P10_AMA(2026)0257(173-178)_EN.docx</w:t>
    </w:r>
    <w:r>
      <w:rPr>
        <w:rStyle w:val="HideTWBExt"/>
      </w:rPr>
      <w:t>&lt;/PathFdR&gt;</w:t>
    </w:r>
    <w:r>
      <w:tab/>
    </w:r>
    <w:r>
      <w:tab/>
    </w:r>
    <w:r>
      <w:t>PE</w:t>
    </w:r>
    <w:r>
      <w:rPr>
        <w:rStyle w:val="HideTWBExt"/>
      </w:rPr>
      <w:t>&lt;NoPE&gt;</w:t>
    </w:r>
    <w:r>
      <w:t>788.339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939</Words>
  <Characters>5777</Characters>
  <Application>Microsoft Office Word</Application>
  <DocSecurity>0</DocSecurity>
  <Lines>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656036</vt:lpwstr>
  </property>
  <property fmtid="{D5CDD505-2E9C-101B-9397-08002B2CF9AE}" pid="7" name="dmxml.render.traceId">
    <vt:lpwstr>6ad0959e7ebf7c6f2275dce0f3fd0fb9</vt:lpwstr>
  </property>
  <property fmtid="{D5CDD505-2E9C-101B-9397-08002B2CF9AE}" pid="8" name="FooterPath">
    <vt:lpwstr>AM\P10_AMA(2026)0257(173-178)_EN.docx</vt:lpwstr>
  </property>
  <property fmtid="{D5CDD505-2E9C-101B-9397-08002B2CF9AE}" pid="9" name="PE Number">
    <vt:lpwstr>788.339</vt:lpwstr>
  </property>
  <property fmtid="{D5CDD505-2E9C-101B-9397-08002B2CF9AE}" pid="10" name="UID">
    <vt:lpwstr>eu.europa.europarl-DIN1-2026-0000283156_01.00-en-01.00_text-xml</vt:lpwstr>
  </property>
</Properties>
</file>