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39</w:t>
      </w:r>
      <w:r>
        <w:rPr>
          <w:rStyle w:val="HideTWBExt"/>
        </w:rPr>
        <w:t>&lt;/NumAm&gt;</w:t>
      </w:r>
    </w:p>
    <w:p>
      <w:pPr>
        <w:pStyle w:val="AmNumberTabs"/>
      </w:pP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Séverine Werbrouck, Balázs Orbán, Marie Dauchy, Mélanie Disdier, Margarita de la Pisa Carrión</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Member States should promote a sustainable </w:t>
            </w:r>
            <w:r>
              <w:rPr>
                <w:b/>
                <w:i/>
              </w:rPr>
              <w:t>social</w:t>
            </w:r>
            <w:r>
              <w:t xml:space="preserve"> market economy. They should facilitate </w:t>
            </w:r>
            <w:r>
              <w:rPr>
                <w:b/>
                <w:i/>
              </w:rPr>
              <w:t>and support</w:t>
            </w:r>
            <w:r>
              <w:t xml:space="preserve"> investment </w:t>
            </w:r>
            <w:r>
              <w:rPr>
                <w:b/>
                <w:i/>
              </w:rPr>
              <w:t>and foster innovation-led growth</w:t>
            </w:r>
            <w:r>
              <w:t xml:space="preserve"> and productivity growth </w:t>
            </w:r>
            <w:r>
              <w:rPr>
                <w:b/>
                <w:i/>
              </w:rPr>
              <w:t>for</w:t>
            </w:r>
            <w:r>
              <w:t xml:space="preserve"> quality job creation, </w:t>
            </w:r>
            <w:r>
              <w:rPr>
                <w:b/>
                <w:i/>
              </w:rPr>
              <w:t>notably in the context of the digital, green and demographic transitions as well as growing security and defence needs, and in light of the Union and national employment headline targets for 2030</w:t>
            </w:r>
            <w:r>
              <w:t xml:space="preserve">. Member States should </w:t>
            </w:r>
            <w:r>
              <w:rPr>
                <w:b/>
                <w:i/>
              </w:rPr>
              <w:t>pursue integrated approaches reflecting the specific challenges and development potential of the different regions and territories. To these ends, they should reduce the barriers that businesses face in hiring people</w:t>
            </w:r>
            <w:r>
              <w:t xml:space="preserve">, including </w:t>
            </w:r>
            <w:r>
              <w:rPr>
                <w:b/>
                <w:i/>
              </w:rPr>
              <w:t>by reducing administrative burden, and in scaling up, and foster responsible entrepreneurship and genuine self-employment. Member States should promote the development of the social economy, including social enterprises</w:t>
            </w:r>
            <w:r>
              <w:t xml:space="preserve">. </w:t>
            </w:r>
            <w:r>
              <w:rPr>
                <w:b/>
                <w:i/>
              </w:rPr>
              <w:t>They should develop and implement related measures and strategies, foster social innovation and encourage business models that create quality job opportunities, particularly including for people that are furthest from the labour market or underrepresented.</w:t>
            </w:r>
          </w:p>
        </w:tc>
        <w:tc>
          <w:tcPr>
            <w:tcW w:w="4876" w:type="dxa"/>
            <w:tcBorders>
              <w:top w:val="nil"/>
              <w:left w:val="nil"/>
              <w:bottom w:val="nil"/>
              <w:right w:val="nil"/>
            </w:tcBorders>
          </w:tcPr>
          <w:p>
            <w:pPr>
              <w:pStyle w:val="Normal6a"/>
            </w:pPr>
            <w:r>
              <w:t xml:space="preserve">Member States should promote a sustainable </w:t>
            </w:r>
            <w:r>
              <w:rPr>
                <w:b/>
                <w:i/>
              </w:rPr>
              <w:t>and highly competitive</w:t>
            </w:r>
            <w:r>
              <w:t xml:space="preserve"> market economy. They should facilitate investment</w:t>
            </w:r>
            <w:r>
              <w:rPr>
                <w:b/>
                <w:i/>
              </w:rPr>
              <w:t>, innovation</w:t>
            </w:r>
            <w:r>
              <w:t xml:space="preserve"> and productivity growth </w:t>
            </w:r>
            <w:r>
              <w:rPr>
                <w:b/>
                <w:i/>
              </w:rPr>
              <w:t>to support</w:t>
            </w:r>
            <w:r>
              <w:t xml:space="preserve"> quality job creation, </w:t>
            </w:r>
            <w:r>
              <w:rPr>
                <w:b/>
                <w:i/>
              </w:rPr>
              <w:t>particularly in strategic sectors. They should reduce unnecessary administrative burdens on businesses, especially SMEs, while respecting workers' rights and fostering entrepreneurship</w:t>
            </w:r>
            <w:r>
              <w:t xml:space="preserve">. Member States should </w:t>
            </w:r>
            <w:r>
              <w:rPr>
                <w:b/>
                <w:i/>
              </w:rPr>
              <w:t>make greater use of public procurement and industrial investment policies to support European production and employment</w:t>
            </w:r>
            <w:r>
              <w:t xml:space="preserve">, including </w:t>
            </w:r>
            <w:r>
              <w:rPr>
                <w:b/>
                <w:i/>
              </w:rPr>
              <w:t>through European preference criteria in strategic public procurement, in accordance with applicable law, in order to strengthen industrial sovereignty and preserve skilled jobs in Europe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40</w:t>
      </w:r>
      <w:r>
        <w:rPr>
          <w:rStyle w:val="HideTWBExt"/>
        </w:rPr>
        <w:t>&lt;/NumAm&gt;</w:t>
      </w:r>
    </w:p>
    <w:p>
      <w:pPr>
        <w:pStyle w:val="AmNumberTabs"/>
      </w:pP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Séverine Werbrouck, Balázs Orbán, Marie Dauchy, Mélanie Disdier, Margarita de la Pisa Carrión</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As a complementary solution to tapping the potential of the Union domestic workforce,</w:t>
            </w:r>
            <w:r>
              <w:t xml:space="preserve"> Member States should </w:t>
            </w:r>
            <w:r>
              <w:rPr>
                <w:b/>
                <w:i/>
              </w:rPr>
              <w:t>attract talent and skills from outside the Union via legal migration pathways, while guaranteeing fair recruitment and labour and social rights. Member States should ensure that procedures to recognise qualifications</w:t>
            </w:r>
            <w:r>
              <w:t xml:space="preserve"> of third-country nationals </w:t>
            </w:r>
            <w:r>
              <w:rPr>
                <w:b/>
                <w:i/>
              </w:rPr>
              <w:t>in the context of legal</w:t>
            </w:r>
            <w:r>
              <w:t xml:space="preserve"> migration </w:t>
            </w:r>
            <w:r>
              <w:rPr>
                <w:b/>
                <w:i/>
              </w:rPr>
              <w:t>procedures are simple, efficient and facilitate fast</w:t>
            </w:r>
            <w:r>
              <w:t xml:space="preserve"> access to </w:t>
            </w:r>
            <w:r>
              <w:rPr>
                <w:b/>
                <w:i/>
              </w:rPr>
              <w:t>regulated professions.</w:t>
            </w:r>
            <w:r>
              <w:t xml:space="preserve"> Member States </w:t>
            </w:r>
            <w:r>
              <w:rPr>
                <w:b/>
                <w:i/>
              </w:rPr>
              <w:t>should further engage in Talent Partnerships to enhance legal migration pathways by launching new mobility schemes and provide for an effective integration policy for workers and their families, encompassing education and training, employment, social protection, health and housing</w:t>
            </w:r>
            <w:r>
              <w:t>.</w:t>
            </w:r>
          </w:p>
        </w:tc>
        <w:tc>
          <w:tcPr>
            <w:tcW w:w="4876" w:type="dxa"/>
            <w:tcBorders>
              <w:top w:val="nil"/>
              <w:left w:val="nil"/>
              <w:bottom w:val="nil"/>
              <w:right w:val="nil"/>
            </w:tcBorders>
          </w:tcPr>
          <w:p>
            <w:pPr>
              <w:pStyle w:val="Normal6a"/>
            </w:pPr>
            <w:r>
              <w:t xml:space="preserve">Member States should </w:t>
            </w:r>
            <w:r>
              <w:rPr>
                <w:b/>
                <w:i/>
              </w:rPr>
              <w:t>prioritise the employment, training and reskilling of their national workforce, particularly young people, the long-term unemployed and economically inactive persons, before resorting to the admission</w:t>
            </w:r>
            <w:r>
              <w:t xml:space="preserve"> of third-country nationals </w:t>
            </w:r>
            <w:r>
              <w:rPr>
                <w:b/>
                <w:i/>
              </w:rPr>
              <w:t>for the purpose of employment, subject to temporary and time-limited residence and work authorisations. Labour shortages should primarily be addressed through better wages, improved working conditions and investment in domestic skills. Decisions on labour</w:t>
            </w:r>
            <w:r>
              <w:t xml:space="preserve"> migration </w:t>
            </w:r>
            <w:r>
              <w:rPr>
                <w:b/>
                <w:i/>
              </w:rPr>
              <w:t>and</w:t>
            </w:r>
            <w:r>
              <w:t xml:space="preserve"> access to </w:t>
            </w:r>
            <w:r>
              <w:rPr>
                <w:b/>
                <w:i/>
              </w:rPr>
              <w:t>national labour markets must remain under the control of</w:t>
            </w:r>
            <w:r>
              <w:t xml:space="preserve"> Member States</w:t>
            </w:r>
            <w:r>
              <w:rPr>
                <w:b/>
                <w:i/>
              </w:rPr>
              <w:t>, while ensuring respect for applicable labour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41</w:t>
      </w:r>
      <w:r>
        <w:rPr>
          <w:rStyle w:val="HideTWBExt"/>
        </w:rPr>
        <w:t>&lt;/NumAm&gt;</w:t>
      </w:r>
    </w:p>
    <w:p>
      <w:pPr>
        <w:pStyle w:val="AmNumberTabs"/>
      </w:pP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Séverine Werbrouck, Balázs Orbán, Marie Dauchy, Mélanie Disdier, Margarita de la Pisa Carrión</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Demographic decline and persistently low birth rates represent a structural challenge to the sustainability of national labour markets and social protection systems. Member States should develop ambitious family policies supporting parenthood, access to housing, childcare and the reconciliation of family and professional life. Labour immigration cannot substitute long-term policies addressing demographic decline.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AM\P10_AMA(2026)0260(039-041)_EN.docx</w:t>
    </w:r>
    <w:r>
      <w:rPr>
        <w:rStyle w:val="HideTWBExt"/>
      </w:rPr>
      <w:t>&lt;/PathFdR&gt;</w:t>
    </w:r>
    <w:r>
      <w:tab/>
    </w:r>
    <w:r>
      <w:tab/>
    </w:r>
    <w:r>
      <w:t>PE</w:t>
    </w:r>
    <w:r>
      <w:rPr>
        <w:rStyle w:val="HideTWBExt"/>
      </w:rPr>
      <w:t>&lt;NoPE&gt;</w:t>
    </w:r>
    <w:r>
      <w:t>788.338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656</Words>
  <Characters>4199</Characters>
  <Application>Microsoft Office Word</Application>
  <DocSecurity>0</DocSecurity>
  <Lines>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655501</vt:lpwstr>
  </property>
  <property fmtid="{D5CDD505-2E9C-101B-9397-08002B2CF9AE}" pid="7" name="dmxml.render.traceId">
    <vt:lpwstr>6acfa46b4e49b64a4bfa49823704b457</vt:lpwstr>
  </property>
  <property fmtid="{D5CDD505-2E9C-101B-9397-08002B2CF9AE}" pid="8" name="FooterPath">
    <vt:lpwstr>AM\P10_AMA(2026)0260(039-041)_EN.docx</vt:lpwstr>
  </property>
  <property fmtid="{D5CDD505-2E9C-101B-9397-08002B2CF9AE}" pid="9" name="PE Number">
    <vt:lpwstr>788.338</vt:lpwstr>
  </property>
  <property fmtid="{D5CDD505-2E9C-101B-9397-08002B2CF9AE}" pid="10" name="UID">
    <vt:lpwstr>eu.europa.europarl-DIN1-2026-0000282636_01.00-en-01.00_text-xml</vt:lpwstr>
  </property>
</Properties>
</file>