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A10-0267</w:t>
      </w:r>
      <w:r>
        <w:rPr>
          <w:rStyle w:val="HideTWBExt"/>
        </w:rPr>
        <w:t>&lt;/ANo&gt;</w:t>
      </w:r>
      <w:r>
        <w:t>/</w:t>
      </w:r>
      <w:r>
        <w:rPr>
          <w:rStyle w:val="HideTWBExt"/>
        </w:rPr>
        <w:t>&lt;NumAm&gt;</w:t>
      </w:r>
      <w:r>
        <w:t>21</w:t>
      </w:r>
      <w:r>
        <w:rPr>
          <w:rStyle w:val="HideTWBExt"/>
        </w:rPr>
        <w:t>&lt;/NumAm&gt;</w:t>
      </w:r>
    </w:p>
    <w:p>
      <w:pPr>
        <w:pStyle w:val="AmNumberTabs"/>
      </w:pP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Emma Fourreau</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A10-0267/2026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waste, waste electrical and electronical equipment and single use plastic waste (Omnibus VIII on environmental legislation)</w:t>
      </w:r>
      <w:r>
        <w:rPr>
          <w:rStyle w:val="HideTWBExt"/>
        </w:rPr>
        <w:t>&lt;/Titre&gt;</w:t>
      </w:r>
    </w:p>
    <w:p>
      <w:pPr>
        <w:pStyle w:val="Normal12a"/>
      </w:pPr>
      <w:r>
        <w:rPr>
          <w:rStyle w:val="HideTWBExt"/>
        </w:rPr>
        <w:t>&lt;DocRef&gt;</w:t>
      </w:r>
      <w:r>
        <w:t>(COM(2025)0983 – C10-0339/2025 – 2025/0396(COD))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Article 17(2) of Directive 2012/19/EU;</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amending Directive should only remove the authorised representative obligation for micro- and small- enterprises with regard to new incoming EPR schemes, not existing ones. It should therefore only be limited to the Textiles EPR from the Waste Framework Directive. The Waste Electrical and Electronic Equipment Directive should therefore be removed from the scope.</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{14/10/2026}</w:t>
      </w:r>
      <w:r>
        <w:t>14.10.2026</w:t>
      </w:r>
      <w:r>
        <w:rPr>
          <w:rStyle w:val="HideTWBExt"/>
        </w:rPr>
        <w:t>&lt;/Date&gt;</w:t>
      </w:r>
      <w:r>
        <w:tab/>
      </w:r>
      <w:r>
        <w:rPr>
          <w:rStyle w:val="HideTWBExt"/>
        </w:rPr>
        <w:t>&lt;ANo&gt;</w:t>
      </w:r>
      <w:r>
        <w:t>A10-0267</w:t>
      </w:r>
      <w:r>
        <w:rPr>
          <w:rStyle w:val="HideTWBExt"/>
        </w:rPr>
        <w:t>&lt;/ANo&gt;</w:t>
      </w:r>
      <w:r>
        <w:t>/</w:t>
      </w:r>
      <w:r>
        <w:rPr>
          <w:rStyle w:val="HideTWBExt"/>
        </w:rPr>
        <w:t>&lt;NumAm&gt;</w:t>
      </w:r>
      <w:r>
        <w:t>22</w:t>
      </w:r>
      <w:r>
        <w:rPr>
          <w:rStyle w:val="HideTWBExt"/>
        </w:rPr>
        <w:t>&lt;/NumAm&gt;</w:t>
      </w:r>
    </w:p>
    <w:p>
      <w:pPr>
        <w:pStyle w:val="AmNumberTabs"/>
      </w:pP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Emma Fourreau</w:t>
      </w:r>
      <w:r>
        <w:rPr>
          <w:rStyle w:val="HideTWBExt"/>
          <w:b w:val="0"/>
        </w:rPr>
        <w:t>&lt;/Members&gt;</w:t>
      </w:r>
    </w:p>
    <w:p>
      <w:r>
        <w:rPr>
          <w:rStyle w:val="HideTWBExt"/>
        </w:rPr>
        <w:t>&lt;AuNomDe&gt;</w:t>
      </w:r>
      <w:r>
        <w:rPr>
          <w:rStyle w:val="HideTWBInt"/>
        </w:rPr>
        <w:t>{The Left}</w:t>
      </w:r>
      <w:r>
        <w:t>on behalf of The Left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A10-0267/2026</w:t>
      </w:r>
    </w:p>
    <w:p>
      <w:pPr>
        <w:pStyle w:val="NormalBold"/>
      </w:pPr>
      <w:r>
        <w:rPr>
          <w:rStyle w:val="HideTWBExt"/>
        </w:rPr>
        <w:t>&lt;Rapporteur&gt;</w:t>
      </w:r>
      <w:r>
        <w:t>Ingeborg Ter Laak</w:t>
      </w:r>
      <w:r>
        <w:rPr>
          <w:rStyle w:val="HideTWBExt"/>
        </w:rPr>
        <w:t>&lt;/Rapporteur&gt;</w:t>
      </w:r>
    </w:p>
    <w:p>
      <w:r>
        <w:rPr>
          <w:rStyle w:val="HideTWBExt"/>
        </w:rPr>
        <w:t>&lt;Titre&gt;</w:t>
      </w:r>
      <w:r>
        <w:t>Suspending the application of the rules on extended producer responsibility for waste, waste electrical and electronical equipment and single use plastic waste (Omnibus VIII on environmental legislation)</w:t>
      </w:r>
      <w:r>
        <w:rPr>
          <w:rStyle w:val="HideTWBExt"/>
        </w:rPr>
        <w:t>&lt;/Titre&gt;</w:t>
      </w:r>
    </w:p>
    <w:p>
      <w:pPr>
        <w:pStyle w:val="Normal12a"/>
      </w:pPr>
      <w:r>
        <w:rPr>
          <w:rStyle w:val="HideTWBExt"/>
        </w:rPr>
        <w:t>&lt;DocRef&gt;</w:t>
      </w:r>
      <w:r>
        <w:t>(COM(2025)0983 – C10-0339/2025 – 2025/0396(COD))</w:t>
      </w:r>
      <w:r>
        <w:rPr>
          <w:rStyle w:val="HideTWBExt"/>
        </w:rPr>
        <w:t>&lt;/DocRef&gt;</w:t>
      </w:r>
    </w:p>
    <w:p>
      <w:pPr>
        <w:pStyle w:val="NormalBold"/>
      </w:pPr>
      <w:r>
        <w:rPr>
          <w:rStyle w:val="HideTWBExt"/>
        </w:rPr>
        <w:t>&lt;DocAmend&gt;</w:t>
      </w:r>
      <w:r>
        <w:t>Proposal for a directive</w:t>
      </w:r>
      <w:r>
        <w:rPr>
          <w:rStyle w:val="HideTWBExt"/>
        </w:rPr>
        <w:t>&lt;/DocAmend&gt;</w:t>
      </w:r>
    </w:p>
    <w:p>
      <w:pPr>
        <w:pStyle w:val="NormalBold"/>
      </w:pPr>
      <w:r>
        <w:rPr>
          <w:rStyle w:val="HideTWBExt"/>
        </w:rPr>
        <w:t>&lt;Article&gt;</w:t>
      </w:r>
      <w:r>
        <w:t>Article 1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Article 8(7) of Directive (EU) 2019/904.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amending Directive should only remove the authorised representative obligation for micro- and small- enterprises with regard to new incoming EPR schemes, not existing ones. It should therefore only be limited to the Textiles EPR from the Waste Framework Directive. The Single Use Plastics Directive should therefore be removed from the scope.</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AM\P10_AMA(2026)0267(021-022)_EN.docx</w:t>
    </w:r>
    <w:r>
      <w:rPr>
        <w:rStyle w:val="HideTWBExt"/>
      </w:rPr>
      <w:t>&lt;/PathFdR&gt;</w:t>
    </w:r>
    <w:r>
      <w:tab/>
    </w:r>
    <w:r>
      <w:tab/>
    </w:r>
    <w:r>
      <w:t>PE</w:t>
    </w:r>
    <w:r>
      <w:rPr>
        <w:rStyle w:val="HideTWBExt"/>
      </w:rPr>
      <w:t>&lt;NoPE&gt;</w:t>
    </w:r>
    <w:r>
      <w:t>788.336</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253</Words>
  <Characters>1545</Characters>
  <Application>Microsoft Office Word</Application>
  <DocSecurity>0</DocSecurity>
  <Lines>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654495</vt:lpwstr>
  </property>
  <property fmtid="{D5CDD505-2E9C-101B-9397-08002B2CF9AE}" pid="7" name="dmxml.render.traceId">
    <vt:lpwstr>6acf541c55e8434ccb100ba4f2ab700d</vt:lpwstr>
  </property>
  <property fmtid="{D5CDD505-2E9C-101B-9397-08002B2CF9AE}" pid="8" name="FooterPath">
    <vt:lpwstr>AM\P10_AMA(2026)0267(021-022)_EN.docx</vt:lpwstr>
  </property>
  <property fmtid="{D5CDD505-2E9C-101B-9397-08002B2CF9AE}" pid="9" name="PE Number">
    <vt:lpwstr>788.336</vt:lpwstr>
  </property>
  <property fmtid="{D5CDD505-2E9C-101B-9397-08002B2CF9AE}" pid="10" name="UID">
    <vt:lpwstr>eu.europa.europarl-DIN1-2026-0000281654_01.00-en-01.00_text-xml</vt:lpwstr>
  </property>
</Properties>
</file>