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A10-0267</w:t>
      </w:r>
      <w:r>
        <w:rPr>
          <w:rStyle w:val="HideTWBExt"/>
        </w:rPr>
        <w:t>&lt;/ANo&gt;</w:t>
      </w:r>
      <w:r>
        <w:t>/</w:t>
      </w:r>
      <w:r>
        <w:rPr>
          <w:rStyle w:val="HideTWBExt"/>
        </w:rPr>
        <w:t>&lt;NumAm&gt;</w:t>
      </w:r>
      <w:r>
        <w:t>25</w:t>
      </w:r>
      <w:r>
        <w:rPr>
          <w:rStyle w:val="HideTWBExt"/>
        </w:rPr>
        <w:t>&lt;/NumAm&gt;</w:t>
      </w:r>
    </w:p>
    <w:p>
      <w:pPr>
        <w:pStyle w:val="AmNumberTabs"/>
      </w:pP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Milan Uhrík, Marc Jongen</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A10-0267/2026</w:t>
      </w:r>
    </w:p>
    <w:p>
      <w:pPr>
        <w:pStyle w:val="NormalBold"/>
      </w:pPr>
      <w:r>
        <w:rPr>
          <w:rStyle w:val="HideTWBExt"/>
        </w:rPr>
        <w:t>&lt;Rapporteur&gt;</w:t>
      </w:r>
      <w:r>
        <w:t>Ingeborg Ter Laak</w:t>
      </w:r>
      <w:r>
        <w:rPr>
          <w:rStyle w:val="HideTWBExt"/>
        </w:rPr>
        <w:t>&lt;/Rapporteur&gt;</w:t>
      </w:r>
    </w:p>
    <w:p>
      <w:r>
        <w:rPr>
          <w:rStyle w:val="HideTWBExt"/>
        </w:rPr>
        <w:t>&lt;Titre&gt;</w:t>
      </w:r>
      <w:r>
        <w:t>Suspending the application of the rules on extended producer responsibility for waste, waste electrical and electronical equipment and single use plastic waste (Omnibus VIII on environmental legislation)</w:t>
      </w:r>
      <w:r>
        <w:rPr>
          <w:rStyle w:val="HideTWBExt"/>
        </w:rPr>
        <w:t>&lt;/Titre&gt;</w:t>
      </w:r>
    </w:p>
    <w:p>
      <w:pPr>
        <w:pStyle w:val="Normal12a"/>
      </w:pPr>
      <w:r>
        <w:rPr>
          <w:rStyle w:val="HideTWBExt"/>
        </w:rPr>
        <w:t>&lt;DocRef&gt;</w:t>
      </w:r>
      <w:r>
        <w:t>(COM(2025)0983 – C10-0339/2025 – 2025/0396(COD))</w:t>
      </w:r>
      <w:r>
        <w:rPr>
          <w:rStyle w:val="HideTWBExt"/>
        </w:rPr>
        <w:t>&lt;/DocRef&gt;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implementation of the European Green Deal is hindering the competitiveness of enterprises, economic growth, prosperity, job creation, and the improvement of the standard of living of all citizens in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default" r:id="rId4"/>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AM\P10_AMA(2026)0267(025-025)_EN.docx</w:t>
    </w:r>
    <w:r>
      <w:rPr>
        <w:rStyle w:val="HideTWBExt"/>
      </w:rPr>
      <w:t>&lt;/PathFdR&gt;</w:t>
    </w:r>
    <w:r>
      <w:tab/>
    </w:r>
    <w:r>
      <w:tab/>
    </w:r>
    <w:r>
      <w:t>PE</w:t>
    </w:r>
    <w:r>
      <w:rPr>
        <w:rStyle w:val="HideTWBExt"/>
      </w:rPr>
      <w:t>&lt;NoPE&gt;</w:t>
    </w:r>
    <w:r>
      <w:t>788.336</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99</Words>
  <Characters>598</Characters>
  <Application>Microsoft Office Word</Application>
  <DocSecurity>0</DocSecurity>
  <Lines>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654863</vt:lpwstr>
  </property>
  <property fmtid="{D5CDD505-2E9C-101B-9397-08002B2CF9AE}" pid="7" name="dmxml.render.traceId">
    <vt:lpwstr>6acf7fffbf1a3660c3d7d2b0bf6ad208</vt:lpwstr>
  </property>
  <property fmtid="{D5CDD505-2E9C-101B-9397-08002B2CF9AE}" pid="8" name="FooterPath">
    <vt:lpwstr>AM\P10_AMA(2026)0267(025-025)_EN.docx</vt:lpwstr>
  </property>
  <property fmtid="{D5CDD505-2E9C-101B-9397-08002B2CF9AE}" pid="9" name="PE Number">
    <vt:lpwstr>788.336</vt:lpwstr>
  </property>
  <property fmtid="{D5CDD505-2E9C-101B-9397-08002B2CF9AE}" pid="10" name="UID">
    <vt:lpwstr>eu.europa.europarl-DIN1-2026-0000281956_01.00-en-01.00_text-xml</vt:lpwstr>
  </property>
</Properties>
</file>