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2310ED" w:rsidP="002310ED" w14:paraId="36128B8B" w14:textId="77777777">
      <w:pPr>
        <w:tabs>
          <w:tab w:val="right" w:pos="9184"/>
        </w:tabs>
      </w:pPr>
    </w:p>
    <w:p w:rsidR="002310ED" w:rsidP="002310ED" w14:paraId="51C23D9E" w14:textId="77777777">
      <w:pPr>
        <w:tabs>
          <w:tab w:val="right" w:pos="9184"/>
        </w:tabs>
      </w:pPr>
    </w:p>
    <w:p w:rsidR="002310ED" w:rsidP="002310ED" w14:paraId="018AD34C" w14:textId="77777777">
      <w:pPr>
        <w:tabs>
          <w:tab w:val="right" w:pos="9184"/>
        </w:tabs>
      </w:pPr>
    </w:p>
    <w:p w:rsidR="002310ED" w:rsidP="002310ED" w14:paraId="262F4D1C" w14:textId="77777777">
      <w:pPr>
        <w:tabs>
          <w:tab w:val="right" w:pos="9184"/>
        </w:tabs>
      </w:pPr>
    </w:p>
    <w:p w:rsidR="002310ED" w:rsidP="002310ED" w14:paraId="3CBA37FE" w14:textId="5C62683F">
      <w:pPr>
        <w:tabs>
          <w:tab w:val="right" w:pos="9184"/>
        </w:tabs>
      </w:pPr>
      <w:r w:rsidRPr="002310ED">
        <w:rPr>
          <w:rStyle w:val="HideTWBExt"/>
        </w:rPr>
        <w:t>&lt;Date&gt;</w:t>
      </w:r>
      <w:r>
        <w:t>20.10.2026</w:t>
      </w:r>
      <w:r w:rsidRPr="002310ED">
        <w:rPr>
          <w:rStyle w:val="HideTWBExt"/>
        </w:rPr>
        <w:t>&lt;/Date&gt;</w:t>
      </w:r>
      <w:r>
        <w:tab/>
        <w:t xml:space="preserve">A10-0276/ </w:t>
      </w:r>
      <w:r w:rsidRPr="002310ED">
        <w:rPr>
          <w:rStyle w:val="HideTWBExt"/>
        </w:rPr>
        <w:t>&lt;NumOfAM&gt;</w:t>
      </w:r>
      <w:r>
        <w:t>001-005</w:t>
      </w:r>
      <w:r w:rsidRPr="002310ED">
        <w:rPr>
          <w:rStyle w:val="HideTWBExt"/>
        </w:rPr>
        <w:t>&lt;/NumOfAM&gt;</w:t>
      </w:r>
    </w:p>
    <w:p w:rsidR="002310ED" w:rsidP="002310ED" w14:paraId="3F136493" w14:textId="77777777">
      <w:pPr>
        <w:tabs>
          <w:tab w:val="right" w:pos="9184"/>
        </w:tabs>
      </w:pPr>
    </w:p>
    <w:p w:rsidR="002310ED" w:rsidP="002310ED" w14:paraId="184C30A7" w14:textId="77777777">
      <w:pPr>
        <w:tabs>
          <w:tab w:val="right" w:pos="9184"/>
        </w:tabs>
      </w:pPr>
    </w:p>
    <w:p w:rsidR="002310ED" w:rsidP="002310ED" w14:paraId="0483531D" w14:textId="77777777">
      <w:pPr>
        <w:tabs>
          <w:tab w:val="right" w:pos="9184"/>
        </w:tabs>
      </w:pPr>
      <w:r>
        <w:rPr>
          <w:b/>
        </w:rPr>
        <w:t xml:space="preserve">AMENDMENTS 001-005 </w:t>
      </w:r>
    </w:p>
    <w:p w:rsidR="002310ED" w:rsidP="002310ED" w14:paraId="20D13309" w14:textId="4EE7989B">
      <w:pPr>
        <w:tabs>
          <w:tab w:val="right" w:pos="9184"/>
        </w:tabs>
      </w:pPr>
      <w:r>
        <w:t xml:space="preserve">by the </w:t>
      </w:r>
      <w:r w:rsidRPr="002310ED">
        <w:rPr>
          <w:rStyle w:val="HideTWBExt"/>
        </w:rPr>
        <w:t>&lt;Committee&gt;</w:t>
      </w:r>
      <w:r>
        <w:t>Committee on the Environment, Climate and Food Safety</w:t>
      </w:r>
      <w:r w:rsidRPr="002310ED">
        <w:rPr>
          <w:rStyle w:val="HideTWBExt"/>
        </w:rPr>
        <w:t>&lt;/Committee&gt;</w:t>
      </w:r>
    </w:p>
    <w:p w:rsidR="002310ED" w:rsidP="002310ED" w14:paraId="4B359E10" w14:textId="77777777">
      <w:pPr>
        <w:tabs>
          <w:tab w:val="right" w:pos="9184"/>
        </w:tabs>
      </w:pPr>
    </w:p>
    <w:p w:rsidR="002310ED" w:rsidP="002310ED" w14:paraId="1EB6DFCD" w14:textId="77777777">
      <w:pPr>
        <w:tabs>
          <w:tab w:val="right" w:pos="9184"/>
        </w:tabs>
        <w:rPr>
          <w:b/>
        </w:rPr>
      </w:pPr>
      <w:r>
        <w:rPr>
          <w:b/>
        </w:rPr>
        <w:t>Report</w:t>
      </w:r>
    </w:p>
    <w:p w:rsidR="002310ED" w:rsidP="002310ED" w14:paraId="2A6744FC" w14:textId="0E1A63C4">
      <w:pPr>
        <w:tabs>
          <w:tab w:val="right" w:pos="9184"/>
        </w:tabs>
        <w:rPr>
          <w:b/>
        </w:rPr>
      </w:pPr>
      <w:r w:rsidRPr="002310ED">
        <w:rPr>
          <w:rStyle w:val="HideTWBExt"/>
        </w:rPr>
        <w:t>&lt;Chairman&gt;</w:t>
      </w:r>
      <w:r>
        <w:rPr>
          <w:b/>
        </w:rPr>
        <w:t>Adam Jarubas</w:t>
      </w:r>
      <w:r w:rsidRPr="002310ED">
        <w:rPr>
          <w:rStyle w:val="HideTWBExt"/>
        </w:rPr>
        <w:t>&lt;/Chairman&gt;</w:t>
      </w:r>
      <w:r>
        <w:rPr>
          <w:b/>
        </w:rPr>
        <w:tab/>
      </w:r>
      <w:r w:rsidRPr="002310ED">
        <w:rPr>
          <w:rStyle w:val="HideTWBExt"/>
        </w:rPr>
        <w:t>&lt;A5Nr&gt;</w:t>
      </w:r>
      <w:r>
        <w:rPr>
          <w:b/>
        </w:rPr>
        <w:t>A10-0276/2026</w:t>
      </w:r>
      <w:r w:rsidRPr="002310ED">
        <w:rPr>
          <w:rStyle w:val="HideTWBExt"/>
        </w:rPr>
        <w:t>&lt;/A5Nr&gt;</w:t>
      </w:r>
    </w:p>
    <w:p w:rsidR="002310ED" w:rsidP="002310ED" w14:paraId="1B57D3EF" w14:textId="5928B48B">
      <w:pPr>
        <w:tabs>
          <w:tab w:val="right" w:pos="9184"/>
        </w:tabs>
      </w:pPr>
      <w:r w:rsidRPr="002310ED">
        <w:rPr>
          <w:rStyle w:val="HideTWBExt"/>
        </w:rPr>
        <w:t>&lt;ShortTitel&gt;</w:t>
      </w:r>
      <w:r>
        <w:t>Revised heat and fuel benchmark values for 2026-2030</w:t>
      </w:r>
      <w:r w:rsidRPr="002310ED">
        <w:rPr>
          <w:rStyle w:val="HideTWBExt"/>
        </w:rPr>
        <w:t>&lt;/ShortTitel&gt;</w:t>
      </w:r>
    </w:p>
    <w:p w:rsidR="002310ED" w:rsidP="002310ED" w14:paraId="6B4B37CC" w14:textId="77777777">
      <w:pPr>
        <w:tabs>
          <w:tab w:val="right" w:pos="9184"/>
        </w:tabs>
      </w:pPr>
    </w:p>
    <w:p w:rsidR="002310ED" w:rsidP="002310ED" w14:paraId="0B63058E" w14:textId="225D5039">
      <w:pPr>
        <w:tabs>
          <w:tab w:val="right" w:pos="9184"/>
        </w:tabs>
      </w:pPr>
      <w:r w:rsidRPr="002310ED">
        <w:rPr>
          <w:rStyle w:val="HideTWBExt"/>
        </w:rPr>
        <w:t>&lt;Procedure&gt;</w:t>
      </w:r>
      <w:r>
        <w:t>Proposal for a regulation</w:t>
      </w:r>
      <w:r w:rsidRPr="002310ED">
        <w:rPr>
          <w:rStyle w:val="HideTWBExt"/>
        </w:rPr>
        <w:t>&lt;/Procedure&gt;</w:t>
      </w:r>
      <w:r>
        <w:t xml:space="preserve"> </w:t>
      </w:r>
      <w:r w:rsidRPr="002310ED">
        <w:rPr>
          <w:rStyle w:val="HideTWBExt"/>
        </w:rPr>
        <w:t>&lt;ReferenceNo&gt;</w:t>
      </w:r>
      <w:r>
        <w:t>(</w:t>
      </w:r>
      <w:r>
        <w:t>COM(</w:t>
      </w:r>
      <w:r>
        <w:t>2026)0619 – C10-0189/2026 – 2026/0211(COD))</w:t>
      </w:r>
      <w:r w:rsidRPr="002310ED">
        <w:rPr>
          <w:rStyle w:val="HideTWBExt"/>
        </w:rPr>
        <w:t>&lt;/ReferenceNo&gt;</w:t>
      </w:r>
    </w:p>
    <w:p w:rsidR="002310ED" w:rsidP="002310ED" w14:paraId="4675A65E" w14:textId="77777777">
      <w:pPr>
        <w:tabs>
          <w:tab w:val="right" w:pos="9184"/>
        </w:tabs>
      </w:pPr>
    </w:p>
    <w:p w:rsidR="002310ED" w:rsidP="002310ED" w14:paraId="797FFA4E" w14:textId="77777777">
      <w:pPr>
        <w:tabs>
          <w:tab w:val="right" w:pos="9184"/>
        </w:tabs>
      </w:pPr>
    </w:p>
    <w:p w:rsidR="002310ED" w:rsidP="002310ED" w14:paraId="047A778E" w14:textId="77777777">
      <w:pPr>
        <w:tabs>
          <w:tab w:val="right" w:pos="9184"/>
        </w:tabs>
      </w:pPr>
    </w:p>
    <w:p w:rsidR="002310ED" w:rsidP="002310ED" w14:paraId="5271DC35" w14:textId="77777777">
      <w:pPr>
        <w:tabs>
          <w:tab w:val="right" w:pos="9184"/>
        </w:tabs>
        <w:jc w:val="center"/>
      </w:pPr>
      <w:r>
        <w:t>_____________________________________________________________</w:t>
      </w:r>
    </w:p>
    <w:p w:rsidR="002310ED" w:rsidP="002310ED" w14:paraId="75DFAD68" w14:textId="77777777">
      <w:pPr>
        <w:tabs>
          <w:tab w:val="right" w:pos="9184"/>
        </w:tabs>
        <w:jc w:val="center"/>
      </w:pPr>
    </w:p>
    <w:p w:rsidR="004C5733" w:rsidRPr="00E575EC" w:rsidP="002310ED" w14:paraId="01B39EE2" w14:textId="7519B272">
      <w:pPr>
        <w:pStyle w:val="AMNumberTabs"/>
        <w:rPr>
          <w:lang w:val="en-GB"/>
        </w:rPr>
      </w:pPr>
      <w:r w:rsidRPr="00E575EC">
        <w:rPr>
          <w:lang w:val="en-GB"/>
        </w:rPr>
        <w:t>Amendment</w:t>
      </w:r>
      <w:r w:rsidRPr="00E575EC">
        <w:rPr>
          <w:lang w:val="en-GB"/>
        </w:rPr>
        <w:tab/>
      </w:r>
      <w:r w:rsidRPr="00E575EC">
        <w:rPr>
          <w:lang w:val="en-GB"/>
        </w:rPr>
        <w:tab/>
      </w:r>
      <w:r w:rsidRPr="00E575EC">
        <w:rPr>
          <w:color w:val="000000"/>
          <w:lang w:val="en-GB"/>
        </w:rPr>
        <w:t>1</w:t>
      </w:r>
    </w:p>
    <w:p w:rsidR="004C5733" w:rsidRPr="002310ED" w:rsidP="004C5733" w14:paraId="62E2EC30" w14:textId="77777777"/>
    <w:p w:rsidR="004C5733" w:rsidRPr="002310ED" w:rsidP="004C5733" w14:paraId="368BCE19" w14:textId="77777777">
      <w:pPr>
        <w:pStyle w:val="NormalBold"/>
        <w:keepNext/>
      </w:pPr>
      <w:r w:rsidRPr="002310ED">
        <w:t>Proposal for a regulation</w:t>
      </w:r>
    </w:p>
    <w:p w:rsidR="004C5733" w:rsidRPr="002310ED" w:rsidP="004C5733" w14:paraId="2C6E6BB3" w14:textId="77777777">
      <w:pPr>
        <w:pStyle w:val="NormalBold"/>
      </w:pPr>
      <w:r w:rsidRPr="002310ED">
        <w:t>Recital 2</w:t>
      </w:r>
    </w:p>
    <w:tbl>
      <w:tblPr>
        <w:tblW w:w="0" w:type="auto"/>
        <w:jc w:val="center"/>
        <w:tblLayout w:type="fixed"/>
        <w:tblCellMar>
          <w:left w:w="340" w:type="dxa"/>
          <w:right w:w="340" w:type="dxa"/>
        </w:tblCellMar>
        <w:tblLook w:val="04A0"/>
      </w:tblPr>
      <w:tblGrid>
        <w:gridCol w:w="4876"/>
        <w:gridCol w:w="4876"/>
      </w:tblGrid>
      <w:tr w14:paraId="18AE16E0" w14:textId="77777777" w:rsidTr="00C9076A">
        <w:tblPrEx>
          <w:tblW w:w="0" w:type="auto"/>
          <w:jc w:val="center"/>
          <w:tblLayout w:type="fixed"/>
          <w:tblCellMar>
            <w:left w:w="340" w:type="dxa"/>
            <w:right w:w="340" w:type="dxa"/>
          </w:tblCellMar>
          <w:tblLook w:val="04A0"/>
        </w:tblPrEx>
        <w:trPr>
          <w:jc w:val="center"/>
        </w:trPr>
        <w:tc>
          <w:tcPr>
            <w:tcW w:w="9752" w:type="dxa"/>
            <w:gridSpan w:val="2"/>
          </w:tcPr>
          <w:p w:rsidR="004C5733" w:rsidRPr="002310ED" w:rsidP="00C9076A" w14:paraId="23268AF8" w14:textId="77777777">
            <w:pPr>
              <w:keepNext/>
            </w:pPr>
          </w:p>
        </w:tc>
      </w:tr>
      <w:tr w14:paraId="4048B883" w14:textId="77777777" w:rsidTr="00C9076A">
        <w:tblPrEx>
          <w:tblW w:w="0" w:type="auto"/>
          <w:jc w:val="center"/>
          <w:tblLayout w:type="fixed"/>
          <w:tblCellMar>
            <w:left w:w="340" w:type="dxa"/>
            <w:right w:w="340" w:type="dxa"/>
          </w:tblCellMar>
          <w:tblLook w:val="04A0"/>
        </w:tblPrEx>
        <w:trPr>
          <w:jc w:val="center"/>
        </w:trPr>
        <w:tc>
          <w:tcPr>
            <w:tcW w:w="4876" w:type="dxa"/>
            <w:hideMark/>
          </w:tcPr>
          <w:p w:rsidR="004C5733" w:rsidRPr="002310ED" w:rsidP="00C9076A" w14:paraId="69B04D7D" w14:textId="77777777">
            <w:pPr>
              <w:pStyle w:val="ColumnHeading"/>
              <w:keepNext/>
              <w:rPr>
                <w:lang w:val="en-GB"/>
              </w:rPr>
            </w:pPr>
            <w:r w:rsidRPr="002310ED">
              <w:rPr>
                <w:lang w:val="en-GB"/>
              </w:rPr>
              <w:t>Text proposed by the Commission</w:t>
            </w:r>
          </w:p>
        </w:tc>
        <w:tc>
          <w:tcPr>
            <w:tcW w:w="4876" w:type="dxa"/>
            <w:hideMark/>
          </w:tcPr>
          <w:p w:rsidR="004C5733" w:rsidRPr="002310ED" w:rsidP="00C9076A" w14:paraId="2B99A481" w14:textId="77777777">
            <w:pPr>
              <w:pStyle w:val="ColumnHeading"/>
              <w:keepNext/>
              <w:rPr>
                <w:lang w:val="en-GB"/>
              </w:rPr>
            </w:pPr>
            <w:r w:rsidRPr="002310ED">
              <w:rPr>
                <w:lang w:val="en-GB"/>
              </w:rPr>
              <w:t>Amendment</w:t>
            </w:r>
          </w:p>
        </w:tc>
      </w:tr>
      <w:tr w14:paraId="19870D8B" w14:textId="77777777" w:rsidTr="00C9076A">
        <w:tblPrEx>
          <w:tblW w:w="0" w:type="auto"/>
          <w:jc w:val="center"/>
          <w:tblLayout w:type="fixed"/>
          <w:tblCellMar>
            <w:left w:w="340" w:type="dxa"/>
            <w:right w:w="340" w:type="dxa"/>
          </w:tblCellMar>
          <w:tblLook w:val="04A0"/>
        </w:tblPrEx>
        <w:trPr>
          <w:jc w:val="center"/>
        </w:trPr>
        <w:tc>
          <w:tcPr>
            <w:tcW w:w="4876" w:type="dxa"/>
            <w:hideMark/>
          </w:tcPr>
          <w:p w:rsidR="004C5733" w:rsidRPr="002310ED" w:rsidP="00C9076A" w14:paraId="40DB56A7" w14:textId="77777777">
            <w:pPr>
              <w:pStyle w:val="Normal6"/>
              <w:rPr>
                <w:lang w:val="en-GB"/>
              </w:rPr>
            </w:pPr>
            <w:r w:rsidRPr="002310ED">
              <w:rPr>
                <w:lang w:val="en-GB"/>
              </w:rPr>
              <w:t>(2)</w:t>
            </w:r>
            <w:r w:rsidRPr="002310ED">
              <w:rPr>
                <w:lang w:val="en-GB"/>
              </w:rPr>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w:t>
            </w:r>
            <w:r w:rsidRPr="002310ED">
              <w:rPr>
                <w:lang w:val="en-GB"/>
              </w:rPr>
              <w:t>In order to</w:t>
            </w:r>
            <w:r w:rsidRPr="002310ED">
              <w:rPr>
                <w:lang w:val="en-GB"/>
              </w:rPr>
              <w:t xml:space="preserve"> do so, it is appropriate to adjust the maximum annual update rate applied for the fallback benchmarks by using the totality of the allowances available for free allocation in the period from 2026 to 2030 as laid down in Commission Decision XXX</w:t>
            </w:r>
            <w:r w:rsidRPr="002310ED">
              <w:rPr>
                <w:b/>
                <w:i/>
                <w:vertAlign w:val="superscript"/>
                <w:lang w:val="en-GB"/>
              </w:rPr>
              <w:t>4</w:t>
            </w:r>
            <w:r w:rsidRPr="002310ED">
              <w:rPr>
                <w:lang w:val="en-GB"/>
              </w:rPr>
              <w:t xml:space="preserve"> [CSCF Decision], amounting to around </w:t>
            </w:r>
            <w:r w:rsidRPr="002310ED">
              <w:rPr>
                <w:b/>
                <w:i/>
                <w:lang w:val="en-GB"/>
              </w:rPr>
              <w:t>80</w:t>
            </w:r>
            <w:r w:rsidRPr="002310ED">
              <w:rPr>
                <w:lang w:val="en-GB"/>
              </w:rPr>
              <w:t xml:space="preserve"> million allowances. In line with the targeted nature of this adjustment and the rules set out in in Commission Delegated Regulation (EU) 2019/331 on the determination of the annual </w:t>
            </w:r>
            <w:r w:rsidRPr="002310ED">
              <w:rPr>
                <w:lang w:val="en-GB"/>
              </w:rPr>
              <w:t>amount</w:t>
            </w:r>
            <w:r w:rsidRPr="002310ED">
              <w:rPr>
                <w:lang w:val="en-GB"/>
              </w:rPr>
              <w:t xml:space="preserve"> of allowances allocated for free to </w:t>
            </w:r>
            <w:r w:rsidRPr="002310ED">
              <w:rPr>
                <w:lang w:val="en-GB"/>
              </w:rPr>
              <w:t>installations, the additional free allocation resulting from the adjustment should only concern the amounts determined by the fallback benchmarks.</w:t>
            </w:r>
          </w:p>
        </w:tc>
        <w:tc>
          <w:tcPr>
            <w:tcW w:w="4876" w:type="dxa"/>
            <w:hideMark/>
          </w:tcPr>
          <w:p w:rsidR="004C5733" w:rsidRPr="002310ED" w:rsidP="00C9076A" w14:paraId="39980F13" w14:textId="77777777">
            <w:pPr>
              <w:pStyle w:val="Normal6"/>
              <w:rPr>
                <w:szCs w:val="24"/>
                <w:lang w:val="en-GB"/>
              </w:rPr>
            </w:pPr>
            <w:r w:rsidRPr="002310ED">
              <w:rPr>
                <w:lang w:val="en-GB"/>
              </w:rPr>
              <w:t>(2)</w:t>
            </w:r>
            <w:r w:rsidRPr="002310ED">
              <w:rPr>
                <w:lang w:val="en-GB"/>
              </w:rPr>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 [CSCF Decision], amounting to around </w:t>
            </w:r>
            <w:r w:rsidRPr="002310ED">
              <w:rPr>
                <w:b/>
                <w:i/>
                <w:lang w:val="en-GB"/>
              </w:rPr>
              <w:t>88</w:t>
            </w:r>
            <w:r w:rsidRPr="002310ED">
              <w:rPr>
                <w:lang w:val="en-GB"/>
              </w:rPr>
              <w:t xml:space="preserve"> million allowances</w:t>
            </w:r>
            <w:r w:rsidRPr="002310ED">
              <w:rPr>
                <w:b/>
                <w:i/>
                <w:lang w:val="en-GB"/>
              </w:rPr>
              <w:t xml:space="preserve">, as well as a third of the allowances that are not allocated in that period as a result of the reduction of free allocation under the third and fifth subparagraphs of Article 10a(1) of Directive 2003/87/EC, </w:t>
            </w:r>
            <w:r w:rsidRPr="002310ED">
              <w:rPr>
                <w:b/>
                <w:i/>
                <w:lang w:val="en-GB"/>
              </w:rPr>
              <w:t>amounting to around 11 million allowances. Another third of those allowances, amounting to around 11 million allowances, should be transferred to the Modernisation Fund established under Article 10d of Directive 2003/87/EC and should be used to support investments, inter alia, in the modernisation of district heating systems. The last third should remain allocated to the Innovation Fund, established under Article 10</w:t>
            </w:r>
            <w:r w:rsidRPr="002310ED">
              <w:rPr>
                <w:b/>
                <w:i/>
                <w:lang w:val="en-GB"/>
              </w:rPr>
              <w:t>a(</w:t>
            </w:r>
            <w:r w:rsidRPr="002310ED">
              <w:rPr>
                <w:b/>
                <w:i/>
                <w:lang w:val="en-GB"/>
              </w:rPr>
              <w:t>8) of that Directive. The use of the additional allowances for free allocation corresponds to an indicative 12,5 % reduction to the fallback benchmarks compared to the values for the period from 2021 to 2025, namely an indicative average value heat and fuel benchmarks for the period from 2026 to 2030 of 41,4 and 37,3 allowances/TJ, respectively</w:t>
            </w:r>
            <w:r w:rsidRPr="002310ED">
              <w:rPr>
                <w:lang w:val="en-GB"/>
              </w:rPr>
              <w:t xml:space="preserve">.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 </w:t>
            </w:r>
            <w:r w:rsidRPr="002310ED">
              <w:rPr>
                <w:b/>
                <w:i/>
                <w:lang w:val="en-GB"/>
              </w:rPr>
              <w:t xml:space="preserve">In specific cases, it is possible that the Union-wide ex-ante fuel benchmark do not adequately reflect the characteristics and emission performance of manufacturing processes within certain industrial sectors. Where significant discrepancies are clearly documented, sector-specific sub-benchmarks should be established to ensure that free allocation reflects the performance of the most efficient sub-installations within a sufficiently homogeneous peer group. To that end, with a view to already applying such sub-benchmarks during the period from 2026 to 2030, the Commission should establish as soon as possible, by means of implementing acts, the updated sub-benchmark values for the relevant subsector, giving priority to installations </w:t>
            </w:r>
            <w:r w:rsidRPr="002310ED">
              <w:rPr>
                <w:b/>
                <w:i/>
                <w:lang w:val="en-GB"/>
              </w:rPr>
              <w:t xml:space="preserve">whose economic activities fall within NACE codes 23.20 and 23.31 set out in Annex I to Regulation (EC) No 1893/2006. Those sub-benchmark values should be determined </w:t>
            </w:r>
            <w:r w:rsidRPr="002310ED">
              <w:rPr>
                <w:b/>
                <w:i/>
                <w:lang w:val="en-GB"/>
              </w:rPr>
              <w:t>on the basis of</w:t>
            </w:r>
            <w:r w:rsidRPr="002310ED">
              <w:rPr>
                <w:b/>
                <w:i/>
                <w:lang w:val="en-GB"/>
              </w:rPr>
              <w:t xml:space="preserve"> the average greenhouse gas emission intensity of the 10 % most efficient installations in the respective sector, using the same reference period, dataset and methodology as the ex-ante fuel benchmark.</w:t>
            </w:r>
            <w:r w:rsidRPr="002310ED">
              <w:rPr>
                <w:lang w:val="en-GB"/>
              </w:rPr>
              <w:t xml:space="preserve"> </w:t>
            </w:r>
          </w:p>
        </w:tc>
      </w:tr>
      <w:tr w14:paraId="459E36F8" w14:textId="77777777" w:rsidTr="00C9076A">
        <w:tblPrEx>
          <w:tblW w:w="0" w:type="auto"/>
          <w:jc w:val="center"/>
          <w:tblLayout w:type="fixed"/>
          <w:tblCellMar>
            <w:left w:w="340" w:type="dxa"/>
            <w:right w:w="340" w:type="dxa"/>
          </w:tblCellMar>
          <w:tblLook w:val="04A0"/>
        </w:tblPrEx>
        <w:trPr>
          <w:jc w:val="center"/>
        </w:trPr>
        <w:tc>
          <w:tcPr>
            <w:tcW w:w="4876" w:type="dxa"/>
            <w:hideMark/>
          </w:tcPr>
          <w:p w:rsidR="004C5733" w:rsidRPr="002310ED" w:rsidP="00C9076A" w14:paraId="6D1F4577" w14:textId="77777777">
            <w:pPr>
              <w:pStyle w:val="Normal6"/>
              <w:rPr>
                <w:lang w:val="en-GB"/>
              </w:rPr>
            </w:pPr>
            <w:r w:rsidRPr="002310ED">
              <w:rPr>
                <w:lang w:val="en-GB"/>
              </w:rPr>
              <w:t>__________________</w:t>
            </w:r>
          </w:p>
        </w:tc>
        <w:tc>
          <w:tcPr>
            <w:tcW w:w="4876" w:type="dxa"/>
            <w:hideMark/>
          </w:tcPr>
          <w:p w:rsidR="004C5733" w:rsidRPr="002310ED" w:rsidP="00C9076A" w14:paraId="63B8DA5E" w14:textId="77777777">
            <w:pPr>
              <w:pStyle w:val="Normal6"/>
              <w:rPr>
                <w:szCs w:val="24"/>
                <w:lang w:val="en-GB"/>
              </w:rPr>
            </w:pPr>
            <w:r w:rsidRPr="002310ED">
              <w:rPr>
                <w:lang w:val="en-GB"/>
              </w:rPr>
              <w:t>__________________</w:t>
            </w:r>
          </w:p>
        </w:tc>
      </w:tr>
      <w:tr w14:paraId="37D04651" w14:textId="77777777" w:rsidTr="00C9076A">
        <w:tblPrEx>
          <w:tblW w:w="0" w:type="auto"/>
          <w:jc w:val="center"/>
          <w:tblLayout w:type="fixed"/>
          <w:tblCellMar>
            <w:left w:w="340" w:type="dxa"/>
            <w:right w:w="340" w:type="dxa"/>
          </w:tblCellMar>
          <w:tblLook w:val="04A0"/>
        </w:tblPrEx>
        <w:trPr>
          <w:jc w:val="center"/>
        </w:trPr>
        <w:tc>
          <w:tcPr>
            <w:tcW w:w="4876" w:type="dxa"/>
            <w:hideMark/>
          </w:tcPr>
          <w:p w:rsidR="004C5733" w:rsidRPr="002310ED" w:rsidP="00C9076A" w14:paraId="61AF945E" w14:textId="77777777">
            <w:pPr>
              <w:pStyle w:val="Normal6"/>
              <w:rPr>
                <w:lang w:val="en-GB"/>
              </w:rPr>
            </w:pPr>
            <w:r w:rsidRPr="002310ED">
              <w:rPr>
                <w:vertAlign w:val="superscript"/>
                <w:lang w:val="en-GB"/>
              </w:rPr>
              <w:t>4</w:t>
            </w:r>
            <w:r w:rsidRPr="002310ED">
              <w:rPr>
                <w:lang w:val="en-GB"/>
              </w:rPr>
              <w:t xml:space="preserve"> [please insert the full reference once available – CSCF Decision]</w:t>
            </w:r>
          </w:p>
        </w:tc>
        <w:tc>
          <w:tcPr>
            <w:tcW w:w="4876" w:type="dxa"/>
            <w:hideMark/>
          </w:tcPr>
          <w:p w:rsidR="004C5733" w:rsidRPr="002310ED" w:rsidP="00C9076A" w14:paraId="27DBD6E8" w14:textId="77777777">
            <w:pPr>
              <w:pStyle w:val="Normal6"/>
              <w:rPr>
                <w:szCs w:val="24"/>
                <w:lang w:val="en-GB"/>
              </w:rPr>
            </w:pPr>
            <w:r w:rsidRPr="002310ED">
              <w:rPr>
                <w:vertAlign w:val="superscript"/>
                <w:lang w:val="en-GB"/>
              </w:rPr>
              <w:t>4</w:t>
            </w:r>
            <w:r w:rsidRPr="002310ED">
              <w:rPr>
                <w:lang w:val="en-GB"/>
              </w:rPr>
              <w:t xml:space="preserve"> [please insert the full reference once available – CSCF Decision]</w:t>
            </w:r>
          </w:p>
        </w:tc>
      </w:tr>
    </w:tbl>
    <w:p w:rsidR="004C5733" w:rsidRPr="002310ED" w:rsidP="004C5733" w14:paraId="4C266891" w14:textId="77777777">
      <w:pPr>
        <w:rPr>
          <w:szCs w:val="24"/>
        </w:rPr>
      </w:pPr>
    </w:p>
    <w:p w:rsidR="004C5733" w:rsidRPr="002310ED" w:rsidP="004C5733" w14:paraId="78866607" w14:textId="77777777">
      <w:pPr>
        <w:pStyle w:val="AMNumberTabs"/>
        <w:keepNext/>
        <w:rPr>
          <w:lang w:val="en-GB"/>
        </w:rPr>
      </w:pPr>
      <w:r w:rsidRPr="002310ED">
        <w:rPr>
          <w:lang w:val="en-GB"/>
        </w:rPr>
        <w:t>Amendment</w:t>
      </w:r>
      <w:r w:rsidRPr="002310ED">
        <w:rPr>
          <w:lang w:val="en-GB"/>
        </w:rPr>
        <w:tab/>
      </w:r>
      <w:r w:rsidRPr="002310ED">
        <w:rPr>
          <w:lang w:val="en-GB"/>
        </w:rPr>
        <w:tab/>
      </w:r>
      <w:r w:rsidRPr="002310ED">
        <w:rPr>
          <w:color w:val="000000"/>
          <w:lang w:val="en-GB"/>
        </w:rPr>
        <w:t>2</w:t>
      </w:r>
    </w:p>
    <w:p w:rsidR="004C5733" w:rsidRPr="002310ED" w:rsidP="004C5733" w14:paraId="57051533" w14:textId="77777777"/>
    <w:p w:rsidR="004C5733" w:rsidRPr="002310ED" w:rsidP="004C5733" w14:paraId="790B2CB3" w14:textId="77777777">
      <w:pPr>
        <w:pStyle w:val="NormalBold"/>
        <w:keepNext/>
      </w:pPr>
      <w:r w:rsidRPr="002310ED">
        <w:t>Proposal for a regulation</w:t>
      </w:r>
    </w:p>
    <w:p w:rsidR="004C5733" w:rsidRPr="002310ED" w:rsidP="004C5733" w14:paraId="3CBED3CD" w14:textId="77777777">
      <w:pPr>
        <w:pStyle w:val="NormalBold"/>
      </w:pPr>
      <w:r w:rsidRPr="002310ED">
        <w:t>Recital 2 a (new)</w:t>
      </w:r>
    </w:p>
    <w:tbl>
      <w:tblPr>
        <w:tblW w:w="0" w:type="auto"/>
        <w:jc w:val="center"/>
        <w:tblLayout w:type="fixed"/>
        <w:tblCellMar>
          <w:left w:w="340" w:type="dxa"/>
          <w:right w:w="340" w:type="dxa"/>
        </w:tblCellMar>
        <w:tblLook w:val="04A0"/>
      </w:tblPr>
      <w:tblGrid>
        <w:gridCol w:w="4876"/>
        <w:gridCol w:w="4876"/>
      </w:tblGrid>
      <w:tr w14:paraId="71700C87" w14:textId="77777777" w:rsidTr="00C9076A">
        <w:tblPrEx>
          <w:tblW w:w="0" w:type="auto"/>
          <w:jc w:val="center"/>
          <w:tblLayout w:type="fixed"/>
          <w:tblCellMar>
            <w:left w:w="340" w:type="dxa"/>
            <w:right w:w="340" w:type="dxa"/>
          </w:tblCellMar>
          <w:tblLook w:val="04A0"/>
        </w:tblPrEx>
        <w:trPr>
          <w:jc w:val="center"/>
        </w:trPr>
        <w:tc>
          <w:tcPr>
            <w:tcW w:w="9752" w:type="dxa"/>
            <w:gridSpan w:val="2"/>
          </w:tcPr>
          <w:p w:rsidR="004C5733" w:rsidRPr="002310ED" w:rsidP="00C9076A" w14:paraId="7FD03437" w14:textId="77777777">
            <w:pPr>
              <w:keepNext/>
            </w:pPr>
          </w:p>
        </w:tc>
      </w:tr>
      <w:tr w14:paraId="2C38C7A6" w14:textId="77777777" w:rsidTr="00C9076A">
        <w:tblPrEx>
          <w:tblW w:w="0" w:type="auto"/>
          <w:jc w:val="center"/>
          <w:tblLayout w:type="fixed"/>
          <w:tblCellMar>
            <w:left w:w="340" w:type="dxa"/>
            <w:right w:w="340" w:type="dxa"/>
          </w:tblCellMar>
          <w:tblLook w:val="04A0"/>
        </w:tblPrEx>
        <w:trPr>
          <w:jc w:val="center"/>
        </w:trPr>
        <w:tc>
          <w:tcPr>
            <w:tcW w:w="4876" w:type="dxa"/>
            <w:hideMark/>
          </w:tcPr>
          <w:p w:rsidR="004C5733" w:rsidRPr="002310ED" w:rsidP="00C9076A" w14:paraId="729D7C45" w14:textId="77777777">
            <w:pPr>
              <w:pStyle w:val="ColumnHeading"/>
              <w:keepNext/>
              <w:rPr>
                <w:lang w:val="en-GB"/>
              </w:rPr>
            </w:pPr>
            <w:r w:rsidRPr="002310ED">
              <w:rPr>
                <w:lang w:val="en-GB"/>
              </w:rPr>
              <w:t>Text proposed by the Commission</w:t>
            </w:r>
          </w:p>
        </w:tc>
        <w:tc>
          <w:tcPr>
            <w:tcW w:w="4876" w:type="dxa"/>
            <w:hideMark/>
          </w:tcPr>
          <w:p w:rsidR="004C5733" w:rsidRPr="002310ED" w:rsidP="00C9076A" w14:paraId="1EB54C31" w14:textId="77777777">
            <w:pPr>
              <w:pStyle w:val="ColumnHeading"/>
              <w:keepNext/>
              <w:rPr>
                <w:lang w:val="en-GB"/>
              </w:rPr>
            </w:pPr>
            <w:r w:rsidRPr="002310ED">
              <w:rPr>
                <w:lang w:val="en-GB"/>
              </w:rPr>
              <w:t>Amendment</w:t>
            </w:r>
          </w:p>
        </w:tc>
      </w:tr>
      <w:tr w14:paraId="3A444F95" w14:textId="77777777" w:rsidTr="00C9076A">
        <w:tblPrEx>
          <w:tblW w:w="0" w:type="auto"/>
          <w:jc w:val="center"/>
          <w:tblLayout w:type="fixed"/>
          <w:tblCellMar>
            <w:left w:w="340" w:type="dxa"/>
            <w:right w:w="340" w:type="dxa"/>
          </w:tblCellMar>
          <w:tblLook w:val="04A0"/>
        </w:tblPrEx>
        <w:trPr>
          <w:jc w:val="center"/>
        </w:trPr>
        <w:tc>
          <w:tcPr>
            <w:tcW w:w="4876" w:type="dxa"/>
          </w:tcPr>
          <w:p w:rsidR="004C5733" w:rsidRPr="002310ED" w:rsidP="00C9076A" w14:paraId="194FE899" w14:textId="77777777">
            <w:pPr>
              <w:pStyle w:val="Normal6"/>
              <w:rPr>
                <w:lang w:val="en-GB"/>
              </w:rPr>
            </w:pPr>
          </w:p>
        </w:tc>
        <w:tc>
          <w:tcPr>
            <w:tcW w:w="4876" w:type="dxa"/>
            <w:hideMark/>
          </w:tcPr>
          <w:p w:rsidR="004C5733" w:rsidRPr="002310ED" w:rsidP="00C9076A" w14:paraId="299AFF63" w14:textId="77777777">
            <w:pPr>
              <w:pStyle w:val="Normal6"/>
              <w:rPr>
                <w:szCs w:val="24"/>
                <w:lang w:val="en-GB"/>
              </w:rPr>
            </w:pPr>
            <w:r w:rsidRPr="002310ED">
              <w:rPr>
                <w:b/>
                <w:i/>
                <w:lang w:val="en-GB"/>
              </w:rPr>
              <w:t>(2a)</w:t>
            </w:r>
            <w:r w:rsidRPr="002310ED">
              <w:rPr>
                <w:b/>
                <w:i/>
                <w:lang w:val="en-GB"/>
              </w:rPr>
              <w:tab/>
              <w:t xml:space="preserve">As a matter of principle, free allocation needs to be based on product benchmarks rather than inputs </w:t>
            </w:r>
            <w:r w:rsidRPr="002310ED">
              <w:rPr>
                <w:b/>
                <w:i/>
                <w:lang w:val="en-GB"/>
              </w:rPr>
              <w:t>in order to</w:t>
            </w:r>
            <w:r w:rsidRPr="002310ED">
              <w:rPr>
                <w:b/>
                <w:i/>
                <w:lang w:val="en-GB"/>
              </w:rPr>
              <w:t xml:space="preserve"> maximise greenhouse gas emission reductions and energy-efficiency savings throughout the production process. It is therefore necessary to revise the rules for determining Union-wide ex-ante benchmarks, as the group of the 10 % most efficient installations might not be sufficiently representative of the sector or subsector concerned in all cases, having regard to the technologies used, the nature and scale of the activity, the share of production covered and the number of installations and sub-installations forming the basis of the benchmark. The amendments to Directive 2003/87/EC seek to ensure the same requirement of representativeness apply to fallback approaches, including the heat and fuel benchmarks. It is therefore important that the determination of those benchmark values be conducted in a transparent manner, including as regards the </w:t>
            </w:r>
            <w:r w:rsidRPr="002310ED">
              <w:rPr>
                <w:b/>
                <w:i/>
                <w:lang w:val="en-GB"/>
              </w:rPr>
              <w:t>selection rules, the methodology applied, the assumptions made and the aggregated source data used, while ensuring the protection of commercially sensitive information.</w:t>
            </w:r>
          </w:p>
        </w:tc>
      </w:tr>
    </w:tbl>
    <w:p w:rsidR="004C5733" w:rsidRPr="002310ED" w:rsidP="004C5733" w14:paraId="69ADE011" w14:textId="77777777">
      <w:pPr>
        <w:rPr>
          <w:szCs w:val="24"/>
        </w:rPr>
      </w:pPr>
    </w:p>
    <w:p w:rsidR="004C5733" w:rsidRPr="002310ED" w:rsidP="004C5733" w14:paraId="4E79DD51" w14:textId="77777777">
      <w:pPr>
        <w:pStyle w:val="AMNumberTabs"/>
        <w:keepNext/>
        <w:rPr>
          <w:lang w:val="en-GB"/>
        </w:rPr>
      </w:pPr>
      <w:r w:rsidRPr="002310ED">
        <w:rPr>
          <w:lang w:val="en-GB"/>
        </w:rPr>
        <w:t>Amendment</w:t>
      </w:r>
      <w:r w:rsidRPr="002310ED">
        <w:rPr>
          <w:lang w:val="en-GB"/>
        </w:rPr>
        <w:tab/>
      </w:r>
      <w:r w:rsidRPr="002310ED">
        <w:rPr>
          <w:lang w:val="en-GB"/>
        </w:rPr>
        <w:tab/>
      </w:r>
      <w:r w:rsidRPr="002310ED">
        <w:rPr>
          <w:color w:val="000000"/>
          <w:lang w:val="en-GB"/>
        </w:rPr>
        <w:t>3</w:t>
      </w:r>
    </w:p>
    <w:p w:rsidR="004C5733" w:rsidRPr="002310ED" w:rsidP="004C5733" w14:paraId="342C50E8" w14:textId="77777777"/>
    <w:p w:rsidR="004C5733" w:rsidRPr="002310ED" w:rsidP="004C5733" w14:paraId="23289E03" w14:textId="77777777">
      <w:pPr>
        <w:pStyle w:val="NormalBold"/>
        <w:keepNext/>
      </w:pPr>
      <w:r w:rsidRPr="002310ED">
        <w:t>Proposal for a regulation</w:t>
      </w:r>
    </w:p>
    <w:p w:rsidR="004C5733" w:rsidRPr="002310ED" w:rsidP="004C5733" w14:paraId="6842A8BD" w14:textId="77777777">
      <w:pPr>
        <w:pStyle w:val="NormalBold"/>
      </w:pPr>
      <w:r w:rsidRPr="002310ED">
        <w:t>Article 1 – paragraph 1 – point -1 (new)</w:t>
      </w:r>
    </w:p>
    <w:p w:rsidR="004C5733" w:rsidRPr="002310ED" w:rsidP="004C5733" w14:paraId="605037B8" w14:textId="77777777">
      <w:pPr>
        <w:keepNext/>
      </w:pPr>
      <w:r w:rsidRPr="002310ED">
        <w:t>Directive 2003/87/EC</w:t>
      </w:r>
    </w:p>
    <w:p w:rsidR="004C5733" w:rsidRPr="002310ED" w:rsidP="004C5733" w14:paraId="00767E9D" w14:textId="77777777">
      <w:r w:rsidRPr="002310ED">
        <w:rPr>
          <w:bCs/>
        </w:rPr>
        <w:t>Article 10a – paragraph 1 – subparagraph 6</w:t>
      </w:r>
    </w:p>
    <w:tbl>
      <w:tblPr>
        <w:tblW w:w="9752" w:type="dxa"/>
        <w:jc w:val="center"/>
        <w:tblLayout w:type="fixed"/>
        <w:tblCellMar>
          <w:left w:w="340" w:type="dxa"/>
          <w:right w:w="340" w:type="dxa"/>
        </w:tblCellMar>
        <w:tblLook w:val="04A0"/>
      </w:tblPr>
      <w:tblGrid>
        <w:gridCol w:w="4876"/>
        <w:gridCol w:w="4876"/>
      </w:tblGrid>
      <w:tr w14:paraId="3413BAD2" w14:textId="77777777" w:rsidTr="00C9076A">
        <w:tblPrEx>
          <w:tblW w:w="9752" w:type="dxa"/>
          <w:jc w:val="center"/>
          <w:tblLayout w:type="fixed"/>
          <w:tblCellMar>
            <w:left w:w="340" w:type="dxa"/>
            <w:right w:w="340" w:type="dxa"/>
          </w:tblCellMar>
          <w:tblLook w:val="04A0"/>
        </w:tblPrEx>
        <w:trPr>
          <w:jc w:val="center"/>
        </w:trPr>
        <w:tc>
          <w:tcPr>
            <w:tcW w:w="9752" w:type="dxa"/>
            <w:gridSpan w:val="2"/>
          </w:tcPr>
          <w:p w:rsidR="004C5733" w:rsidRPr="002310ED" w:rsidP="00C9076A" w14:paraId="5CE40EAC" w14:textId="77777777">
            <w:pPr>
              <w:keepNext/>
            </w:pPr>
          </w:p>
        </w:tc>
      </w:tr>
      <w:tr w14:paraId="1961B8D0" w14:textId="77777777" w:rsidTr="00C9076A">
        <w:tblPrEx>
          <w:tblW w:w="9752" w:type="dxa"/>
          <w:jc w:val="center"/>
          <w:tblLayout w:type="fixed"/>
          <w:tblCellMar>
            <w:left w:w="340" w:type="dxa"/>
            <w:right w:w="340" w:type="dxa"/>
          </w:tblCellMar>
          <w:tblLook w:val="04A0"/>
        </w:tblPrEx>
        <w:trPr>
          <w:jc w:val="center"/>
        </w:trPr>
        <w:tc>
          <w:tcPr>
            <w:tcW w:w="4876" w:type="dxa"/>
            <w:hideMark/>
          </w:tcPr>
          <w:p w:rsidR="004C5733" w:rsidRPr="002310ED" w:rsidP="00C9076A" w14:paraId="73F2E387" w14:textId="77777777">
            <w:pPr>
              <w:pStyle w:val="ColumnHeading"/>
              <w:keepNext/>
              <w:rPr>
                <w:lang w:val="en-GB"/>
              </w:rPr>
            </w:pPr>
            <w:r w:rsidRPr="002310ED">
              <w:rPr>
                <w:lang w:val="en-GB"/>
              </w:rPr>
              <w:t>Present text</w:t>
            </w:r>
          </w:p>
        </w:tc>
        <w:tc>
          <w:tcPr>
            <w:tcW w:w="4876" w:type="dxa"/>
            <w:hideMark/>
          </w:tcPr>
          <w:p w:rsidR="004C5733" w:rsidRPr="002310ED" w:rsidP="00C9076A" w14:paraId="480F98B2" w14:textId="77777777">
            <w:pPr>
              <w:pStyle w:val="ColumnHeading"/>
              <w:keepNext/>
              <w:rPr>
                <w:lang w:val="en-GB"/>
              </w:rPr>
            </w:pPr>
            <w:r w:rsidRPr="002310ED">
              <w:rPr>
                <w:lang w:val="en-GB"/>
              </w:rPr>
              <w:t>Amendment</w:t>
            </w:r>
          </w:p>
        </w:tc>
      </w:tr>
      <w:tr w14:paraId="4795ECB6" w14:textId="77777777" w:rsidTr="00C9076A">
        <w:tblPrEx>
          <w:tblW w:w="9752" w:type="dxa"/>
          <w:jc w:val="center"/>
          <w:tblLayout w:type="fixed"/>
          <w:tblCellMar>
            <w:left w:w="340" w:type="dxa"/>
            <w:right w:w="340" w:type="dxa"/>
          </w:tblCellMar>
          <w:tblLook w:val="04A0"/>
        </w:tblPrEx>
        <w:trPr>
          <w:jc w:val="center"/>
        </w:trPr>
        <w:tc>
          <w:tcPr>
            <w:tcW w:w="4876" w:type="dxa"/>
          </w:tcPr>
          <w:p w:rsidR="004C5733" w:rsidRPr="002310ED" w:rsidP="00C9076A" w14:paraId="54FBB65D" w14:textId="77777777">
            <w:pPr>
              <w:pStyle w:val="Normal6"/>
              <w:rPr>
                <w:lang w:val="en-GB"/>
              </w:rPr>
            </w:pPr>
          </w:p>
        </w:tc>
        <w:tc>
          <w:tcPr>
            <w:tcW w:w="4876" w:type="dxa"/>
          </w:tcPr>
          <w:p w:rsidR="004C5733" w:rsidRPr="002310ED" w:rsidP="00C9076A" w14:paraId="578FED78" w14:textId="77777777">
            <w:pPr>
              <w:pStyle w:val="Normal6"/>
              <w:rPr>
                <w:b/>
                <w:i/>
                <w:lang w:val="en-GB"/>
              </w:rPr>
            </w:pPr>
            <w:r w:rsidRPr="002310ED">
              <w:rPr>
                <w:b/>
                <w:i/>
                <w:lang w:val="en-GB"/>
              </w:rPr>
              <w:t>(-1)</w:t>
            </w:r>
            <w:r w:rsidRPr="002310ED">
              <w:rPr>
                <w:b/>
                <w:i/>
                <w:lang w:val="en-GB"/>
              </w:rPr>
              <w:tab/>
              <w:t>in Article 10a, paragraph 1, subparagraph 6 is replaced by the following:</w:t>
            </w:r>
          </w:p>
        </w:tc>
      </w:tr>
      <w:tr w14:paraId="4C03671B" w14:textId="77777777" w:rsidTr="00C9076A">
        <w:tblPrEx>
          <w:tblW w:w="9752" w:type="dxa"/>
          <w:jc w:val="center"/>
          <w:tblLayout w:type="fixed"/>
          <w:tblCellMar>
            <w:left w:w="340" w:type="dxa"/>
            <w:right w:w="340" w:type="dxa"/>
          </w:tblCellMar>
          <w:tblLook w:val="04A0"/>
        </w:tblPrEx>
        <w:trPr>
          <w:jc w:val="center"/>
        </w:trPr>
        <w:tc>
          <w:tcPr>
            <w:tcW w:w="4876" w:type="dxa"/>
            <w:hideMark/>
          </w:tcPr>
          <w:p w:rsidR="004C5733" w:rsidRPr="002310ED" w:rsidP="00C9076A" w14:paraId="5DA6CCF8" w14:textId="77777777">
            <w:pPr>
              <w:pStyle w:val="Normal6"/>
              <w:rPr>
                <w:lang w:val="en-GB"/>
              </w:rPr>
            </w:pPr>
            <w:r w:rsidRPr="002310ED">
              <w:rPr>
                <w:lang w:val="en-GB"/>
              </w:rPr>
              <w:t xml:space="preserve">Allowances that are not allocated due to a reduction of free allocation in accordance with the third and fifth subparagraphs of this paragraph shall be used </w:t>
            </w:r>
            <w:r w:rsidRPr="002310ED">
              <w:rPr>
                <w:b/>
                <w:i/>
                <w:lang w:val="en-GB"/>
              </w:rPr>
              <w:t>to exempt installations from the adjustment in accordance with</w:t>
            </w:r>
            <w:r w:rsidRPr="002310ED">
              <w:rPr>
                <w:lang w:val="en-GB"/>
              </w:rPr>
              <w:t xml:space="preserve"> </w:t>
            </w:r>
            <w:r w:rsidRPr="002310ED">
              <w:rPr>
                <w:b/>
                <w:bCs/>
                <w:i/>
                <w:iCs/>
                <w:lang w:val="en-GB"/>
              </w:rPr>
              <w:t>paragraph</w:t>
            </w:r>
            <w:r w:rsidRPr="002310ED">
              <w:rPr>
                <w:lang w:val="en-GB"/>
              </w:rPr>
              <w:t xml:space="preserve"> </w:t>
            </w:r>
            <w:r w:rsidRPr="002310ED">
              <w:rPr>
                <w:b/>
                <w:i/>
                <w:lang w:val="en-GB"/>
              </w:rPr>
              <w:t>5</w:t>
            </w:r>
            <w:r w:rsidRPr="002310ED">
              <w:rPr>
                <w:lang w:val="en-GB"/>
              </w:rPr>
              <w:t xml:space="preserve"> </w:t>
            </w:r>
            <w:r w:rsidRPr="002310ED">
              <w:rPr>
                <w:b/>
                <w:bCs/>
                <w:i/>
                <w:iCs/>
                <w:lang w:val="en-GB"/>
              </w:rPr>
              <w:t>of this Article</w:t>
            </w:r>
            <w:r w:rsidRPr="002310ED">
              <w:rPr>
                <w:lang w:val="en-GB"/>
              </w:rPr>
              <w:t xml:space="preserve">. </w:t>
            </w:r>
            <w:r w:rsidRPr="002310ED">
              <w:rPr>
                <w:b/>
                <w:i/>
                <w:lang w:val="en-GB"/>
              </w:rPr>
              <w:t>Where any such allowances remain, 50 % of those allowances shall be made available to support innovation in accordance with paragraph 8 of this Article. The other 50 % of those allowances shall be auctioned in accordance with Article 10(1) of this Directive and Member States should use the respective revenues to address any residual risk of carbon leakage in the sectors covered by Annex I to Regulation (EU) 2023/956, supporting the transition and promoting their decarbonisation in accordance with State aid rules.</w:t>
            </w:r>
          </w:p>
        </w:tc>
        <w:tc>
          <w:tcPr>
            <w:tcW w:w="4876" w:type="dxa"/>
            <w:hideMark/>
          </w:tcPr>
          <w:p w:rsidR="004C5733" w:rsidRPr="002310ED" w:rsidP="00C9076A" w14:paraId="6312318A" w14:textId="77777777">
            <w:pPr>
              <w:pStyle w:val="Normal6"/>
              <w:rPr>
                <w:lang w:val="en-GB"/>
              </w:rPr>
            </w:pPr>
            <w:r w:rsidRPr="002310ED">
              <w:rPr>
                <w:lang w:val="en-GB"/>
              </w:rPr>
              <w:t xml:space="preserve">‘Allowances that are not allocated due to a reduction of free allocation in accordance with the third and fifth subparagraphs of this paragraph shall be used </w:t>
            </w:r>
            <w:r w:rsidRPr="002310ED">
              <w:rPr>
                <w:b/>
                <w:bCs/>
                <w:i/>
                <w:iCs/>
                <w:lang w:val="en-GB"/>
              </w:rPr>
              <w:t>as follows:</w:t>
            </w:r>
          </w:p>
        </w:tc>
      </w:tr>
      <w:tr w14:paraId="3FFF3D89" w14:textId="77777777" w:rsidTr="00C9076A">
        <w:tblPrEx>
          <w:tblW w:w="9752" w:type="dxa"/>
          <w:jc w:val="center"/>
          <w:tblLayout w:type="fixed"/>
          <w:tblCellMar>
            <w:left w:w="340" w:type="dxa"/>
            <w:right w:w="340" w:type="dxa"/>
          </w:tblCellMar>
          <w:tblLook w:val="04A0"/>
        </w:tblPrEx>
        <w:trPr>
          <w:jc w:val="center"/>
        </w:trPr>
        <w:tc>
          <w:tcPr>
            <w:tcW w:w="4876" w:type="dxa"/>
          </w:tcPr>
          <w:p w:rsidR="004C5733" w:rsidRPr="002310ED" w:rsidP="00C9076A" w14:paraId="399746D5" w14:textId="77777777">
            <w:pPr>
              <w:pStyle w:val="Normal6"/>
              <w:rPr>
                <w:lang w:val="en-GB"/>
              </w:rPr>
            </w:pPr>
          </w:p>
        </w:tc>
        <w:tc>
          <w:tcPr>
            <w:tcW w:w="4876" w:type="dxa"/>
          </w:tcPr>
          <w:p w:rsidR="004C5733" w:rsidRPr="002310ED" w:rsidP="00C9076A" w14:paraId="7B8532EA" w14:textId="77777777">
            <w:pPr>
              <w:pStyle w:val="Normal6"/>
              <w:rPr>
                <w:b/>
                <w:i/>
                <w:lang w:val="en-GB"/>
              </w:rPr>
            </w:pPr>
            <w:r w:rsidRPr="002310ED">
              <w:rPr>
                <w:b/>
                <w:i/>
                <w:lang w:val="en-GB"/>
              </w:rPr>
              <w:t>(a) one third for the purposes of paragraph 2a of this Article;</w:t>
            </w:r>
          </w:p>
        </w:tc>
      </w:tr>
      <w:tr w14:paraId="14B81DBA" w14:textId="77777777" w:rsidTr="00C9076A">
        <w:tblPrEx>
          <w:tblW w:w="9752" w:type="dxa"/>
          <w:jc w:val="center"/>
          <w:tblLayout w:type="fixed"/>
          <w:tblCellMar>
            <w:left w:w="340" w:type="dxa"/>
            <w:right w:w="340" w:type="dxa"/>
          </w:tblCellMar>
          <w:tblLook w:val="04A0"/>
        </w:tblPrEx>
        <w:trPr>
          <w:jc w:val="center"/>
        </w:trPr>
        <w:tc>
          <w:tcPr>
            <w:tcW w:w="4876" w:type="dxa"/>
          </w:tcPr>
          <w:p w:rsidR="004C5733" w:rsidRPr="002310ED" w:rsidP="00C9076A" w14:paraId="3DE8746E" w14:textId="77777777">
            <w:pPr>
              <w:pStyle w:val="Normal6"/>
              <w:rPr>
                <w:lang w:val="en-GB"/>
              </w:rPr>
            </w:pPr>
          </w:p>
        </w:tc>
        <w:tc>
          <w:tcPr>
            <w:tcW w:w="4876" w:type="dxa"/>
          </w:tcPr>
          <w:p w:rsidR="004C5733" w:rsidRPr="002310ED" w:rsidP="00C9076A" w14:paraId="19C77AA0" w14:textId="77777777">
            <w:pPr>
              <w:pStyle w:val="Normal6"/>
              <w:rPr>
                <w:b/>
                <w:i/>
                <w:lang w:val="en-GB"/>
              </w:rPr>
            </w:pPr>
            <w:r w:rsidRPr="002310ED">
              <w:rPr>
                <w:b/>
                <w:i/>
                <w:lang w:val="en-GB"/>
              </w:rPr>
              <w:t>(b) one third to be auctioned in accordance with Article 10 and the revenues generated from the auctioning to be transferred to the Modernisation Fund referred to in Article 10d;</w:t>
            </w:r>
          </w:p>
        </w:tc>
      </w:tr>
      <w:tr w14:paraId="0F397B33" w14:textId="77777777" w:rsidTr="00C9076A">
        <w:tblPrEx>
          <w:tblW w:w="9752" w:type="dxa"/>
          <w:jc w:val="center"/>
          <w:tblLayout w:type="fixed"/>
          <w:tblCellMar>
            <w:left w:w="340" w:type="dxa"/>
            <w:right w:w="340" w:type="dxa"/>
          </w:tblCellMar>
          <w:tblLook w:val="04A0"/>
        </w:tblPrEx>
        <w:trPr>
          <w:jc w:val="center"/>
        </w:trPr>
        <w:tc>
          <w:tcPr>
            <w:tcW w:w="4876" w:type="dxa"/>
          </w:tcPr>
          <w:p w:rsidR="004C5733" w:rsidRPr="002310ED" w:rsidP="00C9076A" w14:paraId="765914A0" w14:textId="77777777">
            <w:pPr>
              <w:pStyle w:val="Normal6"/>
              <w:rPr>
                <w:lang w:val="en-GB"/>
              </w:rPr>
            </w:pPr>
          </w:p>
        </w:tc>
        <w:tc>
          <w:tcPr>
            <w:tcW w:w="4876" w:type="dxa"/>
          </w:tcPr>
          <w:p w:rsidR="004C5733" w:rsidRPr="002310ED" w:rsidP="00C9076A" w14:paraId="527936D5" w14:textId="77777777">
            <w:pPr>
              <w:pStyle w:val="Normal6"/>
              <w:rPr>
                <w:lang w:val="en-GB"/>
              </w:rPr>
            </w:pPr>
            <w:r w:rsidRPr="002310ED">
              <w:rPr>
                <w:b/>
                <w:i/>
                <w:lang w:val="en-GB"/>
              </w:rPr>
              <w:t xml:space="preserve">(c) one third to be transferred to the </w:t>
            </w:r>
            <w:r w:rsidRPr="002310ED">
              <w:rPr>
                <w:b/>
                <w:i/>
                <w:lang w:val="en-GB"/>
              </w:rPr>
              <w:t>Innovation Fund referred to in paragraph 8 of this Article.’;</w:t>
            </w:r>
          </w:p>
        </w:tc>
      </w:tr>
    </w:tbl>
    <w:p w:rsidR="004C5733" w:rsidRPr="002310ED" w:rsidP="004C5733" w14:paraId="2B3803A2" w14:textId="77777777">
      <w:pPr>
        <w:pStyle w:val="CrossRef"/>
        <w:rPr>
          <w:lang w:val="en-GB"/>
        </w:rPr>
      </w:pPr>
      <w:r w:rsidRPr="002310ED">
        <w:rPr>
          <w:lang w:val="en-GB"/>
        </w:rPr>
        <w:t>(02003L0087)</w:t>
      </w:r>
    </w:p>
    <w:p w:rsidR="004C5733" w:rsidRPr="002310ED" w:rsidP="004C5733" w14:paraId="1EF028DB" w14:textId="77777777"/>
    <w:p w:rsidR="004C5733" w:rsidRPr="002310ED" w:rsidP="004C5733" w14:paraId="7E5C2C93" w14:textId="77777777">
      <w:pPr>
        <w:pStyle w:val="AMNumberTabs"/>
        <w:keepNext/>
        <w:rPr>
          <w:lang w:val="en-GB"/>
        </w:rPr>
      </w:pPr>
      <w:r w:rsidRPr="002310ED">
        <w:rPr>
          <w:lang w:val="en-GB"/>
        </w:rPr>
        <w:t>Amendment</w:t>
      </w:r>
      <w:r w:rsidRPr="002310ED">
        <w:rPr>
          <w:lang w:val="en-GB"/>
        </w:rPr>
        <w:tab/>
      </w:r>
      <w:r w:rsidRPr="002310ED">
        <w:rPr>
          <w:lang w:val="en-GB"/>
        </w:rPr>
        <w:tab/>
      </w:r>
      <w:r w:rsidRPr="002310ED">
        <w:rPr>
          <w:color w:val="000000"/>
          <w:lang w:val="en-GB"/>
        </w:rPr>
        <w:t>4</w:t>
      </w:r>
    </w:p>
    <w:p w:rsidR="004C5733" w:rsidRPr="002310ED" w:rsidP="004C5733" w14:paraId="31270D7F" w14:textId="77777777"/>
    <w:p w:rsidR="004C5733" w:rsidRPr="002310ED" w:rsidP="004C5733" w14:paraId="423D91FC" w14:textId="77777777">
      <w:pPr>
        <w:pStyle w:val="NormalBold"/>
        <w:keepNext/>
      </w:pPr>
      <w:r w:rsidRPr="002310ED">
        <w:t>Proposal for a regulation</w:t>
      </w:r>
    </w:p>
    <w:p w:rsidR="004C5733" w:rsidRPr="00E575EC" w:rsidP="004C5733" w14:paraId="4F164A03" w14:textId="77777777">
      <w:pPr>
        <w:pStyle w:val="NormalBold"/>
        <w:rPr>
          <w:lang w:val="fr-BE"/>
        </w:rPr>
      </w:pPr>
      <w:r w:rsidRPr="00E575EC">
        <w:rPr>
          <w:lang w:val="fr-BE"/>
        </w:rPr>
        <w:t xml:space="preserve">Article 1 – </w:t>
      </w:r>
      <w:r w:rsidRPr="00E575EC">
        <w:rPr>
          <w:lang w:val="fr-BE"/>
        </w:rPr>
        <w:t>paragraph</w:t>
      </w:r>
      <w:r w:rsidRPr="00E575EC">
        <w:rPr>
          <w:lang w:val="fr-BE"/>
        </w:rPr>
        <w:t xml:space="preserve"> 1 – point 1</w:t>
      </w:r>
    </w:p>
    <w:p w:rsidR="004C5733" w:rsidRPr="00E575EC" w:rsidP="004C5733" w14:paraId="25222A49" w14:textId="77777777">
      <w:pPr>
        <w:keepNext/>
        <w:rPr>
          <w:lang w:val="fr-BE"/>
        </w:rPr>
      </w:pPr>
      <w:r w:rsidRPr="00E575EC">
        <w:rPr>
          <w:lang w:val="fr-BE"/>
        </w:rPr>
        <w:t>Directive 2003/87/EC</w:t>
      </w:r>
    </w:p>
    <w:p w:rsidR="004C5733" w:rsidRPr="00E575EC" w:rsidP="004C5733" w14:paraId="2ABCFA27" w14:textId="77777777">
      <w:pPr>
        <w:rPr>
          <w:lang w:val="fr-BE"/>
        </w:rPr>
      </w:pPr>
      <w:r w:rsidRPr="00E575EC">
        <w:rPr>
          <w:lang w:val="fr-BE"/>
        </w:rPr>
        <w:t xml:space="preserve">Article 10a – </w:t>
      </w:r>
      <w:r w:rsidRPr="00E575EC">
        <w:rPr>
          <w:lang w:val="fr-BE"/>
        </w:rPr>
        <w:t>paragraph</w:t>
      </w:r>
      <w:r w:rsidRPr="00E575EC">
        <w:rPr>
          <w:lang w:val="fr-BE"/>
        </w:rPr>
        <w:t xml:space="preserve"> 2a – </w:t>
      </w:r>
      <w:r w:rsidRPr="00E575EC">
        <w:rPr>
          <w:lang w:val="fr-BE"/>
        </w:rPr>
        <w:t>subparagraph</w:t>
      </w:r>
      <w:r w:rsidRPr="00E575EC">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4E30A9AD" w14:textId="77777777" w:rsidTr="00C9076A">
        <w:tblPrEx>
          <w:tblW w:w="0" w:type="auto"/>
          <w:jc w:val="center"/>
          <w:tblLayout w:type="fixed"/>
          <w:tblCellMar>
            <w:left w:w="340" w:type="dxa"/>
            <w:right w:w="340" w:type="dxa"/>
          </w:tblCellMar>
          <w:tblLook w:val="04A0"/>
        </w:tblPrEx>
        <w:trPr>
          <w:jc w:val="center"/>
        </w:trPr>
        <w:tc>
          <w:tcPr>
            <w:tcW w:w="9752" w:type="dxa"/>
            <w:gridSpan w:val="2"/>
          </w:tcPr>
          <w:p w:rsidR="004C5733" w:rsidRPr="00E575EC" w:rsidP="00C9076A" w14:paraId="2ED57685" w14:textId="77777777">
            <w:pPr>
              <w:keepNext/>
              <w:rPr>
                <w:lang w:val="fr-BE"/>
              </w:rPr>
            </w:pPr>
          </w:p>
        </w:tc>
      </w:tr>
      <w:tr w14:paraId="4CEA73E9" w14:textId="77777777" w:rsidTr="00C9076A">
        <w:tblPrEx>
          <w:tblW w:w="0" w:type="auto"/>
          <w:jc w:val="center"/>
          <w:tblLayout w:type="fixed"/>
          <w:tblCellMar>
            <w:left w:w="340" w:type="dxa"/>
            <w:right w:w="340" w:type="dxa"/>
          </w:tblCellMar>
          <w:tblLook w:val="04A0"/>
        </w:tblPrEx>
        <w:trPr>
          <w:jc w:val="center"/>
        </w:trPr>
        <w:tc>
          <w:tcPr>
            <w:tcW w:w="4876" w:type="dxa"/>
            <w:hideMark/>
          </w:tcPr>
          <w:p w:rsidR="004C5733" w:rsidRPr="002310ED" w:rsidP="00C9076A" w14:paraId="3BEA3820" w14:textId="77777777">
            <w:pPr>
              <w:pStyle w:val="ColumnHeading"/>
              <w:keepNext/>
              <w:rPr>
                <w:lang w:val="en-GB"/>
              </w:rPr>
            </w:pPr>
            <w:r w:rsidRPr="002310ED">
              <w:rPr>
                <w:lang w:val="en-GB"/>
              </w:rPr>
              <w:t>Text proposed by the Commission</w:t>
            </w:r>
          </w:p>
        </w:tc>
        <w:tc>
          <w:tcPr>
            <w:tcW w:w="4876" w:type="dxa"/>
            <w:hideMark/>
          </w:tcPr>
          <w:p w:rsidR="004C5733" w:rsidRPr="002310ED" w:rsidP="00C9076A" w14:paraId="2377FB25" w14:textId="77777777">
            <w:pPr>
              <w:pStyle w:val="ColumnHeading"/>
              <w:keepNext/>
              <w:rPr>
                <w:lang w:val="en-GB"/>
              </w:rPr>
            </w:pPr>
            <w:r w:rsidRPr="002310ED">
              <w:rPr>
                <w:lang w:val="en-GB"/>
              </w:rPr>
              <w:t>Amendment</w:t>
            </w:r>
          </w:p>
        </w:tc>
      </w:tr>
      <w:tr w14:paraId="212B096A" w14:textId="77777777" w:rsidTr="00C9076A">
        <w:tblPrEx>
          <w:tblW w:w="0" w:type="auto"/>
          <w:jc w:val="center"/>
          <w:tblLayout w:type="fixed"/>
          <w:tblCellMar>
            <w:left w:w="340" w:type="dxa"/>
            <w:right w:w="340" w:type="dxa"/>
          </w:tblCellMar>
          <w:tblLook w:val="04A0"/>
        </w:tblPrEx>
        <w:trPr>
          <w:jc w:val="center"/>
        </w:trPr>
        <w:tc>
          <w:tcPr>
            <w:tcW w:w="4876" w:type="dxa"/>
            <w:hideMark/>
          </w:tcPr>
          <w:p w:rsidR="004C5733" w:rsidRPr="002310ED" w:rsidP="00C9076A" w14:paraId="596D97B2" w14:textId="77777777">
            <w:pPr>
              <w:pStyle w:val="Normal6"/>
              <w:rPr>
                <w:lang w:val="en-GB"/>
              </w:rPr>
            </w:pPr>
            <w:r w:rsidRPr="002310ED">
              <w:rPr>
                <w:lang w:val="en-GB"/>
              </w:rPr>
              <w:t>By way of derogation from paragraph 2, third subparagraph, point (d)</w:t>
            </w:r>
            <w:r w:rsidRPr="002310ED">
              <w:rPr>
                <w:b/>
                <w:i/>
                <w:lang w:val="en-GB"/>
              </w:rPr>
              <w:t>, of this Article</w:t>
            </w:r>
            <w:r w:rsidRPr="002310ED">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2310ED">
              <w:rPr>
                <w:b/>
                <w:i/>
                <w:lang w:val="en-GB"/>
              </w:rPr>
              <w:t>Article 10a(5a)</w:t>
            </w:r>
            <w:r w:rsidRPr="002310ED">
              <w:rPr>
                <w:lang w:val="en-GB"/>
              </w:rPr>
              <w:t xml:space="preserve"> and ensures that no reduction pursuant to </w:t>
            </w:r>
            <w:r w:rsidRPr="002310ED">
              <w:rPr>
                <w:b/>
                <w:i/>
                <w:lang w:val="en-GB"/>
              </w:rPr>
              <w:t>Article 10</w:t>
            </w:r>
            <w:r w:rsidRPr="002310ED">
              <w:rPr>
                <w:b/>
                <w:i/>
                <w:lang w:val="en-GB"/>
              </w:rPr>
              <w:t>a(</w:t>
            </w:r>
            <w:r w:rsidRPr="002310ED">
              <w:rPr>
                <w:b/>
                <w:i/>
                <w:lang w:val="en-GB"/>
              </w:rPr>
              <w:t>5)</w:t>
            </w:r>
            <w:r w:rsidRPr="002310ED">
              <w:rPr>
                <w:lang w:val="en-GB"/>
              </w:rPr>
              <w:t xml:space="preserve"> applies.</w:t>
            </w:r>
          </w:p>
        </w:tc>
        <w:tc>
          <w:tcPr>
            <w:tcW w:w="4876" w:type="dxa"/>
            <w:hideMark/>
          </w:tcPr>
          <w:p w:rsidR="004C5733" w:rsidRPr="002310ED" w:rsidP="00C9076A" w14:paraId="5C6170A3" w14:textId="77777777">
            <w:pPr>
              <w:pStyle w:val="Normal6"/>
              <w:rPr>
                <w:szCs w:val="24"/>
                <w:lang w:val="en-GB"/>
              </w:rPr>
            </w:pPr>
            <w:r w:rsidRPr="002310ED">
              <w:rPr>
                <w:lang w:val="en-GB"/>
              </w:rPr>
              <w:t>By way of derogation from paragraph 2, third subparagraph, point (d), the maximum annual reduction rate to be applied for the update of the benchmark values for heat and fuel benchmarks for the period from 2027 to 2030 shall be reduced</w:t>
            </w:r>
            <w:r w:rsidRPr="002310ED">
              <w:rPr>
                <w:b/>
                <w:i/>
                <w:lang w:val="en-GB"/>
              </w:rPr>
              <w:t>, after considering the sector-specific benchmarks referred to in paragraph 2ba,</w:t>
            </w:r>
            <w:r w:rsidRPr="002310ED">
              <w:rPr>
                <w:lang w:val="en-GB"/>
              </w:rPr>
              <w:t xml:space="preserve"> to a percentage rate value that makes full use of the additional amount referred to in </w:t>
            </w:r>
            <w:r w:rsidRPr="002310ED">
              <w:rPr>
                <w:b/>
                <w:i/>
                <w:lang w:val="en-GB"/>
              </w:rPr>
              <w:t>paragraph 5a, and of the allowances referred to in the sixth subparagraph of paragraph 1,</w:t>
            </w:r>
            <w:r w:rsidRPr="002310ED">
              <w:rPr>
                <w:lang w:val="en-GB"/>
              </w:rPr>
              <w:t xml:space="preserve"> and ensures that no reduction pursuant to </w:t>
            </w:r>
            <w:r w:rsidRPr="002310ED">
              <w:rPr>
                <w:b/>
                <w:i/>
                <w:lang w:val="en-GB"/>
              </w:rPr>
              <w:t>paragraph 5</w:t>
            </w:r>
            <w:r w:rsidRPr="002310ED">
              <w:rPr>
                <w:lang w:val="en-GB"/>
              </w:rPr>
              <w:t xml:space="preserve"> applies.</w:t>
            </w:r>
          </w:p>
        </w:tc>
      </w:tr>
    </w:tbl>
    <w:p w:rsidR="004C5733" w:rsidRPr="002310ED" w:rsidP="004C5733" w14:paraId="0B14E614" w14:textId="77777777">
      <w:pPr>
        <w:rPr>
          <w:szCs w:val="24"/>
        </w:rPr>
      </w:pPr>
    </w:p>
    <w:p w:rsidR="004C5733" w:rsidRPr="002310ED" w:rsidP="004C5733" w14:paraId="3BCB3414" w14:textId="77777777">
      <w:pPr>
        <w:pStyle w:val="AMNumberTabs"/>
        <w:keepNext/>
        <w:rPr>
          <w:lang w:val="en-GB"/>
        </w:rPr>
      </w:pPr>
      <w:r w:rsidRPr="002310ED">
        <w:rPr>
          <w:lang w:val="en-GB"/>
        </w:rPr>
        <w:t>Amendment</w:t>
      </w:r>
      <w:r w:rsidRPr="002310ED">
        <w:rPr>
          <w:lang w:val="en-GB"/>
        </w:rPr>
        <w:tab/>
      </w:r>
      <w:r w:rsidRPr="002310ED">
        <w:rPr>
          <w:lang w:val="en-GB"/>
        </w:rPr>
        <w:tab/>
      </w:r>
      <w:r w:rsidRPr="002310ED">
        <w:rPr>
          <w:color w:val="000000"/>
          <w:lang w:val="en-GB"/>
        </w:rPr>
        <w:t>5</w:t>
      </w:r>
    </w:p>
    <w:p w:rsidR="004C5733" w:rsidRPr="002310ED" w:rsidP="004C5733" w14:paraId="7D99C08C" w14:textId="77777777"/>
    <w:p w:rsidR="004C5733" w:rsidRPr="002310ED" w:rsidP="004C5733" w14:paraId="0E7CC089" w14:textId="77777777">
      <w:pPr>
        <w:pStyle w:val="NormalBold"/>
        <w:keepNext/>
      </w:pPr>
      <w:r w:rsidRPr="002310ED">
        <w:t>Proposal for a regulation</w:t>
      </w:r>
    </w:p>
    <w:p w:rsidR="004C5733" w:rsidRPr="002310ED" w:rsidP="004C5733" w14:paraId="62F2FD0B" w14:textId="77777777">
      <w:pPr>
        <w:pStyle w:val="NormalBold"/>
      </w:pPr>
      <w:r w:rsidRPr="002310ED">
        <w:t>Article 1 – paragraph 1 – point 1</w:t>
      </w:r>
    </w:p>
    <w:p w:rsidR="004C5733" w:rsidRPr="002310ED" w:rsidP="004C5733" w14:paraId="1EE26E75" w14:textId="77777777">
      <w:pPr>
        <w:keepNext/>
      </w:pPr>
      <w:r w:rsidRPr="002310ED">
        <w:t>Directive 2003/87/EC</w:t>
      </w:r>
    </w:p>
    <w:p w:rsidR="004C5733" w:rsidRPr="002310ED" w:rsidP="004C5733" w14:paraId="6FB441B6" w14:textId="77777777">
      <w:r w:rsidRPr="002310ED">
        <w:t>Article 10a – paragraph 2b a (new)</w:t>
      </w:r>
    </w:p>
    <w:tbl>
      <w:tblPr>
        <w:tblW w:w="0" w:type="auto"/>
        <w:jc w:val="center"/>
        <w:tblLayout w:type="fixed"/>
        <w:tblCellMar>
          <w:left w:w="340" w:type="dxa"/>
          <w:right w:w="340" w:type="dxa"/>
        </w:tblCellMar>
        <w:tblLook w:val="04A0"/>
      </w:tblPr>
      <w:tblGrid>
        <w:gridCol w:w="4876"/>
        <w:gridCol w:w="4876"/>
      </w:tblGrid>
      <w:tr w14:paraId="3A3DF6FD" w14:textId="77777777" w:rsidTr="00C9076A">
        <w:tblPrEx>
          <w:tblW w:w="0" w:type="auto"/>
          <w:jc w:val="center"/>
          <w:tblLayout w:type="fixed"/>
          <w:tblCellMar>
            <w:left w:w="340" w:type="dxa"/>
            <w:right w:w="340" w:type="dxa"/>
          </w:tblCellMar>
          <w:tblLook w:val="04A0"/>
        </w:tblPrEx>
        <w:trPr>
          <w:jc w:val="center"/>
        </w:trPr>
        <w:tc>
          <w:tcPr>
            <w:tcW w:w="9752" w:type="dxa"/>
            <w:gridSpan w:val="2"/>
          </w:tcPr>
          <w:p w:rsidR="004C5733" w:rsidRPr="002310ED" w:rsidP="00C9076A" w14:paraId="7149E0B2" w14:textId="77777777">
            <w:pPr>
              <w:keepNext/>
            </w:pPr>
          </w:p>
        </w:tc>
      </w:tr>
      <w:tr w14:paraId="21A5DAC5" w14:textId="77777777" w:rsidTr="00C9076A">
        <w:tblPrEx>
          <w:tblW w:w="0" w:type="auto"/>
          <w:jc w:val="center"/>
          <w:tblLayout w:type="fixed"/>
          <w:tblCellMar>
            <w:left w:w="340" w:type="dxa"/>
            <w:right w:w="340" w:type="dxa"/>
          </w:tblCellMar>
          <w:tblLook w:val="04A0"/>
        </w:tblPrEx>
        <w:trPr>
          <w:jc w:val="center"/>
        </w:trPr>
        <w:tc>
          <w:tcPr>
            <w:tcW w:w="4876" w:type="dxa"/>
            <w:hideMark/>
          </w:tcPr>
          <w:p w:rsidR="004C5733" w:rsidRPr="002310ED" w:rsidP="00C9076A" w14:paraId="76391828" w14:textId="77777777">
            <w:pPr>
              <w:pStyle w:val="ColumnHeading"/>
              <w:keepNext/>
              <w:rPr>
                <w:lang w:val="en-GB"/>
              </w:rPr>
            </w:pPr>
            <w:r w:rsidRPr="002310ED">
              <w:rPr>
                <w:lang w:val="en-GB"/>
              </w:rPr>
              <w:t>Text proposed by the Commission</w:t>
            </w:r>
          </w:p>
        </w:tc>
        <w:tc>
          <w:tcPr>
            <w:tcW w:w="4876" w:type="dxa"/>
            <w:hideMark/>
          </w:tcPr>
          <w:p w:rsidR="004C5733" w:rsidRPr="002310ED" w:rsidP="00C9076A" w14:paraId="0760A4FB" w14:textId="77777777">
            <w:pPr>
              <w:pStyle w:val="ColumnHeading"/>
              <w:keepNext/>
              <w:rPr>
                <w:lang w:val="en-GB"/>
              </w:rPr>
            </w:pPr>
            <w:r w:rsidRPr="002310ED">
              <w:rPr>
                <w:lang w:val="en-GB"/>
              </w:rPr>
              <w:t>Amendment</w:t>
            </w:r>
          </w:p>
        </w:tc>
      </w:tr>
      <w:tr w14:paraId="49006036" w14:textId="77777777" w:rsidTr="00C9076A">
        <w:tblPrEx>
          <w:tblW w:w="0" w:type="auto"/>
          <w:jc w:val="center"/>
          <w:tblLayout w:type="fixed"/>
          <w:tblCellMar>
            <w:left w:w="340" w:type="dxa"/>
            <w:right w:w="340" w:type="dxa"/>
          </w:tblCellMar>
          <w:tblLook w:val="04A0"/>
        </w:tblPrEx>
        <w:trPr>
          <w:jc w:val="center"/>
        </w:trPr>
        <w:tc>
          <w:tcPr>
            <w:tcW w:w="4876" w:type="dxa"/>
          </w:tcPr>
          <w:p w:rsidR="004C5733" w:rsidRPr="002310ED" w:rsidP="00C9076A" w14:paraId="72C68A22" w14:textId="77777777">
            <w:pPr>
              <w:pStyle w:val="Normal6"/>
              <w:rPr>
                <w:lang w:val="en-GB"/>
              </w:rPr>
            </w:pPr>
          </w:p>
        </w:tc>
        <w:tc>
          <w:tcPr>
            <w:tcW w:w="4876" w:type="dxa"/>
            <w:hideMark/>
          </w:tcPr>
          <w:p w:rsidR="004C5733" w:rsidRPr="002310ED" w:rsidP="00C9076A" w14:paraId="45AE40FF" w14:textId="77777777">
            <w:pPr>
              <w:pStyle w:val="Normal6"/>
              <w:rPr>
                <w:szCs w:val="24"/>
                <w:lang w:val="en-GB"/>
              </w:rPr>
            </w:pPr>
            <w:r w:rsidRPr="002310ED">
              <w:rPr>
                <w:b/>
                <w:i/>
                <w:lang w:val="en-GB"/>
              </w:rPr>
              <w:t>2ba.</w:t>
            </w:r>
            <w:r w:rsidRPr="002310ED">
              <w:rPr>
                <w:b/>
                <w:i/>
                <w:lang w:val="en-GB"/>
              </w:rPr>
              <w:tab/>
              <w:t xml:space="preserve">Where the Commission identifies significant and clearly documented discrepancies between the Union-wide ex-ante fuel benchmark and the emission performance of sub-installations within a clearly identifiable industrial sector, it shall establish sector-specific sub-benchmarks under the ex-ante fuel benchmark in accordance with this </w:t>
            </w:r>
            <w:r w:rsidRPr="002310ED">
              <w:rPr>
                <w:b/>
                <w:i/>
                <w:lang w:val="en-GB"/>
              </w:rPr>
              <w:t>paragraph.</w:t>
            </w:r>
          </w:p>
        </w:tc>
      </w:tr>
      <w:tr w14:paraId="4335E890" w14:textId="77777777" w:rsidTr="00C9076A">
        <w:tblPrEx>
          <w:tblW w:w="0" w:type="auto"/>
          <w:jc w:val="center"/>
          <w:tblLayout w:type="fixed"/>
          <w:tblCellMar>
            <w:left w:w="340" w:type="dxa"/>
            <w:right w:w="340" w:type="dxa"/>
          </w:tblCellMar>
          <w:tblLook w:val="04A0"/>
        </w:tblPrEx>
        <w:trPr>
          <w:jc w:val="center"/>
        </w:trPr>
        <w:tc>
          <w:tcPr>
            <w:tcW w:w="4876" w:type="dxa"/>
          </w:tcPr>
          <w:p w:rsidR="004C5733" w:rsidRPr="002310ED" w:rsidP="00C9076A" w14:paraId="2E77CED6" w14:textId="77777777">
            <w:pPr>
              <w:pStyle w:val="Normal6"/>
              <w:rPr>
                <w:lang w:val="en-GB"/>
              </w:rPr>
            </w:pPr>
          </w:p>
        </w:tc>
        <w:tc>
          <w:tcPr>
            <w:tcW w:w="4876" w:type="dxa"/>
            <w:hideMark/>
          </w:tcPr>
          <w:p w:rsidR="004C5733" w:rsidRPr="002310ED" w:rsidP="00C9076A" w14:paraId="4546ABB4" w14:textId="77777777">
            <w:pPr>
              <w:pStyle w:val="Normal6"/>
              <w:rPr>
                <w:szCs w:val="24"/>
                <w:lang w:val="en-GB"/>
              </w:rPr>
            </w:pPr>
            <w:r w:rsidRPr="002310ED">
              <w:rPr>
                <w:b/>
                <w:i/>
                <w:lang w:val="en-GB"/>
              </w:rPr>
              <w:t>For that purpose, no later than … [three months from the publication of this amending Regulation], the Commission shall supplement this Directive by providing, in the delegated acts adopted pursuant to paragraph 1, first subparagraph, the criteria for the identification of significant and clearly documented discrepancies, the sector-specific definitions of sector-specific fuel benchmarks, together with the corresponding system boundaries, and the starting point values for determining the annual reduction rate.</w:t>
            </w:r>
          </w:p>
        </w:tc>
      </w:tr>
      <w:tr w14:paraId="0CA5A499" w14:textId="77777777" w:rsidTr="00C9076A">
        <w:tblPrEx>
          <w:tblW w:w="0" w:type="auto"/>
          <w:jc w:val="center"/>
          <w:tblLayout w:type="fixed"/>
          <w:tblCellMar>
            <w:left w:w="340" w:type="dxa"/>
            <w:right w:w="340" w:type="dxa"/>
          </w:tblCellMar>
          <w:tblLook w:val="04A0"/>
        </w:tblPrEx>
        <w:trPr>
          <w:jc w:val="center"/>
        </w:trPr>
        <w:tc>
          <w:tcPr>
            <w:tcW w:w="4876" w:type="dxa"/>
          </w:tcPr>
          <w:p w:rsidR="004C5733" w:rsidRPr="002310ED" w:rsidP="00C9076A" w14:paraId="0627C3CB" w14:textId="77777777">
            <w:pPr>
              <w:pStyle w:val="Normal6"/>
              <w:rPr>
                <w:lang w:val="en-GB"/>
              </w:rPr>
            </w:pPr>
          </w:p>
        </w:tc>
        <w:tc>
          <w:tcPr>
            <w:tcW w:w="4876" w:type="dxa"/>
            <w:hideMark/>
          </w:tcPr>
          <w:p w:rsidR="004C5733" w:rsidRPr="002310ED" w:rsidP="00C9076A" w14:paraId="3E8EF04E" w14:textId="77777777">
            <w:pPr>
              <w:pStyle w:val="Normal6"/>
              <w:rPr>
                <w:szCs w:val="24"/>
                <w:lang w:val="en-GB"/>
              </w:rPr>
            </w:pPr>
            <w:r w:rsidRPr="002310ED">
              <w:rPr>
                <w:b/>
                <w:i/>
                <w:lang w:val="en-GB"/>
              </w:rPr>
              <w:t xml:space="preserve">By … [six months from the publication of this amending Regulation], the Commission shall determine the corresponding sub-benchmark values by means of implementing acts adopted in accordance with paragraph 2, </w:t>
            </w:r>
            <w:r w:rsidRPr="002310ED">
              <w:rPr>
                <w:b/>
                <w:i/>
                <w:lang w:val="en-GB"/>
              </w:rPr>
              <w:t>third subparagraph,</w:t>
            </w:r>
            <w:r w:rsidRPr="002310ED">
              <w:rPr>
                <w:b/>
                <w:i/>
                <w:lang w:val="en-GB"/>
              </w:rPr>
              <w:t xml:space="preserve"> of this Article. Those implementing acts shall be in accordance with the criteria established by the Commission in accordance with the second subparagraph of this paragraph. Those implementing acts shall be adopted in accordance with the examination procedure referred to in Article 22</w:t>
            </w:r>
            <w:r w:rsidRPr="002310ED">
              <w:rPr>
                <w:b/>
                <w:i/>
                <w:lang w:val="en-GB"/>
              </w:rPr>
              <w:t>a(</w:t>
            </w:r>
            <w:r w:rsidRPr="002310ED">
              <w:rPr>
                <w:b/>
                <w:i/>
                <w:lang w:val="en-GB"/>
              </w:rPr>
              <w:t xml:space="preserve">2). The sub-benchmarks referred to in the first subparagraph of this paragraph shall correspond to the average greenhouse gas emission intensity of the 10 % most efficient installations in the respective sector and shall be calculated using the same reference period, dataset and methodology as those used to determine the ex-ante fuel benchmark pursuant to paragraph 2 of this Article. As a matter of priority, and as soon as possible, the Commission shall establish such sub-benchmarks for installations whose economic activities fall within NACE codes 23.20 and 23.31 set out in Annex I to Regulation (EC) No 1893/2006. The Commission shall carry out open, timely and transparent consultations in sufficient time to allow evidence submitted </w:t>
            </w:r>
            <w:r w:rsidRPr="002310ED">
              <w:rPr>
                <w:b/>
                <w:i/>
                <w:lang w:val="en-GB"/>
              </w:rPr>
              <w:t>by stakeholders to be effectively taken into account.</w:t>
            </w:r>
          </w:p>
        </w:tc>
      </w:tr>
    </w:tbl>
    <w:p w:rsidR="00E365E1" w:rsidRPr="002310ED" w:rsidP="0083690B" w14:paraId="45CBCBE7" w14:textId="56923E69"/>
    <w:sectPr w:rsidSect="000929B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0ED" w14:paraId="7793E1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2310ED" w14:paraId="624C04AB" w14:textId="77777777">
    <w:pPr>
      <w:pStyle w:val="Footer"/>
      <w:tabs>
        <w:tab w:val="clear" w:pos="4513"/>
        <w:tab w:val="clear" w:pos="9026"/>
        <w:tab w:val="right" w:pos="9184"/>
      </w:tabs>
    </w:pPr>
  </w:p>
  <w:p w:rsidR="002310ED" w:rsidP="002310ED" w14:paraId="73052292" w14:textId="7AD42E8F">
    <w:pPr>
      <w:pStyle w:val="Footer"/>
      <w:pBdr>
        <w:top w:val="single" w:sz="2" w:space="1" w:color="000000"/>
      </w:pBdr>
      <w:tabs>
        <w:tab w:val="clear" w:pos="4513"/>
        <w:tab w:val="clear" w:pos="9026"/>
        <w:tab w:val="right" w:pos="9184"/>
      </w:tabs>
    </w:pPr>
    <w:r>
      <w:tab/>
    </w:r>
    <w:r w:rsidRPr="002310ED">
      <w:rPr>
        <w:rStyle w:val="HideTWBExt"/>
      </w:rPr>
      <w:t>&lt;NuPE&gt;</w:t>
    </w:r>
    <w:r>
      <w:t>PE788.374</w:t>
    </w:r>
    <w:r w:rsidRPr="002310ED">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2310ED" w:rsidRPr="002310ED" w:rsidP="002310ED" w14:paraId="79C7914F" w14:textId="4757D3D6">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0ED" w14:paraId="40FF69A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0ED" w14:paraId="29C602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0ED" w14:paraId="2DBEC48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0ED" w14:paraId="02DA7E5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90B"/>
    <w:rsid w:val="00002272"/>
    <w:rsid w:val="00056602"/>
    <w:rsid w:val="00064002"/>
    <w:rsid w:val="000677B9"/>
    <w:rsid w:val="000831BA"/>
    <w:rsid w:val="000929B0"/>
    <w:rsid w:val="000A42CC"/>
    <w:rsid w:val="000E7DD9"/>
    <w:rsid w:val="0010095E"/>
    <w:rsid w:val="00125B37"/>
    <w:rsid w:val="00187494"/>
    <w:rsid w:val="001B0B07"/>
    <w:rsid w:val="001F32AE"/>
    <w:rsid w:val="00210BD1"/>
    <w:rsid w:val="002310E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733"/>
    <w:rsid w:val="004C5D52"/>
    <w:rsid w:val="0050519A"/>
    <w:rsid w:val="005072A1"/>
    <w:rsid w:val="00514517"/>
    <w:rsid w:val="00526A39"/>
    <w:rsid w:val="00545827"/>
    <w:rsid w:val="00560270"/>
    <w:rsid w:val="005C2568"/>
    <w:rsid w:val="005F1B17"/>
    <w:rsid w:val="006037C0"/>
    <w:rsid w:val="006631B6"/>
    <w:rsid w:val="00680577"/>
    <w:rsid w:val="006F74FA"/>
    <w:rsid w:val="007237F3"/>
    <w:rsid w:val="00731ADD"/>
    <w:rsid w:val="00734777"/>
    <w:rsid w:val="00747932"/>
    <w:rsid w:val="00751A4A"/>
    <w:rsid w:val="00756632"/>
    <w:rsid w:val="00762C74"/>
    <w:rsid w:val="00786EC0"/>
    <w:rsid w:val="007D1690"/>
    <w:rsid w:val="007E22AD"/>
    <w:rsid w:val="00817416"/>
    <w:rsid w:val="0083690B"/>
    <w:rsid w:val="00842779"/>
    <w:rsid w:val="00865F67"/>
    <w:rsid w:val="00881A7B"/>
    <w:rsid w:val="008840E5"/>
    <w:rsid w:val="00887B3E"/>
    <w:rsid w:val="008C2AC6"/>
    <w:rsid w:val="00930C23"/>
    <w:rsid w:val="0093193B"/>
    <w:rsid w:val="009509D8"/>
    <w:rsid w:val="00950B64"/>
    <w:rsid w:val="00981893"/>
    <w:rsid w:val="009E1EFB"/>
    <w:rsid w:val="00A1687D"/>
    <w:rsid w:val="00A43E52"/>
    <w:rsid w:val="00A4678D"/>
    <w:rsid w:val="00A746E3"/>
    <w:rsid w:val="00A778C7"/>
    <w:rsid w:val="00AA6FB0"/>
    <w:rsid w:val="00AB441E"/>
    <w:rsid w:val="00AB6293"/>
    <w:rsid w:val="00AE0928"/>
    <w:rsid w:val="00AF3B82"/>
    <w:rsid w:val="00B12E95"/>
    <w:rsid w:val="00B22876"/>
    <w:rsid w:val="00B451FA"/>
    <w:rsid w:val="00B558F0"/>
    <w:rsid w:val="00B77762"/>
    <w:rsid w:val="00BD48FE"/>
    <w:rsid w:val="00BD7BD8"/>
    <w:rsid w:val="00BE6ADC"/>
    <w:rsid w:val="00C05BFE"/>
    <w:rsid w:val="00C23CD4"/>
    <w:rsid w:val="00C61C0C"/>
    <w:rsid w:val="00C9076A"/>
    <w:rsid w:val="00C941CB"/>
    <w:rsid w:val="00CC2357"/>
    <w:rsid w:val="00CF071A"/>
    <w:rsid w:val="00D058B8"/>
    <w:rsid w:val="00D56C11"/>
    <w:rsid w:val="00D834A0"/>
    <w:rsid w:val="00D872DF"/>
    <w:rsid w:val="00D91E21"/>
    <w:rsid w:val="00DA7FCD"/>
    <w:rsid w:val="00E365E1"/>
    <w:rsid w:val="00E575EC"/>
    <w:rsid w:val="00E820A4"/>
    <w:rsid w:val="00EB006A"/>
    <w:rsid w:val="00EB4772"/>
    <w:rsid w:val="00ED169E"/>
    <w:rsid w:val="00ED4235"/>
    <w:rsid w:val="00F04346"/>
    <w:rsid w:val="00F075DC"/>
    <w:rsid w:val="00F149E9"/>
    <w:rsid w:val="00F44B15"/>
    <w:rsid w:val="00F5134D"/>
    <w:rsid w:val="00F74202"/>
    <w:rsid w:val="00F87713"/>
    <w:rsid w:val="00FB4360"/>
    <w:rsid w:val="00FC7959"/>
    <w:rsid w:val="00FD0C70"/>
  </w:rsids>
  <w:docVars>
    <w:docVar w:name="dvdocse" w:val="A10-0276/2026"/>
    <w:docVar w:name="dvlangue" w:val="EN"/>
    <w:docVar w:name="dvnumam" w:val="5"/>
    <w:docVar w:name="dvpe" w:val="796.403"/>
    <w:docVar w:name="dvrapporteur" w:val="Rapporteur: "/>
    <w:docVar w:name="dvstar" w:val="***I"/>
    <w:docVar w:name="dvtitre" w:val="European Parliament legislative resolution of 22 October 2026 on the proposal for a regulation of the European Parliament and of the Council amending Directive 2003/87/EC as regards revised benchmark values for the heat and fuel benchmarks for the period from 2026 to 2030(COM(2026)0619 – C10-0189/2026 – 2026/0211(COD))"/>
    <w:docVar w:name="TA_Comm_A5Nr" w:val="A10-0276/2026"/>
    <w:docVar w:name="TA_Comm_Langue" w:val="EN"/>
    <w:docVar w:name="TA_Comm_NrAM" w:val="001-005"/>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A85DCF2-D1B5-4496-AEAA-30FC631A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C5733"/>
    <w:rPr>
      <w:b/>
    </w:rPr>
  </w:style>
  <w:style w:type="paragraph" w:customStyle="1" w:styleId="NormalHanging12a">
    <w:name w:val="NormalHanging12a"/>
    <w:basedOn w:val="Normal"/>
    <w:rsid w:val="004C5733"/>
    <w:pPr>
      <w:spacing w:after="240"/>
      <w:ind w:left="567" w:hanging="567"/>
    </w:pPr>
  </w:style>
  <w:style w:type="paragraph" w:customStyle="1" w:styleId="EPComma">
    <w:name w:val="EPComma"/>
    <w:basedOn w:val="Normal"/>
    <w:rsid w:val="004C5733"/>
    <w:pPr>
      <w:spacing w:before="480" w:after="240"/>
    </w:pPr>
  </w:style>
  <w:style w:type="character" w:customStyle="1" w:styleId="Normal6Char">
    <w:name w:val="Normal6 Char"/>
    <w:basedOn w:val="DefaultParagraphFont"/>
    <w:link w:val="Normal6"/>
    <w:locked/>
    <w:rsid w:val="004C5733"/>
    <w:rPr>
      <w:sz w:val="24"/>
      <w:lang w:val="fr-FR"/>
    </w:rPr>
  </w:style>
  <w:style w:type="paragraph" w:customStyle="1" w:styleId="Normal6">
    <w:name w:val="Normal6"/>
    <w:basedOn w:val="Normal"/>
    <w:link w:val="Normal6Char"/>
    <w:rsid w:val="004C5733"/>
    <w:pPr>
      <w:spacing w:after="120"/>
    </w:pPr>
    <w:rPr>
      <w:lang w:val="fr-FR"/>
    </w:rPr>
  </w:style>
  <w:style w:type="character" w:customStyle="1" w:styleId="NormalBoldChar">
    <w:name w:val="NormalBold Char"/>
    <w:basedOn w:val="DefaultParagraphFont"/>
    <w:link w:val="NormalBold"/>
    <w:locked/>
    <w:rsid w:val="004C5733"/>
    <w:rPr>
      <w:b/>
      <w:sz w:val="24"/>
    </w:rPr>
  </w:style>
  <w:style w:type="paragraph" w:customStyle="1" w:styleId="ColumnHeading">
    <w:name w:val="ColumnHeading"/>
    <w:basedOn w:val="Normal"/>
    <w:rsid w:val="004C5733"/>
    <w:pPr>
      <w:spacing w:after="240"/>
      <w:jc w:val="center"/>
    </w:pPr>
    <w:rPr>
      <w:i/>
      <w:lang w:val="fr-FR"/>
    </w:rPr>
  </w:style>
  <w:style w:type="paragraph" w:customStyle="1" w:styleId="AMNumberTabs">
    <w:name w:val="AMNumberTabs"/>
    <w:basedOn w:val="Normal"/>
    <w:rsid w:val="004C57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4C5733"/>
    <w:pPr>
      <w:spacing w:before="240"/>
      <w:jc w:val="center"/>
    </w:pPr>
    <w:rPr>
      <w:i/>
      <w:lang w:val="fr-FR"/>
    </w:rPr>
  </w:style>
  <w:style w:type="paragraph" w:styleId="Revision">
    <w:name w:val="Revision"/>
    <w:hidden/>
    <w:uiPriority w:val="99"/>
    <w:semiHidden/>
    <w:rsid w:val="00B451FA"/>
    <w:rPr>
      <w:sz w:val="24"/>
    </w:rPr>
  </w:style>
  <w:style w:type="character" w:styleId="CommentReference">
    <w:name w:val="annotation reference"/>
    <w:basedOn w:val="DefaultParagraphFont"/>
    <w:rsid w:val="00B451FA"/>
    <w:rPr>
      <w:sz w:val="16"/>
      <w:szCs w:val="16"/>
    </w:rPr>
  </w:style>
  <w:style w:type="paragraph" w:styleId="CommentText">
    <w:name w:val="annotation text"/>
    <w:basedOn w:val="Normal"/>
    <w:link w:val="CommentTextChar"/>
    <w:rsid w:val="00B451FA"/>
    <w:rPr>
      <w:sz w:val="20"/>
    </w:rPr>
  </w:style>
  <w:style w:type="character" w:customStyle="1" w:styleId="CommentTextChar">
    <w:name w:val="Comment Text Char"/>
    <w:basedOn w:val="DefaultParagraphFont"/>
    <w:link w:val="CommentText"/>
    <w:rsid w:val="00B451FA"/>
  </w:style>
  <w:style w:type="paragraph" w:styleId="CommentSubject">
    <w:name w:val="annotation subject"/>
    <w:basedOn w:val="CommentText"/>
    <w:next w:val="CommentText"/>
    <w:link w:val="CommentSubjectChar"/>
    <w:rsid w:val="00B451FA"/>
    <w:rPr>
      <w:b/>
      <w:bCs/>
    </w:rPr>
  </w:style>
  <w:style w:type="character" w:customStyle="1" w:styleId="CommentSubjectChar">
    <w:name w:val="Comment Subject Char"/>
    <w:basedOn w:val="CommentTextChar"/>
    <w:link w:val="CommentSubject"/>
    <w:rsid w:val="00B451FA"/>
    <w:rPr>
      <w:b/>
      <w:bCs/>
    </w:rPr>
  </w:style>
  <w:style w:type="paragraph" w:styleId="Footer">
    <w:name w:val="footer"/>
    <w:basedOn w:val="Normal"/>
    <w:link w:val="FooterChar"/>
    <w:rsid w:val="002310ED"/>
    <w:pPr>
      <w:tabs>
        <w:tab w:val="center" w:pos="4513"/>
        <w:tab w:val="right" w:pos="9026"/>
      </w:tabs>
    </w:pPr>
  </w:style>
  <w:style w:type="character" w:customStyle="1" w:styleId="FooterChar">
    <w:name w:val="Footer Char"/>
    <w:basedOn w:val="DefaultParagraphFont"/>
    <w:link w:val="Footer"/>
    <w:rsid w:val="002310ED"/>
    <w:rPr>
      <w:sz w:val="24"/>
    </w:rPr>
  </w:style>
  <w:style w:type="paragraph" w:styleId="Header">
    <w:name w:val="header"/>
    <w:basedOn w:val="Normal"/>
    <w:link w:val="HeaderChar"/>
    <w:rsid w:val="002310ED"/>
    <w:pPr>
      <w:tabs>
        <w:tab w:val="center" w:pos="4513"/>
        <w:tab w:val="right" w:pos="9026"/>
      </w:tabs>
    </w:pPr>
  </w:style>
  <w:style w:type="character" w:customStyle="1" w:styleId="HeaderChar">
    <w:name w:val="Header Char"/>
    <w:basedOn w:val="DefaultParagraphFont"/>
    <w:link w:val="Header"/>
    <w:rsid w:val="002310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1706</Words>
  <Characters>9572</Characters>
  <Application>Microsoft Office Word</Application>
  <DocSecurity>0</DocSecurity>
  <Lines>354</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2026-10-20T13:53:00Z</dcterms:created>
  <dcterms:modified xsi:type="dcterms:W3CDTF">2026-10-20T13:53:00Z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A10-0276/2026</vt:lpwstr>
  </property>
  <property fmtid="{D5CDD505-2E9C-101B-9397-08002B2CF9AE}" pid="4" name="&lt;Type&gt;">
    <vt:lpwstr>RR</vt:lpwstr>
  </property>
</Properties>
</file>