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mDateTab"/>
      </w:pPr>
      <w:r w:rsidR="00A77B3E">
        <w:rPr>
          <w:rStyle w:val="HideTWBExt"/>
        </w:rPr>
        <w:t>&lt;</w:t>
      </w:r>
      <w:r w:rsidR="00A77B3E">
        <w:rPr>
          <w:rStyle w:val="HideTWBExt"/>
        </w:rPr>
        <w:t>RepeatBlock-Amend</w:t>
      </w:r>
      <w:r w:rsidR="00A77B3E">
        <w:rPr>
          <w:rStyle w:val="HideTWBExt"/>
        </w:rPr>
        <w:t>&gt;</w:t>
      </w:r>
      <w:r>
        <w:rPr>
          <w:rStyle w:val="HideTWBExt"/>
        </w:rPr>
        <w:t>&lt;</w:t>
      </w:r>
      <w:r>
        <w:rPr>
          <w:rStyle w:val="HideTWBExt"/>
        </w:rPr>
        <w:t>Amend</w:t>
      </w:r>
      <w:r>
        <w:rPr>
          <w:rStyle w:val="HideTWBExt"/>
        </w:rPr>
        <w:t>&gt;</w:t>
      </w:r>
      <w:r>
        <w:rPr>
          <w:rStyle w:val="HideTWBExt"/>
        </w:rPr>
        <w:t>&lt;</w:t>
      </w:r>
      <w:r>
        <w:rPr>
          <w:rStyle w:val="HideTWBExt"/>
        </w:rPr>
        <w:t>Date</w:t>
      </w:r>
      <w:r>
        <w:rPr>
          <w:rStyle w:val="HideTWBExt"/>
        </w:rPr>
        <w:t>&gt;</w:t>
      </w:r>
      <w:r>
        <w:rPr>
          <w:rStyle w:val="HideTWBInt"/>
        </w:rPr>
        <w:t>{</w:t>
      </w:r>
      <w:r>
        <w:rPr>
          <w:rStyle w:val="HideTWBInt"/>
        </w:rPr>
        <w:t>22/04/2021</w:t>
      </w:r>
      <w:r>
        <w:rPr>
          <w:rStyle w:val="HideTWBInt"/>
        </w:rPr>
        <w:t>}</w:t>
      </w:r>
      <w:r>
        <w:t>22.4.2021</w:t>
      </w:r>
      <w:r>
        <w:rPr>
          <w:rStyle w:val="HideTWBExt"/>
        </w:rPr>
        <w:t>&lt;/</w:t>
      </w:r>
      <w:r>
        <w:rPr>
          <w:rStyle w:val="HideTWBExt"/>
        </w:rPr>
        <w:t>Date</w:t>
      </w:r>
      <w:r>
        <w:rPr>
          <w:rStyle w:val="HideTWBExt"/>
        </w:rPr>
        <w:t>&gt;</w:t>
      </w:r>
      <w:r>
        <w:tab/>
      </w:r>
      <w:r>
        <w:rPr>
          <w:rStyle w:val="HideTWBExt"/>
        </w:rPr>
        <w:t>&lt;</w:t>
      </w:r>
      <w:r>
        <w:rPr>
          <w:rStyle w:val="HideTWBExt"/>
        </w:rPr>
        <w:t>ANo</w:t>
      </w:r>
      <w:r>
        <w:rPr>
          <w:rStyle w:val="HideTWBExt"/>
        </w:rPr>
        <w:t>&gt;</w:t>
      </w:r>
      <w:r>
        <w:t>A9-0117</w:t>
      </w:r>
      <w:r>
        <w:rPr>
          <w:rStyle w:val="HideTWBExt"/>
        </w:rPr>
        <w:t>&lt;/</w:t>
      </w:r>
      <w:r>
        <w:rPr>
          <w:rStyle w:val="HideTWBExt"/>
        </w:rPr>
        <w:t>ANo</w:t>
      </w:r>
      <w:r>
        <w:rPr>
          <w:rStyle w:val="HideTWBExt"/>
        </w:rPr>
        <w:t>&gt;</w:t>
      </w:r>
      <w:r>
        <w:t>/</w:t>
      </w:r>
      <w:r>
        <w:rPr>
          <w:rStyle w:val="HideTWBExt"/>
        </w:rPr>
        <w:t>&lt;</w:t>
      </w:r>
      <w:r>
        <w:rPr>
          <w:rStyle w:val="HideTWBExt"/>
        </w:rPr>
        <w:t>NumAm</w:t>
      </w:r>
      <w:r>
        <w:rPr>
          <w:rStyle w:val="HideTWBExt"/>
        </w:rPr>
        <w:t>&gt;</w:t>
      </w:r>
      <w:r>
        <w:t>50</w:t>
      </w:r>
      <w:r>
        <w:rPr>
          <w:rStyle w:val="HideTWBExt"/>
        </w:rPr>
        <w:t>&lt;/</w:t>
      </w:r>
      <w:r>
        <w:rPr>
          <w:rStyle w:val="HideTWBExt"/>
        </w:rPr>
        <w:t>NumAm</w:t>
      </w:r>
      <w:r>
        <w:rPr>
          <w:rStyle w:val="HideTWBExt"/>
        </w:rPr>
        <w:t>&gt;</w:t>
      </w:r>
    </w:p>
    <w:p>
      <w:pPr>
        <w:pStyle w:val="AmNumberTabs"/>
      </w:pPr>
      <w:r>
        <w:t>Amendment</w:t>
      </w:r>
      <w:r>
        <w:tab/>
      </w:r>
      <w:r>
        <w:tab/>
      </w:r>
      <w:r>
        <w:rPr>
          <w:rStyle w:val="HideTWBExt"/>
        </w:rPr>
        <w:t>&lt;</w:t>
      </w:r>
      <w:r>
        <w:rPr>
          <w:rStyle w:val="HideTWBExt"/>
        </w:rPr>
        <w:t>NumAm</w:t>
      </w:r>
      <w:r>
        <w:rPr>
          <w:rStyle w:val="HideTWBExt"/>
        </w:rPr>
        <w:t>&gt;</w:t>
      </w:r>
      <w:r>
        <w:t>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Luke Ming Flanagan</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 xml:space="preserve">on behalf of the </w:t>
      </w:r>
      <w:r>
        <w:t>The Left</w:t>
      </w:r>
      <w:r>
        <w:t xml:space="preserve"> Group</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r>
      <w:r>
        <w:t>A9-0117/2021</w:t>
      </w:r>
    </w:p>
    <w:p>
      <w:pPr>
        <w:pStyle w:val="NormalBold"/>
      </w:pPr>
      <w:r>
        <w:rPr>
          <w:rStyle w:val="HideTWBExt"/>
        </w:rPr>
        <w:t>&lt;</w:t>
      </w:r>
      <w:r>
        <w:rPr>
          <w:rStyle w:val="HideTWBExt"/>
        </w:rPr>
        <w:t>Rapporteur</w:t>
      </w:r>
      <w:r>
        <w:rPr>
          <w:rStyle w:val="HideTWBExt"/>
        </w:rPr>
        <w:t>&gt;</w:t>
      </w:r>
      <w:r>
        <w:t>Joachim Kuhs</w:t>
      </w:r>
      <w:r>
        <w:rPr>
          <w:rStyle w:val="HideTWBExt"/>
        </w:rPr>
        <w:t>&lt;/</w:t>
      </w:r>
      <w:r>
        <w:rPr>
          <w:rStyle w:val="HideTWBExt"/>
        </w:rPr>
        <w:t>Rapporteur</w:t>
      </w:r>
      <w:r>
        <w:rPr>
          <w:rStyle w:val="HideTWBExt"/>
        </w:rPr>
        <w:t>&gt;</w:t>
      </w:r>
    </w:p>
    <w:p>
      <w:r>
        <w:rPr>
          <w:rStyle w:val="HideTWBExt"/>
        </w:rPr>
        <w:t>&lt;</w:t>
      </w:r>
      <w:r>
        <w:rPr>
          <w:rStyle w:val="HideTWBExt"/>
        </w:rPr>
        <w:t>Titre</w:t>
      </w:r>
      <w:r>
        <w:rPr>
          <w:rStyle w:val="HideTWBExt"/>
        </w:rPr>
        <w:t>&gt;</w:t>
      </w:r>
      <w:r>
        <w:t>2019 Discharge: EU general budget - Commission and executive agencies</w:t>
      </w:r>
      <w:r>
        <w:rPr>
          <w:rStyle w:val="HideTWBExt"/>
        </w:rPr>
        <w:t>&lt;/</w:t>
      </w:r>
      <w:r>
        <w:rPr>
          <w:rStyle w:val="HideTWBExt"/>
        </w:rPr>
        <w:t>Titre</w:t>
      </w:r>
      <w:r>
        <w:rPr>
          <w:rStyle w:val="HideTWBExt"/>
        </w:rPr>
        <w:t>&gt;</w:t>
      </w:r>
    </w:p>
    <w:p>
      <w:pPr>
        <w:pStyle w:val="Normal12a"/>
      </w:pPr>
      <w:r>
        <w:rPr>
          <w:rStyle w:val="HideTWBExt"/>
        </w:rPr>
        <w:t>&lt;</w:t>
      </w:r>
      <w:r>
        <w:rPr>
          <w:rStyle w:val="HideTWBExt"/>
        </w:rPr>
        <w:t>DocRef</w:t>
      </w:r>
      <w:r>
        <w:rPr>
          <w:rStyle w:val="HideTWBExt"/>
        </w:rPr>
        <w:t>&gt;</w:t>
      </w:r>
      <w:r>
        <w:t>2020/2140(DEC)</w:t>
      </w:r>
      <w:r>
        <w:rPr>
          <w:rStyle w:val="HideTWBExt"/>
        </w:rPr>
        <w:t>&lt;/</w:t>
      </w:r>
      <w:r>
        <w:rPr>
          <w:rStyle w:val="HideTWBExt"/>
        </w:rPr>
        <w:t>DocRef</w:t>
      </w:r>
      <w:r>
        <w:rPr>
          <w:rStyle w:val="HideTWBExt"/>
        </w:rPr>
        <w:t>&gt;</w:t>
      </w:r>
    </w:p>
    <w:p>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Paragraph 23 a (new)</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Motion for a resolution</w:t>
            </w:r>
          </w:p>
        </w:tc>
        <w:tc>
          <w:tcPr>
            <w:tcW w:w="4876" w:type="dxa"/>
            <w:vAlign w:val="top"/>
          </w:tcPr>
          <w:p>
            <w:pPr>
              <w:pStyle w:val="AmColumnHeading"/>
            </w:pPr>
            <w:r>
              <w:t>Amendment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Fonts w:ascii="Times New Roman" w:eastAsia="Times New Roman" w:hAnsi="Times New Roman" w:cs="Times New Roman"/>
                <w:b/>
                <w:i/>
                <w:strike w:val="0"/>
                <w:color w:val="auto"/>
                <w:sz w:val="24"/>
                <w:highlight w:val="none"/>
                <w:u w:val="none" w:color="auto"/>
                <w:vertAlign w:val="baseline"/>
              </w:rPr>
              <w:t>23 a.</w:t>
            </w:r>
            <w:r>
              <w:tab/>
            </w:r>
            <w:r>
              <w:rPr>
                <w:rFonts w:ascii="Times New Roman" w:eastAsia="Times New Roman" w:hAnsi="Times New Roman" w:cs="Times New Roman"/>
                <w:b/>
                <w:i/>
                <w:strike w:val="0"/>
                <w:color w:val="auto"/>
                <w:sz w:val="24"/>
                <w:highlight w:val="none"/>
                <w:u w:val="none" w:color="auto"/>
                <w:vertAlign w:val="baseline"/>
              </w:rPr>
              <w:t>Is particularly worried about Petition number 0655-2020 calling on Parliament to investigate a possible misuse and mismanagement of Union funds by the European Commission through the EUTFA’s "Support to Integrated border and migration management in Libya" programme; request a serious investigation into the possible illegal use of European development funds for non-development objectives such as border control;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OrLang"/>
        <w:sectPr>
          <w:footerReference w:type="default" r:id="rId4"/>
          <w:pgSz w:w="11906" w:h="16838"/>
          <w:pgMar w:top="1134" w:right="1417" w:bottom="1417" w:left="1417" w:header="1134" w:footer="567" w:gutter="0"/>
          <w:cols w:num="1" w:space="708"/>
          <w:titlePg w:val="0"/>
          <w:docGrid w:linePitch="360"/>
        </w:sectPr>
      </w:pPr>
      <w:r>
        <w:rPr>
          <w:rStyle w:val="HideTWBExt"/>
        </w:rPr>
        <w:t>&lt;/</w:t>
      </w:r>
      <w:r>
        <w:rPr>
          <w:rStyle w:val="HideTWBExt"/>
        </w:rPr>
        <w:t>Amend</w:t>
      </w:r>
      <w:r>
        <w:rPr>
          <w:rStyle w:val="HideTWBExt"/>
        </w:rPr>
        <w:t>&gt;</w:t>
      </w:r>
    </w:p>
    <w:p>
      <w:pPr>
        <w:pStyle w:val="AmDateTab"/>
      </w:pPr>
      <w:r>
        <w:rPr>
          <w:rStyle w:val="HideTWBExt"/>
        </w:rPr>
        <w:t>&lt;</w:t>
      </w:r>
      <w:r>
        <w:rPr>
          <w:rStyle w:val="HideTWBExt"/>
        </w:rPr>
        <w:t>Amend</w:t>
      </w:r>
      <w:r>
        <w:rPr>
          <w:rStyle w:val="HideTWBExt"/>
        </w:rPr>
        <w:t>&gt;</w:t>
      </w:r>
      <w:r>
        <w:rPr>
          <w:rStyle w:val="HideTWBExt"/>
        </w:rPr>
        <w:t>&lt;</w:t>
      </w:r>
      <w:r>
        <w:rPr>
          <w:rStyle w:val="HideTWBExt"/>
        </w:rPr>
        <w:t>Date</w:t>
      </w:r>
      <w:r>
        <w:rPr>
          <w:rStyle w:val="HideTWBExt"/>
        </w:rPr>
        <w:t>&gt;</w:t>
      </w:r>
      <w:r>
        <w:rPr>
          <w:rStyle w:val="HideTWBInt"/>
        </w:rPr>
        <w:t>{</w:t>
      </w:r>
      <w:r>
        <w:rPr>
          <w:rStyle w:val="HideTWBInt"/>
        </w:rPr>
        <w:t>22/04/2021</w:t>
      </w:r>
      <w:r>
        <w:rPr>
          <w:rStyle w:val="HideTWBInt"/>
        </w:rPr>
        <w:t>}</w:t>
      </w:r>
      <w:r>
        <w:t>22.4.2021</w:t>
      </w:r>
      <w:r>
        <w:rPr>
          <w:rStyle w:val="HideTWBExt"/>
        </w:rPr>
        <w:t>&lt;/</w:t>
      </w:r>
      <w:r>
        <w:rPr>
          <w:rStyle w:val="HideTWBExt"/>
        </w:rPr>
        <w:t>Date</w:t>
      </w:r>
      <w:r>
        <w:rPr>
          <w:rStyle w:val="HideTWBExt"/>
        </w:rPr>
        <w:t>&gt;</w:t>
      </w:r>
      <w:r>
        <w:tab/>
      </w:r>
      <w:r>
        <w:rPr>
          <w:rStyle w:val="HideTWBExt"/>
        </w:rPr>
        <w:t>&lt;</w:t>
      </w:r>
      <w:r>
        <w:rPr>
          <w:rStyle w:val="HideTWBExt"/>
        </w:rPr>
        <w:t>ANo</w:t>
      </w:r>
      <w:r>
        <w:rPr>
          <w:rStyle w:val="HideTWBExt"/>
        </w:rPr>
        <w:t>&gt;</w:t>
      </w:r>
      <w:r>
        <w:t>A9-0117</w:t>
      </w:r>
      <w:r>
        <w:rPr>
          <w:rStyle w:val="HideTWBExt"/>
        </w:rPr>
        <w:t>&lt;/</w:t>
      </w:r>
      <w:r>
        <w:rPr>
          <w:rStyle w:val="HideTWBExt"/>
        </w:rPr>
        <w:t>ANo</w:t>
      </w:r>
      <w:r>
        <w:rPr>
          <w:rStyle w:val="HideTWBExt"/>
        </w:rPr>
        <w:t>&gt;</w:t>
      </w:r>
      <w:r>
        <w:t>/</w:t>
      </w:r>
      <w:r>
        <w:rPr>
          <w:rStyle w:val="HideTWBExt"/>
        </w:rPr>
        <w:t>&lt;</w:t>
      </w:r>
      <w:r>
        <w:rPr>
          <w:rStyle w:val="HideTWBExt"/>
        </w:rPr>
        <w:t>NumAm</w:t>
      </w:r>
      <w:r>
        <w:rPr>
          <w:rStyle w:val="HideTWBExt"/>
        </w:rPr>
        <w:t>&gt;</w:t>
      </w:r>
      <w:r>
        <w:t>51</w:t>
      </w:r>
      <w:r>
        <w:rPr>
          <w:rStyle w:val="HideTWBExt"/>
        </w:rPr>
        <w:t>&lt;/</w:t>
      </w:r>
      <w:r>
        <w:rPr>
          <w:rStyle w:val="HideTWBExt"/>
        </w:rPr>
        <w:t>NumAm</w:t>
      </w:r>
      <w:r>
        <w:rPr>
          <w:rStyle w:val="HideTWBExt"/>
        </w:rPr>
        <w:t>&gt;</w:t>
      </w:r>
    </w:p>
    <w:p>
      <w:pPr>
        <w:pStyle w:val="AmNumberTabs"/>
      </w:pPr>
      <w:r>
        <w:t>Amendment</w:t>
      </w:r>
      <w:r>
        <w:tab/>
      </w:r>
      <w:r>
        <w:tab/>
      </w:r>
      <w:r>
        <w:rPr>
          <w:rStyle w:val="HideTWBExt"/>
        </w:rPr>
        <w:t>&lt;</w:t>
      </w:r>
      <w:r>
        <w:rPr>
          <w:rStyle w:val="HideTWBExt"/>
        </w:rPr>
        <w:t>NumAm</w:t>
      </w:r>
      <w:r>
        <w:rPr>
          <w:rStyle w:val="HideTWBExt"/>
        </w:rPr>
        <w:t>&gt;</w:t>
      </w:r>
      <w:r>
        <w:t>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Luke Ming Flanagan</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 xml:space="preserve">on behalf of the </w:t>
      </w:r>
      <w:r>
        <w:t>The Left</w:t>
      </w:r>
      <w:r>
        <w:t xml:space="preserve"> Group</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r>
      <w:r>
        <w:t>A9-0117/2021</w:t>
      </w:r>
    </w:p>
    <w:p>
      <w:pPr>
        <w:pStyle w:val="NormalBold"/>
      </w:pPr>
      <w:r>
        <w:rPr>
          <w:rStyle w:val="HideTWBExt"/>
        </w:rPr>
        <w:t>&lt;</w:t>
      </w:r>
      <w:r>
        <w:rPr>
          <w:rStyle w:val="HideTWBExt"/>
        </w:rPr>
        <w:t>Rapporteur</w:t>
      </w:r>
      <w:r>
        <w:rPr>
          <w:rStyle w:val="HideTWBExt"/>
        </w:rPr>
        <w:t>&gt;</w:t>
      </w:r>
      <w:r>
        <w:t>Joachim Kuhs</w:t>
      </w:r>
      <w:r>
        <w:rPr>
          <w:rStyle w:val="HideTWBExt"/>
        </w:rPr>
        <w:t>&lt;/</w:t>
      </w:r>
      <w:r>
        <w:rPr>
          <w:rStyle w:val="HideTWBExt"/>
        </w:rPr>
        <w:t>Rapporteur</w:t>
      </w:r>
      <w:r>
        <w:rPr>
          <w:rStyle w:val="HideTWBExt"/>
        </w:rPr>
        <w:t>&gt;</w:t>
      </w:r>
    </w:p>
    <w:p>
      <w:r>
        <w:rPr>
          <w:rStyle w:val="HideTWBExt"/>
        </w:rPr>
        <w:t>&lt;</w:t>
      </w:r>
      <w:r>
        <w:rPr>
          <w:rStyle w:val="HideTWBExt"/>
        </w:rPr>
        <w:t>Titre</w:t>
      </w:r>
      <w:r>
        <w:rPr>
          <w:rStyle w:val="HideTWBExt"/>
        </w:rPr>
        <w:t>&gt;</w:t>
      </w:r>
      <w:r>
        <w:t>2019 Discharge: EU general budget - Commission and executive agencies</w:t>
      </w:r>
      <w:r>
        <w:rPr>
          <w:rStyle w:val="HideTWBExt"/>
        </w:rPr>
        <w:t>&lt;/</w:t>
      </w:r>
      <w:r>
        <w:rPr>
          <w:rStyle w:val="HideTWBExt"/>
        </w:rPr>
        <w:t>Titre</w:t>
      </w:r>
      <w:r>
        <w:rPr>
          <w:rStyle w:val="HideTWBExt"/>
        </w:rPr>
        <w:t>&gt;</w:t>
      </w:r>
    </w:p>
    <w:p>
      <w:pPr>
        <w:pStyle w:val="Normal12a"/>
      </w:pPr>
      <w:r>
        <w:rPr>
          <w:rStyle w:val="HideTWBExt"/>
        </w:rPr>
        <w:t>&lt;</w:t>
      </w:r>
      <w:r>
        <w:rPr>
          <w:rStyle w:val="HideTWBExt"/>
        </w:rPr>
        <w:t>DocRef</w:t>
      </w:r>
      <w:r>
        <w:rPr>
          <w:rStyle w:val="HideTWBExt"/>
        </w:rPr>
        <w:t>&gt;</w:t>
      </w:r>
      <w:r>
        <w:t>2020/2140(DEC)</w:t>
      </w:r>
      <w:r>
        <w:rPr>
          <w:rStyle w:val="HideTWBExt"/>
        </w:rPr>
        <w:t>&lt;/</w:t>
      </w:r>
      <w:r>
        <w:rPr>
          <w:rStyle w:val="HideTWBExt"/>
        </w:rPr>
        <w:t>DocRef</w:t>
      </w:r>
      <w:r>
        <w:rPr>
          <w:rStyle w:val="HideTWBExt"/>
        </w:rPr>
        <w:t>&gt;</w:t>
      </w:r>
    </w:p>
    <w:p>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Paragraph 69 a (new)</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Motion for a resolution</w:t>
            </w:r>
          </w:p>
        </w:tc>
        <w:tc>
          <w:tcPr>
            <w:tcW w:w="4876" w:type="dxa"/>
            <w:vAlign w:val="top"/>
          </w:tcPr>
          <w:p>
            <w:pPr>
              <w:pStyle w:val="AmColumnHeading"/>
            </w:pPr>
            <w:r>
              <w:t>Amendment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Fonts w:ascii="Times New Roman" w:eastAsia="Times New Roman" w:hAnsi="Times New Roman" w:cs="Times New Roman"/>
                <w:b/>
                <w:i/>
                <w:strike w:val="0"/>
                <w:color w:val="auto"/>
                <w:sz w:val="24"/>
                <w:highlight w:val="none"/>
                <w:u w:val="none" w:color="auto"/>
                <w:vertAlign w:val="baseline"/>
              </w:rPr>
              <w:t>69 a.</w:t>
            </w:r>
            <w:r>
              <w:tab/>
            </w:r>
            <w:r>
              <w:rPr>
                <w:rFonts w:ascii="Times New Roman" w:eastAsia="Times New Roman" w:hAnsi="Times New Roman" w:cs="Times New Roman"/>
                <w:b/>
                <w:i/>
                <w:strike w:val="0"/>
                <w:color w:val="auto"/>
                <w:sz w:val="24"/>
                <w:highlight w:val="none"/>
                <w:u w:val="none" w:color="auto"/>
                <w:vertAlign w:val="baseline"/>
              </w:rPr>
              <w:t xml:space="preserve"> Regrets that the annual report for 2019 on the FISMs was published after the deadline defined in the relevant Regulation </w:t>
            </w:r>
            <w:r>
              <w:rPr>
                <w:rStyle w:val="SupBoldItalic"/>
              </w:rPr>
              <w:t>1a</w:t>
            </w:r>
            <w:r>
              <w:rPr>
                <w:rFonts w:ascii="Times New Roman" w:eastAsia="Times New Roman" w:hAnsi="Times New Roman" w:cs="Times New Roman"/>
                <w:b/>
                <w:i/>
                <w:strike w:val="0"/>
                <w:color w:val="auto"/>
                <w:sz w:val="24"/>
                <w:highlight w:val="none"/>
                <w:u w:val="none" w:color="auto"/>
                <w:vertAlign w:val="baseline"/>
              </w:rPr>
              <w:t>; shares the view of the Court that the relevance of the Commission’s reporting on FISMs is reduced because its annual report on FISMs is published too late; </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rFonts w:ascii="Times New Roman" w:eastAsia="Times New Roman" w:hAnsi="Times New Roman" w:cs="Times New Roman"/>
                <w:b/>
                <w:i/>
                <w:strike w:val="0"/>
                <w:color w:val="auto"/>
                <w:sz w:val="24"/>
                <w:highlight w:val="none"/>
                <w:u w:val="none" w:color="auto"/>
                <w:vertAlign w:val="baseline"/>
              </w:rPr>
              <w:t xml:space="preserve">Article 46 of Regulation (EU) No 1303/2013 of the European Parliament and of the Council of 17 December 2013 (OJ L 347, 20.12.2013) </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OrLang"/>
        <w:sectPr>
          <w:footerReference w:type="default" r:id="rId5"/>
          <w:type w:val="nextPage"/>
          <w:pgSz w:w="11906" w:h="16838"/>
          <w:pgMar w:top="1134" w:right="1417" w:bottom="1417" w:left="1417" w:header="1134" w:footer="567" w:gutter="0"/>
          <w:cols w:num="1" w:space="708"/>
          <w:titlePg w:val="0"/>
          <w:docGrid w:linePitch="360"/>
        </w:sectPr>
      </w:pPr>
      <w:r>
        <w:rPr>
          <w:rStyle w:val="HideTWBExt"/>
        </w:rPr>
        <w:t>&lt;/</w:t>
      </w:r>
      <w:r>
        <w:rPr>
          <w:rStyle w:val="HideTWBExt"/>
        </w:rPr>
        <w:t>Amend</w:t>
      </w:r>
      <w:r>
        <w:rPr>
          <w:rStyle w:val="HideTWBExt"/>
        </w:rPr>
        <w:t>&gt;</w:t>
      </w:r>
    </w:p>
    <w:p>
      <w:pPr>
        <w:pStyle w:val="AmDateTab"/>
      </w:pPr>
      <w:r>
        <w:rPr>
          <w:rStyle w:val="HideTWBExt"/>
        </w:rPr>
        <w:t>&lt;</w:t>
      </w:r>
      <w:r>
        <w:rPr>
          <w:rStyle w:val="HideTWBExt"/>
        </w:rPr>
        <w:t>Amend</w:t>
      </w:r>
      <w:r>
        <w:rPr>
          <w:rStyle w:val="HideTWBExt"/>
        </w:rPr>
        <w:t>&gt;</w:t>
      </w:r>
      <w:r>
        <w:rPr>
          <w:rStyle w:val="HideTWBExt"/>
        </w:rPr>
        <w:t>&lt;</w:t>
      </w:r>
      <w:r>
        <w:rPr>
          <w:rStyle w:val="HideTWBExt"/>
        </w:rPr>
        <w:t>Date</w:t>
      </w:r>
      <w:r>
        <w:rPr>
          <w:rStyle w:val="HideTWBExt"/>
        </w:rPr>
        <w:t>&gt;</w:t>
      </w:r>
      <w:r>
        <w:rPr>
          <w:rStyle w:val="HideTWBInt"/>
        </w:rPr>
        <w:t>{</w:t>
      </w:r>
      <w:r>
        <w:rPr>
          <w:rStyle w:val="HideTWBInt"/>
        </w:rPr>
        <w:t>22/04/2021</w:t>
      </w:r>
      <w:r>
        <w:rPr>
          <w:rStyle w:val="HideTWBInt"/>
        </w:rPr>
        <w:t>}</w:t>
      </w:r>
      <w:r>
        <w:t>22.4.2021</w:t>
      </w:r>
      <w:r>
        <w:rPr>
          <w:rStyle w:val="HideTWBExt"/>
        </w:rPr>
        <w:t>&lt;/</w:t>
      </w:r>
      <w:r>
        <w:rPr>
          <w:rStyle w:val="HideTWBExt"/>
        </w:rPr>
        <w:t>Date</w:t>
      </w:r>
      <w:r>
        <w:rPr>
          <w:rStyle w:val="HideTWBExt"/>
        </w:rPr>
        <w:t>&gt;</w:t>
      </w:r>
      <w:r>
        <w:tab/>
      </w:r>
      <w:r>
        <w:rPr>
          <w:rStyle w:val="HideTWBExt"/>
        </w:rPr>
        <w:t>&lt;</w:t>
      </w:r>
      <w:r>
        <w:rPr>
          <w:rStyle w:val="HideTWBExt"/>
        </w:rPr>
        <w:t>ANo</w:t>
      </w:r>
      <w:r>
        <w:rPr>
          <w:rStyle w:val="HideTWBExt"/>
        </w:rPr>
        <w:t>&gt;</w:t>
      </w:r>
      <w:r>
        <w:t>A9-0117</w:t>
      </w:r>
      <w:r>
        <w:rPr>
          <w:rStyle w:val="HideTWBExt"/>
        </w:rPr>
        <w:t>&lt;/</w:t>
      </w:r>
      <w:r>
        <w:rPr>
          <w:rStyle w:val="HideTWBExt"/>
        </w:rPr>
        <w:t>ANo</w:t>
      </w:r>
      <w:r>
        <w:rPr>
          <w:rStyle w:val="HideTWBExt"/>
        </w:rPr>
        <w:t>&gt;</w:t>
      </w:r>
      <w:r>
        <w:t>/</w:t>
      </w:r>
      <w:r>
        <w:rPr>
          <w:rStyle w:val="HideTWBExt"/>
        </w:rPr>
        <w:t>&lt;</w:t>
      </w:r>
      <w:r>
        <w:rPr>
          <w:rStyle w:val="HideTWBExt"/>
        </w:rPr>
        <w:t>NumAm</w:t>
      </w:r>
      <w:r>
        <w:rPr>
          <w:rStyle w:val="HideTWBExt"/>
        </w:rPr>
        <w:t>&gt;</w:t>
      </w:r>
      <w:r>
        <w:t>52</w:t>
      </w:r>
      <w:r>
        <w:rPr>
          <w:rStyle w:val="HideTWBExt"/>
        </w:rPr>
        <w:t>&lt;/</w:t>
      </w:r>
      <w:r>
        <w:rPr>
          <w:rStyle w:val="HideTWBExt"/>
        </w:rPr>
        <w:t>NumAm</w:t>
      </w:r>
      <w:r>
        <w:rPr>
          <w:rStyle w:val="HideTWBExt"/>
        </w:rPr>
        <w:t>&gt;</w:t>
      </w:r>
    </w:p>
    <w:p>
      <w:pPr>
        <w:pStyle w:val="AmNumberTabs"/>
      </w:pPr>
      <w:r>
        <w:t>Amendment</w:t>
      </w:r>
      <w:r>
        <w:tab/>
      </w:r>
      <w:r>
        <w:tab/>
      </w:r>
      <w:r>
        <w:rPr>
          <w:rStyle w:val="HideTWBExt"/>
        </w:rPr>
        <w:t>&lt;</w:t>
      </w:r>
      <w:r>
        <w:rPr>
          <w:rStyle w:val="HideTWBExt"/>
        </w:rPr>
        <w:t>NumAm</w:t>
      </w:r>
      <w:r>
        <w:rPr>
          <w:rStyle w:val="HideTWBExt"/>
        </w:rPr>
        <w:t>&gt;</w:t>
      </w:r>
      <w:r>
        <w:t>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Luke Ming Flanagan</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 xml:space="preserve">on behalf of the </w:t>
      </w:r>
      <w:r>
        <w:t>The Left</w:t>
      </w:r>
      <w:r>
        <w:t xml:space="preserve"> Group</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r>
      <w:r>
        <w:t>A9-0117/2021</w:t>
      </w:r>
    </w:p>
    <w:p>
      <w:pPr>
        <w:pStyle w:val="NormalBold"/>
      </w:pPr>
      <w:r>
        <w:rPr>
          <w:rStyle w:val="HideTWBExt"/>
        </w:rPr>
        <w:t>&lt;</w:t>
      </w:r>
      <w:r>
        <w:rPr>
          <w:rStyle w:val="HideTWBExt"/>
        </w:rPr>
        <w:t>Rapporteur</w:t>
      </w:r>
      <w:r>
        <w:rPr>
          <w:rStyle w:val="HideTWBExt"/>
        </w:rPr>
        <w:t>&gt;</w:t>
      </w:r>
      <w:r>
        <w:t>Joachim Kuhs</w:t>
      </w:r>
      <w:r>
        <w:rPr>
          <w:rStyle w:val="HideTWBExt"/>
        </w:rPr>
        <w:t>&lt;/</w:t>
      </w:r>
      <w:r>
        <w:rPr>
          <w:rStyle w:val="HideTWBExt"/>
        </w:rPr>
        <w:t>Rapporteur</w:t>
      </w:r>
      <w:r>
        <w:rPr>
          <w:rStyle w:val="HideTWBExt"/>
        </w:rPr>
        <w:t>&gt;</w:t>
      </w:r>
    </w:p>
    <w:p>
      <w:r>
        <w:rPr>
          <w:rStyle w:val="HideTWBExt"/>
        </w:rPr>
        <w:t>&lt;</w:t>
      </w:r>
      <w:r>
        <w:rPr>
          <w:rStyle w:val="HideTWBExt"/>
        </w:rPr>
        <w:t>Titre</w:t>
      </w:r>
      <w:r>
        <w:rPr>
          <w:rStyle w:val="HideTWBExt"/>
        </w:rPr>
        <w:t>&gt;</w:t>
      </w:r>
      <w:r>
        <w:t>2019 Discharge: EU general budget - Commission and executive agencies</w:t>
      </w:r>
      <w:r>
        <w:rPr>
          <w:rStyle w:val="HideTWBExt"/>
        </w:rPr>
        <w:t>&lt;/</w:t>
      </w:r>
      <w:r>
        <w:rPr>
          <w:rStyle w:val="HideTWBExt"/>
        </w:rPr>
        <w:t>Titre</w:t>
      </w:r>
      <w:r>
        <w:rPr>
          <w:rStyle w:val="HideTWBExt"/>
        </w:rPr>
        <w:t>&gt;</w:t>
      </w:r>
    </w:p>
    <w:p>
      <w:pPr>
        <w:pStyle w:val="Normal12a"/>
      </w:pPr>
      <w:r>
        <w:rPr>
          <w:rStyle w:val="HideTWBExt"/>
        </w:rPr>
        <w:t>&lt;</w:t>
      </w:r>
      <w:r>
        <w:rPr>
          <w:rStyle w:val="HideTWBExt"/>
        </w:rPr>
        <w:t>DocRef</w:t>
      </w:r>
      <w:r>
        <w:rPr>
          <w:rStyle w:val="HideTWBExt"/>
        </w:rPr>
        <w:t>&gt;</w:t>
      </w:r>
      <w:r>
        <w:t>2020/2140(DEC)</w:t>
      </w:r>
      <w:r>
        <w:rPr>
          <w:rStyle w:val="HideTWBExt"/>
        </w:rPr>
        <w:t>&lt;/</w:t>
      </w:r>
      <w:r>
        <w:rPr>
          <w:rStyle w:val="HideTWBExt"/>
        </w:rPr>
        <w:t>DocRef</w:t>
      </w:r>
      <w:r>
        <w:rPr>
          <w:rStyle w:val="HideTWBExt"/>
        </w:rPr>
        <w:t>&gt;</w:t>
      </w:r>
    </w:p>
    <w:p>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Paragraph 105 a (new)</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Motion for a resolution</w:t>
            </w:r>
          </w:p>
        </w:tc>
        <w:tc>
          <w:tcPr>
            <w:tcW w:w="4876" w:type="dxa"/>
            <w:vAlign w:val="top"/>
          </w:tcPr>
          <w:p>
            <w:pPr>
              <w:pStyle w:val="AmColumnHeading"/>
            </w:pPr>
            <w:r>
              <w:t>Amendment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Fonts w:ascii="Times New Roman" w:eastAsia="Times New Roman" w:hAnsi="Times New Roman" w:cs="Times New Roman"/>
                <w:b/>
                <w:i/>
                <w:strike w:val="0"/>
                <w:color w:val="auto"/>
                <w:sz w:val="24"/>
                <w:highlight w:val="none"/>
                <w:u w:val="none" w:color="auto"/>
                <w:vertAlign w:val="baseline"/>
              </w:rPr>
              <w:t>105 a.</w:t>
            </w:r>
            <w:r>
              <w:tab/>
            </w:r>
            <w:r>
              <w:rPr>
                <w:rFonts w:ascii="Times New Roman" w:eastAsia="Times New Roman" w:hAnsi="Times New Roman" w:cs="Times New Roman"/>
                <w:b/>
                <w:i/>
                <w:strike w:val="0"/>
                <w:color w:val="auto"/>
                <w:sz w:val="24"/>
                <w:highlight w:val="none"/>
                <w:u w:val="none" w:color="auto"/>
                <w:vertAlign w:val="baseline"/>
              </w:rPr>
              <w:t>Expresses disagreement with the Commission’s evaluation of its methodology in calculating the error rate; despite acknowledging that the risks at payments used in the AMPR by the Commission is the closest to the ECA estimate of level of error, it is to be noted that important elements mean that the error rate by ECA and the Commission hugely differs; therefore reiterates its request to align quickly its methodology to the one used by the Court and to provide the budgetary control authority with only one error rate corresponding to the risk at payment (error rate at payment); calls on the Commission to disclose separately an estimate of the future corrections (residual error rate); urges the Commission to apply a coherent terminology across all DGs when reporting on these two estimates;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OrLang"/>
        <w:sectPr>
          <w:footerReference w:type="default" r:id="rId6"/>
          <w:type w:val="nextPage"/>
          <w:pgSz w:w="11906" w:h="16838"/>
          <w:pgMar w:top="1134" w:right="1417" w:bottom="1417" w:left="1417" w:header="1134" w:footer="567" w:gutter="0"/>
          <w:cols w:num="1" w:space="708"/>
          <w:titlePg w:val="0"/>
          <w:docGrid w:linePitch="360"/>
        </w:sectPr>
      </w:pPr>
      <w:r>
        <w:rPr>
          <w:rStyle w:val="HideTWBExt"/>
        </w:rPr>
        <w:t>&lt;/</w:t>
      </w:r>
      <w:r>
        <w:rPr>
          <w:rStyle w:val="HideTWBExt"/>
        </w:rPr>
        <w:t>Amend</w:t>
      </w:r>
      <w:r>
        <w:rPr>
          <w:rStyle w:val="HideTWBExt"/>
        </w:rPr>
        <w:t>&gt;</w:t>
      </w:r>
    </w:p>
    <w:p>
      <w:pPr>
        <w:pStyle w:val="AmDateTab"/>
      </w:pPr>
      <w:r>
        <w:rPr>
          <w:rStyle w:val="HideTWBExt"/>
        </w:rPr>
        <w:t>&lt;</w:t>
      </w:r>
      <w:r>
        <w:rPr>
          <w:rStyle w:val="HideTWBExt"/>
        </w:rPr>
        <w:t>Amend</w:t>
      </w:r>
      <w:r>
        <w:rPr>
          <w:rStyle w:val="HideTWBExt"/>
        </w:rPr>
        <w:t>&gt;</w:t>
      </w:r>
      <w:r>
        <w:rPr>
          <w:rStyle w:val="HideTWBExt"/>
        </w:rPr>
        <w:t>&lt;</w:t>
      </w:r>
      <w:r>
        <w:rPr>
          <w:rStyle w:val="HideTWBExt"/>
        </w:rPr>
        <w:t>Date</w:t>
      </w:r>
      <w:r>
        <w:rPr>
          <w:rStyle w:val="HideTWBExt"/>
        </w:rPr>
        <w:t>&gt;</w:t>
      </w:r>
      <w:r>
        <w:rPr>
          <w:rStyle w:val="HideTWBInt"/>
        </w:rPr>
        <w:t>{</w:t>
      </w:r>
      <w:r>
        <w:rPr>
          <w:rStyle w:val="HideTWBInt"/>
        </w:rPr>
        <w:t>22/04/2021</w:t>
      </w:r>
      <w:r>
        <w:rPr>
          <w:rStyle w:val="HideTWBInt"/>
        </w:rPr>
        <w:t>}</w:t>
      </w:r>
      <w:r>
        <w:t>22.4.2021</w:t>
      </w:r>
      <w:r>
        <w:rPr>
          <w:rStyle w:val="HideTWBExt"/>
        </w:rPr>
        <w:t>&lt;/</w:t>
      </w:r>
      <w:r>
        <w:rPr>
          <w:rStyle w:val="HideTWBExt"/>
        </w:rPr>
        <w:t>Date</w:t>
      </w:r>
      <w:r>
        <w:rPr>
          <w:rStyle w:val="HideTWBExt"/>
        </w:rPr>
        <w:t>&gt;</w:t>
      </w:r>
      <w:r>
        <w:tab/>
      </w:r>
      <w:r>
        <w:rPr>
          <w:rStyle w:val="HideTWBExt"/>
        </w:rPr>
        <w:t>&lt;</w:t>
      </w:r>
      <w:r>
        <w:rPr>
          <w:rStyle w:val="HideTWBExt"/>
        </w:rPr>
        <w:t>ANo</w:t>
      </w:r>
      <w:r>
        <w:rPr>
          <w:rStyle w:val="HideTWBExt"/>
        </w:rPr>
        <w:t>&gt;</w:t>
      </w:r>
      <w:r>
        <w:t>A9-0117</w:t>
      </w:r>
      <w:r>
        <w:rPr>
          <w:rStyle w:val="HideTWBExt"/>
        </w:rPr>
        <w:t>&lt;/</w:t>
      </w:r>
      <w:r>
        <w:rPr>
          <w:rStyle w:val="HideTWBExt"/>
        </w:rPr>
        <w:t>ANo</w:t>
      </w:r>
      <w:r>
        <w:rPr>
          <w:rStyle w:val="HideTWBExt"/>
        </w:rPr>
        <w:t>&gt;</w:t>
      </w:r>
      <w:r>
        <w:t>/</w:t>
      </w:r>
      <w:r>
        <w:rPr>
          <w:rStyle w:val="HideTWBExt"/>
        </w:rPr>
        <w:t>&lt;</w:t>
      </w:r>
      <w:r>
        <w:rPr>
          <w:rStyle w:val="HideTWBExt"/>
        </w:rPr>
        <w:t>NumAm</w:t>
      </w:r>
      <w:r>
        <w:rPr>
          <w:rStyle w:val="HideTWBExt"/>
        </w:rPr>
        <w:t>&gt;</w:t>
      </w:r>
      <w:r>
        <w:t>53</w:t>
      </w:r>
      <w:r>
        <w:rPr>
          <w:rStyle w:val="HideTWBExt"/>
        </w:rPr>
        <w:t>&lt;/</w:t>
      </w:r>
      <w:r>
        <w:rPr>
          <w:rStyle w:val="HideTWBExt"/>
        </w:rPr>
        <w:t>NumAm</w:t>
      </w:r>
      <w:r>
        <w:rPr>
          <w:rStyle w:val="HideTWBExt"/>
        </w:rPr>
        <w:t>&gt;</w:t>
      </w:r>
    </w:p>
    <w:p>
      <w:pPr>
        <w:pStyle w:val="AmNumberTabs"/>
      </w:pPr>
      <w:r>
        <w:t>Amendment</w:t>
      </w:r>
      <w:r>
        <w:tab/>
      </w:r>
      <w:r>
        <w:tab/>
      </w:r>
      <w:r>
        <w:rPr>
          <w:rStyle w:val="HideTWBExt"/>
        </w:rPr>
        <w:t>&lt;</w:t>
      </w:r>
      <w:r>
        <w:rPr>
          <w:rStyle w:val="HideTWBExt"/>
        </w:rPr>
        <w:t>NumAm</w:t>
      </w:r>
      <w:r>
        <w:rPr>
          <w:rStyle w:val="HideTWBExt"/>
        </w:rPr>
        <w:t>&gt;</w:t>
      </w:r>
      <w:r>
        <w:t>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Luke Ming Flanagan</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 xml:space="preserve">on behalf of the </w:t>
      </w:r>
      <w:r>
        <w:t>The Left</w:t>
      </w:r>
      <w:r>
        <w:t xml:space="preserve"> Group</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r>
      <w:r>
        <w:t>A9-0117/2021</w:t>
      </w:r>
    </w:p>
    <w:p>
      <w:pPr>
        <w:pStyle w:val="NormalBold"/>
      </w:pPr>
      <w:r>
        <w:rPr>
          <w:rStyle w:val="HideTWBExt"/>
        </w:rPr>
        <w:t>&lt;</w:t>
      </w:r>
      <w:r>
        <w:rPr>
          <w:rStyle w:val="HideTWBExt"/>
        </w:rPr>
        <w:t>Rapporteur</w:t>
      </w:r>
      <w:r>
        <w:rPr>
          <w:rStyle w:val="HideTWBExt"/>
        </w:rPr>
        <w:t>&gt;</w:t>
      </w:r>
      <w:r>
        <w:t>Joachim Kuhs</w:t>
      </w:r>
      <w:r>
        <w:rPr>
          <w:rStyle w:val="HideTWBExt"/>
        </w:rPr>
        <w:t>&lt;/</w:t>
      </w:r>
      <w:r>
        <w:rPr>
          <w:rStyle w:val="HideTWBExt"/>
        </w:rPr>
        <w:t>Rapporteur</w:t>
      </w:r>
      <w:r>
        <w:rPr>
          <w:rStyle w:val="HideTWBExt"/>
        </w:rPr>
        <w:t>&gt;</w:t>
      </w:r>
    </w:p>
    <w:p>
      <w:r>
        <w:rPr>
          <w:rStyle w:val="HideTWBExt"/>
        </w:rPr>
        <w:t>&lt;</w:t>
      </w:r>
      <w:r>
        <w:rPr>
          <w:rStyle w:val="HideTWBExt"/>
        </w:rPr>
        <w:t>Titre</w:t>
      </w:r>
      <w:r>
        <w:rPr>
          <w:rStyle w:val="HideTWBExt"/>
        </w:rPr>
        <w:t>&gt;</w:t>
      </w:r>
      <w:r>
        <w:t>2019 Discharge: EU general budget - Commission and executive agencies</w:t>
      </w:r>
      <w:r>
        <w:rPr>
          <w:rStyle w:val="HideTWBExt"/>
        </w:rPr>
        <w:t>&lt;/</w:t>
      </w:r>
      <w:r>
        <w:rPr>
          <w:rStyle w:val="HideTWBExt"/>
        </w:rPr>
        <w:t>Titre</w:t>
      </w:r>
      <w:r>
        <w:rPr>
          <w:rStyle w:val="HideTWBExt"/>
        </w:rPr>
        <w:t>&gt;</w:t>
      </w:r>
    </w:p>
    <w:p>
      <w:pPr>
        <w:pStyle w:val="Normal12a"/>
      </w:pPr>
      <w:r>
        <w:rPr>
          <w:rStyle w:val="HideTWBExt"/>
        </w:rPr>
        <w:t>&lt;</w:t>
      </w:r>
      <w:r>
        <w:rPr>
          <w:rStyle w:val="HideTWBExt"/>
        </w:rPr>
        <w:t>DocRef</w:t>
      </w:r>
      <w:r>
        <w:rPr>
          <w:rStyle w:val="HideTWBExt"/>
        </w:rPr>
        <w:t>&gt;</w:t>
      </w:r>
      <w:r>
        <w:t>2020/2140(DEC)</w:t>
      </w:r>
      <w:r>
        <w:rPr>
          <w:rStyle w:val="HideTWBExt"/>
        </w:rPr>
        <w:t>&lt;/</w:t>
      </w:r>
      <w:r>
        <w:rPr>
          <w:rStyle w:val="HideTWBExt"/>
        </w:rPr>
        <w:t>DocRef</w:t>
      </w:r>
      <w:r>
        <w:rPr>
          <w:rStyle w:val="HideTWBExt"/>
        </w:rPr>
        <w:t>&gt;</w:t>
      </w:r>
    </w:p>
    <w:p>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Paragraph 340 a (new)</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Motion for a resolution</w:t>
            </w:r>
          </w:p>
        </w:tc>
        <w:tc>
          <w:tcPr>
            <w:tcW w:w="4876" w:type="dxa"/>
            <w:vAlign w:val="top"/>
          </w:tcPr>
          <w:p>
            <w:pPr>
              <w:pStyle w:val="AmColumnHeading"/>
            </w:pPr>
            <w:r>
              <w:t>Amendment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Fonts w:ascii="Times New Roman" w:eastAsia="Times New Roman" w:hAnsi="Times New Roman" w:cs="Times New Roman"/>
                <w:b/>
                <w:i/>
                <w:strike w:val="0"/>
                <w:color w:val="auto"/>
                <w:sz w:val="24"/>
                <w:highlight w:val="none"/>
                <w:u w:val="none" w:color="auto"/>
                <w:vertAlign w:val="baseline"/>
              </w:rPr>
              <w:t>340 a.</w:t>
            </w:r>
            <w:r>
              <w:tab/>
            </w:r>
            <w:r>
              <w:rPr>
                <w:rFonts w:ascii="Times New Roman" w:eastAsia="Times New Roman" w:hAnsi="Times New Roman" w:cs="Times New Roman"/>
                <w:b/>
                <w:i/>
                <w:strike w:val="0"/>
                <w:color w:val="auto"/>
                <w:sz w:val="24"/>
                <w:highlight w:val="none"/>
                <w:u w:val="none" w:color="auto"/>
                <w:vertAlign w:val="baseline"/>
              </w:rPr>
              <w:t>Is extremely worried that neither OLAF nor DG AGRI assessed Member States’ measures to prevent and fight fraud in CAP spending;</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OrLang"/>
        <w:sectPr>
          <w:footerReference w:type="default" r:id="rId7"/>
          <w:type w:val="nextPage"/>
          <w:pgSz w:w="11906" w:h="16838"/>
          <w:pgMar w:top="1134" w:right="1417" w:bottom="1417" w:left="1417" w:header="1134" w:footer="567" w:gutter="0"/>
          <w:cols w:num="1" w:space="708"/>
          <w:titlePg w:val="0"/>
          <w:docGrid w:linePitch="360"/>
        </w:sectPr>
      </w:pPr>
      <w:r>
        <w:rPr>
          <w:rStyle w:val="HideTWBExt"/>
        </w:rPr>
        <w:t>&lt;/</w:t>
      </w:r>
      <w:r>
        <w:rPr>
          <w:rStyle w:val="HideTWBExt"/>
        </w:rPr>
        <w:t>Amend</w:t>
      </w:r>
      <w:r>
        <w:rPr>
          <w:rStyle w:val="HideTWBExt"/>
        </w:rPr>
        <w:t>&gt;</w:t>
      </w:r>
    </w:p>
    <w:p>
      <w:pPr>
        <w:pStyle w:val="AmDateTab"/>
      </w:pPr>
      <w:r>
        <w:rPr>
          <w:rStyle w:val="HideTWBExt"/>
        </w:rPr>
        <w:t>&lt;</w:t>
      </w:r>
      <w:r>
        <w:rPr>
          <w:rStyle w:val="HideTWBExt"/>
        </w:rPr>
        <w:t>Amend</w:t>
      </w:r>
      <w:r>
        <w:rPr>
          <w:rStyle w:val="HideTWBExt"/>
        </w:rPr>
        <w:t>&gt;</w:t>
      </w:r>
      <w:r>
        <w:rPr>
          <w:rStyle w:val="HideTWBExt"/>
        </w:rPr>
        <w:t>&lt;</w:t>
      </w:r>
      <w:r>
        <w:rPr>
          <w:rStyle w:val="HideTWBExt"/>
        </w:rPr>
        <w:t>Date</w:t>
      </w:r>
      <w:r>
        <w:rPr>
          <w:rStyle w:val="HideTWBExt"/>
        </w:rPr>
        <w:t>&gt;</w:t>
      </w:r>
      <w:r>
        <w:rPr>
          <w:rStyle w:val="HideTWBInt"/>
        </w:rPr>
        <w:t>{</w:t>
      </w:r>
      <w:r>
        <w:rPr>
          <w:rStyle w:val="HideTWBInt"/>
        </w:rPr>
        <w:t>22/04/2021</w:t>
      </w:r>
      <w:r>
        <w:rPr>
          <w:rStyle w:val="HideTWBInt"/>
        </w:rPr>
        <w:t>}</w:t>
      </w:r>
      <w:r>
        <w:t>22.4.2021</w:t>
      </w:r>
      <w:r>
        <w:rPr>
          <w:rStyle w:val="HideTWBExt"/>
        </w:rPr>
        <w:t>&lt;/</w:t>
      </w:r>
      <w:r>
        <w:rPr>
          <w:rStyle w:val="HideTWBExt"/>
        </w:rPr>
        <w:t>Date</w:t>
      </w:r>
      <w:r>
        <w:rPr>
          <w:rStyle w:val="HideTWBExt"/>
        </w:rPr>
        <w:t>&gt;</w:t>
      </w:r>
      <w:r>
        <w:tab/>
      </w:r>
      <w:r>
        <w:rPr>
          <w:rStyle w:val="HideTWBExt"/>
        </w:rPr>
        <w:t>&lt;</w:t>
      </w:r>
      <w:r>
        <w:rPr>
          <w:rStyle w:val="HideTWBExt"/>
        </w:rPr>
        <w:t>ANo</w:t>
      </w:r>
      <w:r>
        <w:rPr>
          <w:rStyle w:val="HideTWBExt"/>
        </w:rPr>
        <w:t>&gt;</w:t>
      </w:r>
      <w:r>
        <w:t>A9-0117</w:t>
      </w:r>
      <w:r>
        <w:rPr>
          <w:rStyle w:val="HideTWBExt"/>
        </w:rPr>
        <w:t>&lt;/</w:t>
      </w:r>
      <w:r>
        <w:rPr>
          <w:rStyle w:val="HideTWBExt"/>
        </w:rPr>
        <w:t>ANo</w:t>
      </w:r>
      <w:r>
        <w:rPr>
          <w:rStyle w:val="HideTWBExt"/>
        </w:rPr>
        <w:t>&gt;</w:t>
      </w:r>
      <w:r>
        <w:t>/</w:t>
      </w:r>
      <w:r>
        <w:rPr>
          <w:rStyle w:val="HideTWBExt"/>
        </w:rPr>
        <w:t>&lt;</w:t>
      </w:r>
      <w:r>
        <w:rPr>
          <w:rStyle w:val="HideTWBExt"/>
        </w:rPr>
        <w:t>NumAm</w:t>
      </w:r>
      <w:r>
        <w:rPr>
          <w:rStyle w:val="HideTWBExt"/>
        </w:rPr>
        <w:t>&gt;</w:t>
      </w:r>
      <w:r>
        <w:t>54</w:t>
      </w:r>
      <w:r>
        <w:rPr>
          <w:rStyle w:val="HideTWBExt"/>
        </w:rPr>
        <w:t>&lt;/</w:t>
      </w:r>
      <w:r>
        <w:rPr>
          <w:rStyle w:val="HideTWBExt"/>
        </w:rPr>
        <w:t>NumAm</w:t>
      </w:r>
      <w:r>
        <w:rPr>
          <w:rStyle w:val="HideTWBExt"/>
        </w:rPr>
        <w:t>&gt;</w:t>
      </w:r>
    </w:p>
    <w:p>
      <w:pPr>
        <w:pStyle w:val="AmNumberTabs"/>
      </w:pPr>
      <w:r>
        <w:t>Amendment</w:t>
      </w:r>
      <w:r>
        <w:tab/>
      </w:r>
      <w:r>
        <w:tab/>
      </w:r>
      <w:r>
        <w:rPr>
          <w:rStyle w:val="HideTWBExt"/>
        </w:rPr>
        <w:t>&lt;</w:t>
      </w:r>
      <w:r>
        <w:rPr>
          <w:rStyle w:val="HideTWBExt"/>
        </w:rPr>
        <w:t>NumAm</w:t>
      </w:r>
      <w:r>
        <w:rPr>
          <w:rStyle w:val="HideTWBExt"/>
        </w:rPr>
        <w:t>&gt;</w:t>
      </w:r>
      <w:r>
        <w:t>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Luke Ming Flanagan</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 xml:space="preserve">on behalf of the </w:t>
      </w:r>
      <w:r>
        <w:t>The Left</w:t>
      </w:r>
      <w:r>
        <w:t xml:space="preserve"> Group</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r>
      <w:r>
        <w:t>A9-0117/2021</w:t>
      </w:r>
    </w:p>
    <w:p>
      <w:pPr>
        <w:pStyle w:val="NormalBold"/>
      </w:pPr>
      <w:r>
        <w:rPr>
          <w:rStyle w:val="HideTWBExt"/>
        </w:rPr>
        <w:t>&lt;</w:t>
      </w:r>
      <w:r>
        <w:rPr>
          <w:rStyle w:val="HideTWBExt"/>
        </w:rPr>
        <w:t>Rapporteur</w:t>
      </w:r>
      <w:r>
        <w:rPr>
          <w:rStyle w:val="HideTWBExt"/>
        </w:rPr>
        <w:t>&gt;</w:t>
      </w:r>
      <w:r>
        <w:t>Joachim Kuhs</w:t>
      </w:r>
      <w:r>
        <w:rPr>
          <w:rStyle w:val="HideTWBExt"/>
        </w:rPr>
        <w:t>&lt;/</w:t>
      </w:r>
      <w:r>
        <w:rPr>
          <w:rStyle w:val="HideTWBExt"/>
        </w:rPr>
        <w:t>Rapporteur</w:t>
      </w:r>
      <w:r>
        <w:rPr>
          <w:rStyle w:val="HideTWBExt"/>
        </w:rPr>
        <w:t>&gt;</w:t>
      </w:r>
    </w:p>
    <w:p>
      <w:r>
        <w:rPr>
          <w:rStyle w:val="HideTWBExt"/>
        </w:rPr>
        <w:t>&lt;</w:t>
      </w:r>
      <w:r>
        <w:rPr>
          <w:rStyle w:val="HideTWBExt"/>
        </w:rPr>
        <w:t>Titre</w:t>
      </w:r>
      <w:r>
        <w:rPr>
          <w:rStyle w:val="HideTWBExt"/>
        </w:rPr>
        <w:t>&gt;</w:t>
      </w:r>
      <w:r>
        <w:t>2019 Discharge: EU general budget - Commission and executive agencies</w:t>
      </w:r>
      <w:r>
        <w:rPr>
          <w:rStyle w:val="HideTWBExt"/>
        </w:rPr>
        <w:t>&lt;/</w:t>
      </w:r>
      <w:r>
        <w:rPr>
          <w:rStyle w:val="HideTWBExt"/>
        </w:rPr>
        <w:t>Titre</w:t>
      </w:r>
      <w:r>
        <w:rPr>
          <w:rStyle w:val="HideTWBExt"/>
        </w:rPr>
        <w:t>&gt;</w:t>
      </w:r>
    </w:p>
    <w:p>
      <w:pPr>
        <w:pStyle w:val="Normal12a"/>
      </w:pPr>
      <w:r>
        <w:rPr>
          <w:rStyle w:val="HideTWBExt"/>
        </w:rPr>
        <w:t>&lt;</w:t>
      </w:r>
      <w:r>
        <w:rPr>
          <w:rStyle w:val="HideTWBExt"/>
        </w:rPr>
        <w:t>DocRef</w:t>
      </w:r>
      <w:r>
        <w:rPr>
          <w:rStyle w:val="HideTWBExt"/>
        </w:rPr>
        <w:t>&gt;</w:t>
      </w:r>
      <w:r>
        <w:t>2020/2140(DEC)</w:t>
      </w:r>
      <w:r>
        <w:rPr>
          <w:rStyle w:val="HideTWBExt"/>
        </w:rPr>
        <w:t>&lt;/</w:t>
      </w:r>
      <w:r>
        <w:rPr>
          <w:rStyle w:val="HideTWBExt"/>
        </w:rPr>
        <w:t>DocRef</w:t>
      </w:r>
      <w:r>
        <w:rPr>
          <w:rStyle w:val="HideTWBExt"/>
        </w:rPr>
        <w:t>&gt;</w:t>
      </w:r>
    </w:p>
    <w:p>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Paragraph 371 – indent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Motion for a resolution</w:t>
            </w:r>
          </w:p>
        </w:tc>
        <w:tc>
          <w:tcPr>
            <w:tcW w:w="4876" w:type="dxa"/>
            <w:vAlign w:val="top"/>
          </w:tcPr>
          <w:p>
            <w:pPr>
              <w:pStyle w:val="AmColumnHeading"/>
            </w:pPr>
            <w:r>
              <w:t>Amendment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tab/>
            </w:r>
            <w:r>
              <w:t>Assessing how much support is going to beneficiaries outside the target group could improve policy design and increase the efficiency of the CAP. This would involve identifying CAP funds paid to beneficiaries whose main economic activity is not farming. Such data could also help to identify claims involving significant concentration of land (potentially representing ‘land-grabbing’). In addition, direct payments have contributed to increased land rents in some Member States, in particular for low-productivity lands. Evaluators have recommended that the Commission investigate the impact of direct payments on the increase of land rents and appropriate countermeasures;</w:t>
            </w:r>
          </w:p>
        </w:tc>
        <w:tc>
          <w:tcPr>
            <w:tcW w:w="4876" w:type="dxa"/>
            <w:vAlign w:val="top"/>
          </w:tcPr>
          <w:p>
            <w:pPr>
              <w:pStyle w:val="Normal6a"/>
            </w:pPr>
            <w:r>
              <w:t>-</w:t>
            </w:r>
            <w:r>
              <w:tab/>
            </w:r>
            <w:r>
              <w:t xml:space="preserve">Assessing how much support is going to beneficiaries outside the target group could improve policy design and increase the efficiency of the CAP. This would involve identifying CAP </w:t>
            </w:r>
            <w:r>
              <w:rPr>
                <w:rFonts w:ascii="Times New Roman" w:eastAsia="Times New Roman" w:hAnsi="Times New Roman" w:cs="Times New Roman"/>
                <w:b/>
                <w:i/>
                <w:strike w:val="0"/>
                <w:color w:val="auto"/>
                <w:sz w:val="24"/>
                <w:highlight w:val="none"/>
                <w:u w:val="none" w:color="auto"/>
                <w:vertAlign w:val="baseline"/>
              </w:rPr>
              <w:t>funds paid to farmers whose income from farming exceeds the average income from farming and</w:t>
            </w:r>
            <w:r>
              <w:t xml:space="preserve"> funds paid to beneficiaries whose main economic activity is not farming. Such data could also help to identify claims involving significant concentration of land (potentially representing ‘land-grabbing’). In addition, direct payments have contributed to increased land rents in some Member States, in particular for low-productivity lands. Evaluators have recommended that the Commission investigate the impact of direct payments on the increase of land rents and appropriate countermeasures;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OrLang"/>
        <w:sectPr>
          <w:footerReference w:type="default" r:id="rId8"/>
          <w:type w:val="nextPage"/>
          <w:pgSz w:w="11906" w:h="16838"/>
          <w:pgMar w:top="1134" w:right="1417" w:bottom="1417" w:left="1417" w:header="1134" w:footer="567" w:gutter="0"/>
          <w:cols w:num="1" w:space="708"/>
          <w:titlePg w:val="0"/>
          <w:docGrid w:linePitch="360"/>
        </w:sectPr>
      </w:pPr>
      <w:r>
        <w:rPr>
          <w:rStyle w:val="HideTWBExt"/>
        </w:rPr>
        <w:t>&lt;/</w:t>
      </w:r>
      <w:r>
        <w:rPr>
          <w:rStyle w:val="HideTWBExt"/>
        </w:rPr>
        <w:t>Amend</w:t>
      </w:r>
      <w:r>
        <w:rPr>
          <w:rStyle w:val="HideTWBExt"/>
        </w:rPr>
        <w:t>&gt;</w:t>
      </w:r>
    </w:p>
    <w:p>
      <w:pPr>
        <w:pStyle w:val="AmDateTab"/>
      </w:pPr>
      <w:r>
        <w:rPr>
          <w:rStyle w:val="HideTWBExt"/>
        </w:rPr>
        <w:t>&lt;</w:t>
      </w:r>
      <w:r>
        <w:rPr>
          <w:rStyle w:val="HideTWBExt"/>
        </w:rPr>
        <w:t>Amend</w:t>
      </w:r>
      <w:r>
        <w:rPr>
          <w:rStyle w:val="HideTWBExt"/>
        </w:rPr>
        <w:t>&gt;</w:t>
      </w:r>
      <w:r>
        <w:rPr>
          <w:rStyle w:val="HideTWBExt"/>
        </w:rPr>
        <w:t>&lt;</w:t>
      </w:r>
      <w:r>
        <w:rPr>
          <w:rStyle w:val="HideTWBExt"/>
        </w:rPr>
        <w:t>Date</w:t>
      </w:r>
      <w:r>
        <w:rPr>
          <w:rStyle w:val="HideTWBExt"/>
        </w:rPr>
        <w:t>&gt;</w:t>
      </w:r>
      <w:r>
        <w:rPr>
          <w:rStyle w:val="HideTWBInt"/>
        </w:rPr>
        <w:t>{</w:t>
      </w:r>
      <w:r>
        <w:rPr>
          <w:rStyle w:val="HideTWBInt"/>
        </w:rPr>
        <w:t>22/04/2021</w:t>
      </w:r>
      <w:r>
        <w:rPr>
          <w:rStyle w:val="HideTWBInt"/>
        </w:rPr>
        <w:t>}</w:t>
      </w:r>
      <w:r>
        <w:t>22.4.2021</w:t>
      </w:r>
      <w:r>
        <w:rPr>
          <w:rStyle w:val="HideTWBExt"/>
        </w:rPr>
        <w:t>&lt;/</w:t>
      </w:r>
      <w:r>
        <w:rPr>
          <w:rStyle w:val="HideTWBExt"/>
        </w:rPr>
        <w:t>Date</w:t>
      </w:r>
      <w:r>
        <w:rPr>
          <w:rStyle w:val="HideTWBExt"/>
        </w:rPr>
        <w:t>&gt;</w:t>
      </w:r>
      <w:r>
        <w:tab/>
      </w:r>
      <w:r>
        <w:rPr>
          <w:rStyle w:val="HideTWBExt"/>
        </w:rPr>
        <w:t>&lt;</w:t>
      </w:r>
      <w:r>
        <w:rPr>
          <w:rStyle w:val="HideTWBExt"/>
        </w:rPr>
        <w:t>ANo</w:t>
      </w:r>
      <w:r>
        <w:rPr>
          <w:rStyle w:val="HideTWBExt"/>
        </w:rPr>
        <w:t>&gt;</w:t>
      </w:r>
      <w:r>
        <w:t>A9-0117</w:t>
      </w:r>
      <w:r>
        <w:rPr>
          <w:rStyle w:val="HideTWBExt"/>
        </w:rPr>
        <w:t>&lt;/</w:t>
      </w:r>
      <w:r>
        <w:rPr>
          <w:rStyle w:val="HideTWBExt"/>
        </w:rPr>
        <w:t>ANo</w:t>
      </w:r>
      <w:r>
        <w:rPr>
          <w:rStyle w:val="HideTWBExt"/>
        </w:rPr>
        <w:t>&gt;</w:t>
      </w:r>
      <w:r>
        <w:t>/</w:t>
      </w:r>
      <w:r>
        <w:rPr>
          <w:rStyle w:val="HideTWBExt"/>
        </w:rPr>
        <w:t>&lt;</w:t>
      </w:r>
      <w:r>
        <w:rPr>
          <w:rStyle w:val="HideTWBExt"/>
        </w:rPr>
        <w:t>NumAm</w:t>
      </w:r>
      <w:r>
        <w:rPr>
          <w:rStyle w:val="HideTWBExt"/>
        </w:rPr>
        <w:t>&gt;</w:t>
      </w:r>
      <w:r>
        <w:t>55</w:t>
      </w:r>
      <w:r>
        <w:rPr>
          <w:rStyle w:val="HideTWBExt"/>
        </w:rPr>
        <w:t>&lt;/</w:t>
      </w:r>
      <w:r>
        <w:rPr>
          <w:rStyle w:val="HideTWBExt"/>
        </w:rPr>
        <w:t>NumAm</w:t>
      </w:r>
      <w:r>
        <w:rPr>
          <w:rStyle w:val="HideTWBExt"/>
        </w:rPr>
        <w:t>&gt;</w:t>
      </w:r>
    </w:p>
    <w:p>
      <w:pPr>
        <w:pStyle w:val="AmNumberTabs"/>
      </w:pPr>
      <w:r>
        <w:t>Amendment</w:t>
      </w:r>
      <w:r>
        <w:tab/>
      </w:r>
      <w:r>
        <w:tab/>
      </w:r>
      <w:r>
        <w:rPr>
          <w:rStyle w:val="HideTWBExt"/>
        </w:rPr>
        <w:t>&lt;</w:t>
      </w:r>
      <w:r>
        <w:rPr>
          <w:rStyle w:val="HideTWBExt"/>
        </w:rPr>
        <w:t>NumAm</w:t>
      </w:r>
      <w:r>
        <w:rPr>
          <w:rStyle w:val="HideTWBExt"/>
        </w:rPr>
        <w:t>&gt;</w:t>
      </w:r>
      <w:r>
        <w:t>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Luke Ming Flanagan</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 xml:space="preserve">on behalf of the </w:t>
      </w:r>
      <w:r>
        <w:t>The Left</w:t>
      </w:r>
      <w:r>
        <w:t xml:space="preserve"> Group</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r>
      <w:r>
        <w:t>A9-0117/2021</w:t>
      </w:r>
    </w:p>
    <w:p>
      <w:pPr>
        <w:pStyle w:val="NormalBold"/>
      </w:pPr>
      <w:r>
        <w:rPr>
          <w:rStyle w:val="HideTWBExt"/>
        </w:rPr>
        <w:t>&lt;</w:t>
      </w:r>
      <w:r>
        <w:rPr>
          <w:rStyle w:val="HideTWBExt"/>
        </w:rPr>
        <w:t>Rapporteur</w:t>
      </w:r>
      <w:r>
        <w:rPr>
          <w:rStyle w:val="HideTWBExt"/>
        </w:rPr>
        <w:t>&gt;</w:t>
      </w:r>
      <w:r>
        <w:t>Joachim Kuhs</w:t>
      </w:r>
      <w:r>
        <w:rPr>
          <w:rStyle w:val="HideTWBExt"/>
        </w:rPr>
        <w:t>&lt;/</w:t>
      </w:r>
      <w:r>
        <w:rPr>
          <w:rStyle w:val="HideTWBExt"/>
        </w:rPr>
        <w:t>Rapporteur</w:t>
      </w:r>
      <w:r>
        <w:rPr>
          <w:rStyle w:val="HideTWBExt"/>
        </w:rPr>
        <w:t>&gt;</w:t>
      </w:r>
    </w:p>
    <w:p>
      <w:r>
        <w:rPr>
          <w:rStyle w:val="HideTWBExt"/>
        </w:rPr>
        <w:t>&lt;</w:t>
      </w:r>
      <w:r>
        <w:rPr>
          <w:rStyle w:val="HideTWBExt"/>
        </w:rPr>
        <w:t>Titre</w:t>
      </w:r>
      <w:r>
        <w:rPr>
          <w:rStyle w:val="HideTWBExt"/>
        </w:rPr>
        <w:t>&gt;</w:t>
      </w:r>
      <w:r>
        <w:t>2019 Discharge: EU general budget - Commission and executive agencies</w:t>
      </w:r>
      <w:r>
        <w:rPr>
          <w:rStyle w:val="HideTWBExt"/>
        </w:rPr>
        <w:t>&lt;/</w:t>
      </w:r>
      <w:r>
        <w:rPr>
          <w:rStyle w:val="HideTWBExt"/>
        </w:rPr>
        <w:t>Titre</w:t>
      </w:r>
      <w:r>
        <w:rPr>
          <w:rStyle w:val="HideTWBExt"/>
        </w:rPr>
        <w:t>&gt;</w:t>
      </w:r>
    </w:p>
    <w:p>
      <w:pPr>
        <w:pStyle w:val="Normal12a"/>
      </w:pPr>
      <w:r>
        <w:rPr>
          <w:rStyle w:val="HideTWBExt"/>
        </w:rPr>
        <w:t>&lt;</w:t>
      </w:r>
      <w:r>
        <w:rPr>
          <w:rStyle w:val="HideTWBExt"/>
        </w:rPr>
        <w:t>DocRef</w:t>
      </w:r>
      <w:r>
        <w:rPr>
          <w:rStyle w:val="HideTWBExt"/>
        </w:rPr>
        <w:t>&gt;</w:t>
      </w:r>
      <w:r>
        <w:t>2020/2140(DEC)</w:t>
      </w:r>
      <w:r>
        <w:rPr>
          <w:rStyle w:val="HideTWBExt"/>
        </w:rPr>
        <w:t>&lt;/</w:t>
      </w:r>
      <w:r>
        <w:rPr>
          <w:rStyle w:val="HideTWBExt"/>
        </w:rPr>
        <w:t>DocRef</w:t>
      </w:r>
      <w:r>
        <w:rPr>
          <w:rStyle w:val="HideTWBExt"/>
        </w:rPr>
        <w:t>&gt;</w:t>
      </w:r>
    </w:p>
    <w:p>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Paragraph 396 a (new)</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Motion for a resolution</w:t>
            </w:r>
          </w:p>
        </w:tc>
        <w:tc>
          <w:tcPr>
            <w:tcW w:w="4876" w:type="dxa"/>
            <w:vAlign w:val="top"/>
          </w:tcPr>
          <w:p>
            <w:pPr>
              <w:pStyle w:val="AmColumnHeading"/>
            </w:pPr>
            <w:r>
              <w:t>Amendment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Fonts w:ascii="Times New Roman" w:eastAsia="Times New Roman" w:hAnsi="Times New Roman" w:cs="Times New Roman"/>
                <w:b/>
                <w:i/>
                <w:strike w:val="0"/>
                <w:color w:val="auto"/>
                <w:sz w:val="24"/>
                <w:highlight w:val="none"/>
                <w:u w:val="none" w:color="auto"/>
                <w:vertAlign w:val="baseline"/>
              </w:rPr>
              <w:t>396 a.</w:t>
            </w:r>
            <w:r>
              <w:tab/>
            </w:r>
            <w:r>
              <w:rPr>
                <w:rFonts w:ascii="Times New Roman" w:eastAsia="Times New Roman" w:hAnsi="Times New Roman" w:cs="Times New Roman"/>
                <w:b/>
                <w:i/>
                <w:strike w:val="0"/>
                <w:color w:val="auto"/>
                <w:sz w:val="24"/>
                <w:highlight w:val="none"/>
                <w:u w:val="none" w:color="auto"/>
                <w:vertAlign w:val="baseline"/>
              </w:rPr>
              <w:t>Is particularly worried by the opening of an inquiry by the European Ombudsman into the lack of European Commission oversight on abuses of migrants on the border in Croatia, following a complaint by Amnesty International, which documented widespread abuse over the years of migrants and asylum seekers trying to enter Croatia;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OrLang"/>
        <w:sectPr>
          <w:footerReference w:type="default" r:id="rId9"/>
          <w:type w:val="nextPage"/>
          <w:pgSz w:w="11906" w:h="16838"/>
          <w:pgMar w:top="1134" w:right="1417" w:bottom="1417" w:left="1417" w:header="1134" w:footer="567" w:gutter="0"/>
          <w:cols w:num="1" w:space="708"/>
          <w:titlePg w:val="0"/>
          <w:docGrid w:linePitch="360"/>
        </w:sectPr>
      </w:pPr>
      <w:r>
        <w:rPr>
          <w:rStyle w:val="HideTWBExt"/>
        </w:rPr>
        <w:t>&lt;/</w:t>
      </w:r>
      <w:r>
        <w:rPr>
          <w:rStyle w:val="HideTWBExt"/>
        </w:rPr>
        <w:t>Amend</w:t>
      </w:r>
      <w:r>
        <w:rPr>
          <w:rStyle w:val="HideTWBExt"/>
        </w:rPr>
        <w:t>&gt;</w:t>
      </w:r>
    </w:p>
    <w:p>
      <w:pPr>
        <w:pStyle w:val="AmDateTab"/>
      </w:pPr>
      <w:r>
        <w:rPr>
          <w:rStyle w:val="HideTWBExt"/>
        </w:rPr>
        <w:t>&lt;</w:t>
      </w:r>
      <w:r>
        <w:rPr>
          <w:rStyle w:val="HideTWBExt"/>
        </w:rPr>
        <w:t>Amend</w:t>
      </w:r>
      <w:r>
        <w:rPr>
          <w:rStyle w:val="HideTWBExt"/>
        </w:rPr>
        <w:t>&gt;</w:t>
      </w:r>
      <w:r>
        <w:rPr>
          <w:rStyle w:val="HideTWBExt"/>
        </w:rPr>
        <w:t>&lt;</w:t>
      </w:r>
      <w:r>
        <w:rPr>
          <w:rStyle w:val="HideTWBExt"/>
        </w:rPr>
        <w:t>Date</w:t>
      </w:r>
      <w:r>
        <w:rPr>
          <w:rStyle w:val="HideTWBExt"/>
        </w:rPr>
        <w:t>&gt;</w:t>
      </w:r>
      <w:r>
        <w:rPr>
          <w:rStyle w:val="HideTWBInt"/>
        </w:rPr>
        <w:t>{</w:t>
      </w:r>
      <w:r>
        <w:rPr>
          <w:rStyle w:val="HideTWBInt"/>
        </w:rPr>
        <w:t>22/04/2021</w:t>
      </w:r>
      <w:r>
        <w:rPr>
          <w:rStyle w:val="HideTWBInt"/>
        </w:rPr>
        <w:t>}</w:t>
      </w:r>
      <w:r>
        <w:t>22.4.2021</w:t>
      </w:r>
      <w:r>
        <w:rPr>
          <w:rStyle w:val="HideTWBExt"/>
        </w:rPr>
        <w:t>&lt;/</w:t>
      </w:r>
      <w:r>
        <w:rPr>
          <w:rStyle w:val="HideTWBExt"/>
        </w:rPr>
        <w:t>Date</w:t>
      </w:r>
      <w:r>
        <w:rPr>
          <w:rStyle w:val="HideTWBExt"/>
        </w:rPr>
        <w:t>&gt;</w:t>
      </w:r>
      <w:r>
        <w:tab/>
      </w:r>
      <w:r>
        <w:rPr>
          <w:rStyle w:val="HideTWBExt"/>
        </w:rPr>
        <w:t>&lt;</w:t>
      </w:r>
      <w:r>
        <w:rPr>
          <w:rStyle w:val="HideTWBExt"/>
        </w:rPr>
        <w:t>ANo</w:t>
      </w:r>
      <w:r>
        <w:rPr>
          <w:rStyle w:val="HideTWBExt"/>
        </w:rPr>
        <w:t>&gt;</w:t>
      </w:r>
      <w:r>
        <w:t>A9-0117</w:t>
      </w:r>
      <w:r>
        <w:rPr>
          <w:rStyle w:val="HideTWBExt"/>
        </w:rPr>
        <w:t>&lt;/</w:t>
      </w:r>
      <w:r>
        <w:rPr>
          <w:rStyle w:val="HideTWBExt"/>
        </w:rPr>
        <w:t>ANo</w:t>
      </w:r>
      <w:r>
        <w:rPr>
          <w:rStyle w:val="HideTWBExt"/>
        </w:rPr>
        <w:t>&gt;</w:t>
      </w:r>
      <w:r>
        <w:t>/</w:t>
      </w:r>
      <w:r>
        <w:rPr>
          <w:rStyle w:val="HideTWBExt"/>
        </w:rPr>
        <w:t>&lt;</w:t>
      </w:r>
      <w:r>
        <w:rPr>
          <w:rStyle w:val="HideTWBExt"/>
        </w:rPr>
        <w:t>NumAm</w:t>
      </w:r>
      <w:r>
        <w:rPr>
          <w:rStyle w:val="HideTWBExt"/>
        </w:rPr>
        <w:t>&gt;</w:t>
      </w:r>
      <w:r>
        <w:t>56</w:t>
      </w:r>
      <w:r>
        <w:rPr>
          <w:rStyle w:val="HideTWBExt"/>
        </w:rPr>
        <w:t>&lt;/</w:t>
      </w:r>
      <w:r>
        <w:rPr>
          <w:rStyle w:val="HideTWBExt"/>
        </w:rPr>
        <w:t>NumAm</w:t>
      </w:r>
      <w:r>
        <w:rPr>
          <w:rStyle w:val="HideTWBExt"/>
        </w:rPr>
        <w:t>&gt;</w:t>
      </w:r>
    </w:p>
    <w:p>
      <w:pPr>
        <w:pStyle w:val="AmNumberTabs"/>
      </w:pPr>
      <w:r>
        <w:t>Amendment</w:t>
      </w:r>
      <w:r>
        <w:tab/>
      </w:r>
      <w:r>
        <w:tab/>
      </w:r>
      <w:r>
        <w:rPr>
          <w:rStyle w:val="HideTWBExt"/>
        </w:rPr>
        <w:t>&lt;</w:t>
      </w:r>
      <w:r>
        <w:rPr>
          <w:rStyle w:val="HideTWBExt"/>
        </w:rPr>
        <w:t>NumAm</w:t>
      </w:r>
      <w:r>
        <w:rPr>
          <w:rStyle w:val="HideTWBExt"/>
        </w:rPr>
        <w:t>&gt;</w:t>
      </w:r>
      <w:r>
        <w:t>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Luke Ming Flanagan</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 xml:space="preserve">on behalf of the </w:t>
      </w:r>
      <w:r>
        <w:t>The Left</w:t>
      </w:r>
      <w:r>
        <w:t xml:space="preserve"> Group</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r>
      <w:r>
        <w:t>A9-0117/2021</w:t>
      </w:r>
    </w:p>
    <w:p>
      <w:pPr>
        <w:pStyle w:val="NormalBold"/>
      </w:pPr>
      <w:r>
        <w:rPr>
          <w:rStyle w:val="HideTWBExt"/>
        </w:rPr>
        <w:t>&lt;</w:t>
      </w:r>
      <w:r>
        <w:rPr>
          <w:rStyle w:val="HideTWBExt"/>
        </w:rPr>
        <w:t>Rapporteur</w:t>
      </w:r>
      <w:r>
        <w:rPr>
          <w:rStyle w:val="HideTWBExt"/>
        </w:rPr>
        <w:t>&gt;</w:t>
      </w:r>
      <w:r>
        <w:t>Joachim Kuhs</w:t>
      </w:r>
      <w:r>
        <w:rPr>
          <w:rStyle w:val="HideTWBExt"/>
        </w:rPr>
        <w:t>&lt;/</w:t>
      </w:r>
      <w:r>
        <w:rPr>
          <w:rStyle w:val="HideTWBExt"/>
        </w:rPr>
        <w:t>Rapporteur</w:t>
      </w:r>
      <w:r>
        <w:rPr>
          <w:rStyle w:val="HideTWBExt"/>
        </w:rPr>
        <w:t>&gt;</w:t>
      </w:r>
    </w:p>
    <w:p>
      <w:r>
        <w:rPr>
          <w:rStyle w:val="HideTWBExt"/>
        </w:rPr>
        <w:t>&lt;</w:t>
      </w:r>
      <w:r>
        <w:rPr>
          <w:rStyle w:val="HideTWBExt"/>
        </w:rPr>
        <w:t>Titre</w:t>
      </w:r>
      <w:r>
        <w:rPr>
          <w:rStyle w:val="HideTWBExt"/>
        </w:rPr>
        <w:t>&gt;</w:t>
      </w:r>
      <w:r>
        <w:t>2019 Discharge: EU general budget - Commission and executive agencies</w:t>
      </w:r>
      <w:r>
        <w:rPr>
          <w:rStyle w:val="HideTWBExt"/>
        </w:rPr>
        <w:t>&lt;/</w:t>
      </w:r>
      <w:r>
        <w:rPr>
          <w:rStyle w:val="HideTWBExt"/>
        </w:rPr>
        <w:t>Titre</w:t>
      </w:r>
      <w:r>
        <w:rPr>
          <w:rStyle w:val="HideTWBExt"/>
        </w:rPr>
        <w:t>&gt;</w:t>
      </w:r>
    </w:p>
    <w:p>
      <w:pPr>
        <w:pStyle w:val="Normal12a"/>
      </w:pPr>
      <w:r>
        <w:rPr>
          <w:rStyle w:val="HideTWBExt"/>
        </w:rPr>
        <w:t>&lt;</w:t>
      </w:r>
      <w:r>
        <w:rPr>
          <w:rStyle w:val="HideTWBExt"/>
        </w:rPr>
        <w:t>DocRef</w:t>
      </w:r>
      <w:r>
        <w:rPr>
          <w:rStyle w:val="HideTWBExt"/>
        </w:rPr>
        <w:t>&gt;</w:t>
      </w:r>
      <w:r>
        <w:t>2020/2140(DEC)</w:t>
      </w:r>
      <w:r>
        <w:rPr>
          <w:rStyle w:val="HideTWBExt"/>
        </w:rPr>
        <w:t>&lt;/</w:t>
      </w:r>
      <w:r>
        <w:rPr>
          <w:rStyle w:val="HideTWBExt"/>
        </w:rPr>
        <w:t>DocRef</w:t>
      </w:r>
      <w:r>
        <w:rPr>
          <w:rStyle w:val="HideTWBExt"/>
        </w:rPr>
        <w:t>&gt;</w:t>
      </w:r>
    </w:p>
    <w:p>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Paragraph 396 b (new)</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Motion for a resolution</w:t>
            </w:r>
          </w:p>
        </w:tc>
        <w:tc>
          <w:tcPr>
            <w:tcW w:w="4876" w:type="dxa"/>
            <w:vAlign w:val="top"/>
          </w:tcPr>
          <w:p>
            <w:pPr>
              <w:pStyle w:val="AmColumnHeading"/>
            </w:pPr>
            <w:r>
              <w:t>Amendment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Fonts w:ascii="Times New Roman" w:eastAsia="Times New Roman" w:hAnsi="Times New Roman" w:cs="Times New Roman"/>
                <w:b/>
                <w:i/>
                <w:strike w:val="0"/>
                <w:color w:val="auto"/>
                <w:sz w:val="24"/>
                <w:highlight w:val="none"/>
                <w:u w:val="none" w:color="auto"/>
                <w:vertAlign w:val="baseline"/>
              </w:rPr>
              <w:t>396 b.</w:t>
            </w:r>
            <w:r>
              <w:tab/>
            </w:r>
            <w:r>
              <w:rPr>
                <w:rFonts w:ascii="Times New Roman" w:eastAsia="Times New Roman" w:hAnsi="Times New Roman" w:cs="Times New Roman"/>
                <w:b/>
                <w:i/>
                <w:strike w:val="0"/>
                <w:color w:val="auto"/>
                <w:sz w:val="24"/>
                <w:highlight w:val="none"/>
                <w:u w:val="none" w:color="auto"/>
                <w:vertAlign w:val="baseline"/>
              </w:rPr>
              <w:t>is worried by the findings that suggest Croatia is engaging in collective expulsions, denying people the right to claim asylum, and beating and humiliating others; regrets that the Commission has failed to conduct any meaningful inquiry into the alleged abuse by the Croatian authorities and granted additional top-up funding in 2019 for border surveillance through ISF delegated acts and EMAS grants in full knowledge of the risks of violation of fundamental rights; expect that at least the already announced mission to ensure that Croatian border guards comply with fundamental rights, which was delayed because of the pandemic, will be sent as a matter of urgency, considering the dire situation of migrants on the border;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OrLang"/>
        <w:sectPr>
          <w:footerReference w:type="default" r:id="rId10"/>
          <w:type w:val="nextPage"/>
          <w:pgSz w:w="11906" w:h="16838"/>
          <w:pgMar w:top="1134" w:right="1417" w:bottom="1417" w:left="1417" w:header="1134" w:footer="567" w:gutter="0"/>
          <w:cols w:num="1" w:space="708"/>
          <w:titlePg w:val="0"/>
          <w:docGrid w:linePitch="360"/>
        </w:sectPr>
      </w:pPr>
      <w:r>
        <w:rPr>
          <w:rStyle w:val="HideTWBExt"/>
        </w:rPr>
        <w:t>&lt;/</w:t>
      </w:r>
      <w:r>
        <w:rPr>
          <w:rStyle w:val="HideTWBExt"/>
        </w:rPr>
        <w:t>Amend</w:t>
      </w:r>
      <w:r>
        <w:rPr>
          <w:rStyle w:val="HideTWBExt"/>
        </w:rPr>
        <w:t>&gt;</w:t>
      </w:r>
    </w:p>
    <w:p>
      <w:pPr>
        <w:pStyle w:val="AmDateTab"/>
      </w:pPr>
      <w:r>
        <w:rPr>
          <w:rStyle w:val="HideTWBExt"/>
        </w:rPr>
        <w:t>&lt;</w:t>
      </w:r>
      <w:r>
        <w:rPr>
          <w:rStyle w:val="HideTWBExt"/>
        </w:rPr>
        <w:t>Amend</w:t>
      </w:r>
      <w:r>
        <w:rPr>
          <w:rStyle w:val="HideTWBExt"/>
        </w:rPr>
        <w:t>&gt;</w:t>
      </w:r>
      <w:r>
        <w:rPr>
          <w:rStyle w:val="HideTWBExt"/>
        </w:rPr>
        <w:t>&lt;</w:t>
      </w:r>
      <w:r>
        <w:rPr>
          <w:rStyle w:val="HideTWBExt"/>
        </w:rPr>
        <w:t>Date</w:t>
      </w:r>
      <w:r>
        <w:rPr>
          <w:rStyle w:val="HideTWBExt"/>
        </w:rPr>
        <w:t>&gt;</w:t>
      </w:r>
      <w:r>
        <w:rPr>
          <w:rStyle w:val="HideTWBInt"/>
        </w:rPr>
        <w:t>{</w:t>
      </w:r>
      <w:r>
        <w:rPr>
          <w:rStyle w:val="HideTWBInt"/>
        </w:rPr>
        <w:t>22/04/2021</w:t>
      </w:r>
      <w:r>
        <w:rPr>
          <w:rStyle w:val="HideTWBInt"/>
        </w:rPr>
        <w:t>}</w:t>
      </w:r>
      <w:r>
        <w:t>22.4.2021</w:t>
      </w:r>
      <w:r>
        <w:rPr>
          <w:rStyle w:val="HideTWBExt"/>
        </w:rPr>
        <w:t>&lt;/</w:t>
      </w:r>
      <w:r>
        <w:rPr>
          <w:rStyle w:val="HideTWBExt"/>
        </w:rPr>
        <w:t>Date</w:t>
      </w:r>
      <w:r>
        <w:rPr>
          <w:rStyle w:val="HideTWBExt"/>
        </w:rPr>
        <w:t>&gt;</w:t>
      </w:r>
      <w:r>
        <w:tab/>
      </w:r>
      <w:r>
        <w:rPr>
          <w:rStyle w:val="HideTWBExt"/>
        </w:rPr>
        <w:t>&lt;</w:t>
      </w:r>
      <w:r>
        <w:rPr>
          <w:rStyle w:val="HideTWBExt"/>
        </w:rPr>
        <w:t>ANo</w:t>
      </w:r>
      <w:r>
        <w:rPr>
          <w:rStyle w:val="HideTWBExt"/>
        </w:rPr>
        <w:t>&gt;</w:t>
      </w:r>
      <w:r>
        <w:t>A9-0117</w:t>
      </w:r>
      <w:r>
        <w:rPr>
          <w:rStyle w:val="HideTWBExt"/>
        </w:rPr>
        <w:t>&lt;/</w:t>
      </w:r>
      <w:r>
        <w:rPr>
          <w:rStyle w:val="HideTWBExt"/>
        </w:rPr>
        <w:t>ANo</w:t>
      </w:r>
      <w:r>
        <w:rPr>
          <w:rStyle w:val="HideTWBExt"/>
        </w:rPr>
        <w:t>&gt;</w:t>
      </w:r>
      <w:r>
        <w:t>/</w:t>
      </w:r>
      <w:r>
        <w:rPr>
          <w:rStyle w:val="HideTWBExt"/>
        </w:rPr>
        <w:t>&lt;</w:t>
      </w:r>
      <w:r>
        <w:rPr>
          <w:rStyle w:val="HideTWBExt"/>
        </w:rPr>
        <w:t>NumAm</w:t>
      </w:r>
      <w:r>
        <w:rPr>
          <w:rStyle w:val="HideTWBExt"/>
        </w:rPr>
        <w:t>&gt;</w:t>
      </w:r>
      <w:r>
        <w:t>57</w:t>
      </w:r>
      <w:r>
        <w:rPr>
          <w:rStyle w:val="HideTWBExt"/>
        </w:rPr>
        <w:t>&lt;/</w:t>
      </w:r>
      <w:r>
        <w:rPr>
          <w:rStyle w:val="HideTWBExt"/>
        </w:rPr>
        <w:t>NumAm</w:t>
      </w:r>
      <w:r>
        <w:rPr>
          <w:rStyle w:val="HideTWBExt"/>
        </w:rPr>
        <w:t>&gt;</w:t>
      </w:r>
    </w:p>
    <w:p>
      <w:pPr>
        <w:pStyle w:val="AmNumberTabs"/>
      </w:pPr>
      <w:r>
        <w:t>Amendment</w:t>
      </w:r>
      <w:r>
        <w:tab/>
      </w:r>
      <w:r>
        <w:tab/>
      </w:r>
      <w:r>
        <w:rPr>
          <w:rStyle w:val="HideTWBExt"/>
        </w:rPr>
        <w:t>&lt;</w:t>
      </w:r>
      <w:r>
        <w:rPr>
          <w:rStyle w:val="HideTWBExt"/>
        </w:rPr>
        <w:t>NumAm</w:t>
      </w:r>
      <w:r>
        <w:rPr>
          <w:rStyle w:val="HideTWBExt"/>
        </w:rPr>
        <w:t>&gt;</w:t>
      </w:r>
      <w:r>
        <w:t>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Luke Ming Flanagan</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 xml:space="preserve">on behalf of the </w:t>
      </w:r>
      <w:r>
        <w:t>The Left</w:t>
      </w:r>
      <w:r>
        <w:t xml:space="preserve"> Group</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r>
      <w:r>
        <w:t>A9-0117/2021</w:t>
      </w:r>
    </w:p>
    <w:p>
      <w:pPr>
        <w:pStyle w:val="NormalBold"/>
      </w:pPr>
      <w:r>
        <w:rPr>
          <w:rStyle w:val="HideTWBExt"/>
        </w:rPr>
        <w:t>&lt;</w:t>
      </w:r>
      <w:r>
        <w:rPr>
          <w:rStyle w:val="HideTWBExt"/>
        </w:rPr>
        <w:t>Rapporteur</w:t>
      </w:r>
      <w:r>
        <w:rPr>
          <w:rStyle w:val="HideTWBExt"/>
        </w:rPr>
        <w:t>&gt;</w:t>
      </w:r>
      <w:r>
        <w:t>Joachim Kuhs</w:t>
      </w:r>
      <w:r>
        <w:rPr>
          <w:rStyle w:val="HideTWBExt"/>
        </w:rPr>
        <w:t>&lt;/</w:t>
      </w:r>
      <w:r>
        <w:rPr>
          <w:rStyle w:val="HideTWBExt"/>
        </w:rPr>
        <w:t>Rapporteur</w:t>
      </w:r>
      <w:r>
        <w:rPr>
          <w:rStyle w:val="HideTWBExt"/>
        </w:rPr>
        <w:t>&gt;</w:t>
      </w:r>
    </w:p>
    <w:p>
      <w:r>
        <w:rPr>
          <w:rStyle w:val="HideTWBExt"/>
        </w:rPr>
        <w:t>&lt;</w:t>
      </w:r>
      <w:r>
        <w:rPr>
          <w:rStyle w:val="HideTWBExt"/>
        </w:rPr>
        <w:t>Titre</w:t>
      </w:r>
      <w:r>
        <w:rPr>
          <w:rStyle w:val="HideTWBExt"/>
        </w:rPr>
        <w:t>&gt;</w:t>
      </w:r>
      <w:r>
        <w:t>2019 Discharge: EU general budget - Commission and executive agencies</w:t>
      </w:r>
      <w:r>
        <w:rPr>
          <w:rStyle w:val="HideTWBExt"/>
        </w:rPr>
        <w:t>&lt;/</w:t>
      </w:r>
      <w:r>
        <w:rPr>
          <w:rStyle w:val="HideTWBExt"/>
        </w:rPr>
        <w:t>Titre</w:t>
      </w:r>
      <w:r>
        <w:rPr>
          <w:rStyle w:val="HideTWBExt"/>
        </w:rPr>
        <w:t>&gt;</w:t>
      </w:r>
    </w:p>
    <w:p>
      <w:pPr>
        <w:pStyle w:val="Normal12a"/>
      </w:pPr>
      <w:r>
        <w:rPr>
          <w:rStyle w:val="HideTWBExt"/>
        </w:rPr>
        <w:t>&lt;</w:t>
      </w:r>
      <w:r>
        <w:rPr>
          <w:rStyle w:val="HideTWBExt"/>
        </w:rPr>
        <w:t>DocRef</w:t>
      </w:r>
      <w:r>
        <w:rPr>
          <w:rStyle w:val="HideTWBExt"/>
        </w:rPr>
        <w:t>&gt;</w:t>
      </w:r>
      <w:r>
        <w:t>2020/2140(DEC)</w:t>
      </w:r>
      <w:r>
        <w:rPr>
          <w:rStyle w:val="HideTWBExt"/>
        </w:rPr>
        <w:t>&lt;/</w:t>
      </w:r>
      <w:r>
        <w:rPr>
          <w:rStyle w:val="HideTWBExt"/>
        </w:rPr>
        <w:t>DocRef</w:t>
      </w:r>
      <w:r>
        <w:rPr>
          <w:rStyle w:val="HideTWBExt"/>
        </w:rPr>
        <w:t>&gt;</w:t>
      </w:r>
    </w:p>
    <w:p>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Paragraph 396 c (new)</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Motion for a resolution</w:t>
            </w:r>
          </w:p>
        </w:tc>
        <w:tc>
          <w:tcPr>
            <w:tcW w:w="4876" w:type="dxa"/>
            <w:vAlign w:val="top"/>
          </w:tcPr>
          <w:p>
            <w:pPr>
              <w:pStyle w:val="AmColumnHeading"/>
            </w:pPr>
            <w:r>
              <w:t>Amendment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Fonts w:ascii="Times New Roman" w:eastAsia="Times New Roman" w:hAnsi="Times New Roman" w:cs="Times New Roman"/>
                <w:b/>
                <w:i/>
                <w:strike w:val="0"/>
                <w:color w:val="auto"/>
                <w:sz w:val="24"/>
                <w:highlight w:val="none"/>
                <w:u w:val="none" w:color="auto"/>
                <w:vertAlign w:val="baseline"/>
              </w:rPr>
              <w:t>396 c.</w:t>
            </w:r>
            <w:r>
              <w:tab/>
            </w:r>
            <w:r>
              <w:rPr>
                <w:rFonts w:ascii="Times New Roman" w:eastAsia="Times New Roman" w:hAnsi="Times New Roman" w:cs="Times New Roman"/>
                <w:b/>
                <w:i/>
                <w:strike w:val="0"/>
                <w:color w:val="auto"/>
                <w:sz w:val="24"/>
                <w:highlight w:val="none"/>
                <w:u w:val="none" w:color="auto"/>
                <w:vertAlign w:val="baseline"/>
              </w:rPr>
              <w:t>recalls that EU funding instruments for border management require all actions funded to respect and comply with the Charter of Fundamental Rights; insists therefore that any future emergency assistance related to border management granted to Croatia should be granted only after a monitoring mechanism is implemented and an assessment made that serious deficiencies, such as the violation of article 4 of the Schengen Borders Code, will be urgently remedied.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OrLang"/>
        <w:sectPr>
          <w:footerReference w:type="default" r:id="rId11"/>
          <w:type w:val="nextPage"/>
          <w:pgSz w:w="11906" w:h="16838"/>
          <w:pgMar w:top="1134" w:right="1417" w:bottom="1417" w:left="1417" w:header="1134" w:footer="567" w:gutter="0"/>
          <w:cols w:num="1" w:space="708"/>
          <w:titlePg w:val="0"/>
          <w:docGrid w:linePitch="360"/>
        </w:sectPr>
      </w:pPr>
      <w:r>
        <w:rPr>
          <w:rStyle w:val="HideTWBExt"/>
        </w:rPr>
        <w:t>&lt;/</w:t>
      </w:r>
      <w:r>
        <w:rPr>
          <w:rStyle w:val="HideTWBExt"/>
        </w:rPr>
        <w:t>Amend</w:t>
      </w:r>
      <w:r>
        <w:rPr>
          <w:rStyle w:val="HideTWBExt"/>
        </w:rPr>
        <w:t>&gt;</w:t>
      </w:r>
    </w:p>
    <w:p>
      <w:pPr>
        <w:pStyle w:val="AmDateTab"/>
      </w:pPr>
      <w:r>
        <w:rPr>
          <w:rStyle w:val="HideTWBExt"/>
        </w:rPr>
        <w:t>&lt;</w:t>
      </w:r>
      <w:r>
        <w:rPr>
          <w:rStyle w:val="HideTWBExt"/>
        </w:rPr>
        <w:t>Amend</w:t>
      </w:r>
      <w:r>
        <w:rPr>
          <w:rStyle w:val="HideTWBExt"/>
        </w:rPr>
        <w:t>&gt;</w:t>
      </w:r>
      <w:r>
        <w:rPr>
          <w:rStyle w:val="HideTWBExt"/>
        </w:rPr>
        <w:t>&lt;</w:t>
      </w:r>
      <w:r>
        <w:rPr>
          <w:rStyle w:val="HideTWBExt"/>
        </w:rPr>
        <w:t>Date</w:t>
      </w:r>
      <w:r>
        <w:rPr>
          <w:rStyle w:val="HideTWBExt"/>
        </w:rPr>
        <w:t>&gt;</w:t>
      </w:r>
      <w:r>
        <w:rPr>
          <w:rStyle w:val="HideTWBInt"/>
        </w:rPr>
        <w:t>{</w:t>
      </w:r>
      <w:r>
        <w:rPr>
          <w:rStyle w:val="HideTWBInt"/>
        </w:rPr>
        <w:t>22/04/2021</w:t>
      </w:r>
      <w:r>
        <w:rPr>
          <w:rStyle w:val="HideTWBInt"/>
        </w:rPr>
        <w:t>}</w:t>
      </w:r>
      <w:r>
        <w:t>22.4.2021</w:t>
      </w:r>
      <w:r>
        <w:rPr>
          <w:rStyle w:val="HideTWBExt"/>
        </w:rPr>
        <w:t>&lt;/</w:t>
      </w:r>
      <w:r>
        <w:rPr>
          <w:rStyle w:val="HideTWBExt"/>
        </w:rPr>
        <w:t>Date</w:t>
      </w:r>
      <w:r>
        <w:rPr>
          <w:rStyle w:val="HideTWBExt"/>
        </w:rPr>
        <w:t>&gt;</w:t>
      </w:r>
      <w:r>
        <w:tab/>
      </w:r>
      <w:r>
        <w:rPr>
          <w:rStyle w:val="HideTWBExt"/>
        </w:rPr>
        <w:t>&lt;</w:t>
      </w:r>
      <w:r>
        <w:rPr>
          <w:rStyle w:val="HideTWBExt"/>
        </w:rPr>
        <w:t>ANo</w:t>
      </w:r>
      <w:r>
        <w:rPr>
          <w:rStyle w:val="HideTWBExt"/>
        </w:rPr>
        <w:t>&gt;</w:t>
      </w:r>
      <w:r>
        <w:t>A9-0117</w:t>
      </w:r>
      <w:r>
        <w:rPr>
          <w:rStyle w:val="HideTWBExt"/>
        </w:rPr>
        <w:t>&lt;/</w:t>
      </w:r>
      <w:r>
        <w:rPr>
          <w:rStyle w:val="HideTWBExt"/>
        </w:rPr>
        <w:t>ANo</w:t>
      </w:r>
      <w:r>
        <w:rPr>
          <w:rStyle w:val="HideTWBExt"/>
        </w:rPr>
        <w:t>&gt;</w:t>
      </w:r>
      <w:r>
        <w:t>/</w:t>
      </w:r>
      <w:r>
        <w:rPr>
          <w:rStyle w:val="HideTWBExt"/>
        </w:rPr>
        <w:t>&lt;</w:t>
      </w:r>
      <w:r>
        <w:rPr>
          <w:rStyle w:val="HideTWBExt"/>
        </w:rPr>
        <w:t>NumAm</w:t>
      </w:r>
      <w:r>
        <w:rPr>
          <w:rStyle w:val="HideTWBExt"/>
        </w:rPr>
        <w:t>&gt;</w:t>
      </w:r>
      <w:r>
        <w:t>58</w:t>
      </w:r>
      <w:r>
        <w:rPr>
          <w:rStyle w:val="HideTWBExt"/>
        </w:rPr>
        <w:t>&lt;/</w:t>
      </w:r>
      <w:r>
        <w:rPr>
          <w:rStyle w:val="HideTWBExt"/>
        </w:rPr>
        <w:t>NumAm</w:t>
      </w:r>
      <w:r>
        <w:rPr>
          <w:rStyle w:val="HideTWBExt"/>
        </w:rPr>
        <w:t>&gt;</w:t>
      </w:r>
    </w:p>
    <w:p>
      <w:pPr>
        <w:pStyle w:val="AmNumberTabs"/>
      </w:pPr>
      <w:r>
        <w:t>Amendment</w:t>
      </w:r>
      <w:r>
        <w:tab/>
      </w:r>
      <w:r>
        <w:tab/>
      </w:r>
      <w:r>
        <w:rPr>
          <w:rStyle w:val="HideTWBExt"/>
        </w:rPr>
        <w:t>&lt;</w:t>
      </w:r>
      <w:r>
        <w:rPr>
          <w:rStyle w:val="HideTWBExt"/>
        </w:rPr>
        <w:t>NumAm</w:t>
      </w:r>
      <w:r>
        <w:rPr>
          <w:rStyle w:val="HideTWBExt"/>
        </w:rPr>
        <w:t>&gt;</w:t>
      </w:r>
      <w:r>
        <w:t>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Luke Ming Flanagan</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 xml:space="preserve">on behalf of the </w:t>
      </w:r>
      <w:r>
        <w:t>The Left</w:t>
      </w:r>
      <w:r>
        <w:t xml:space="preserve"> Group</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r>
      <w:r>
        <w:t>A9-0117/2021</w:t>
      </w:r>
    </w:p>
    <w:p>
      <w:pPr>
        <w:pStyle w:val="NormalBold"/>
      </w:pPr>
      <w:r>
        <w:rPr>
          <w:rStyle w:val="HideTWBExt"/>
        </w:rPr>
        <w:t>&lt;</w:t>
      </w:r>
      <w:r>
        <w:rPr>
          <w:rStyle w:val="HideTWBExt"/>
        </w:rPr>
        <w:t>Rapporteur</w:t>
      </w:r>
      <w:r>
        <w:rPr>
          <w:rStyle w:val="HideTWBExt"/>
        </w:rPr>
        <w:t>&gt;</w:t>
      </w:r>
      <w:r>
        <w:t>Joachim Kuhs</w:t>
      </w:r>
      <w:r>
        <w:rPr>
          <w:rStyle w:val="HideTWBExt"/>
        </w:rPr>
        <w:t>&lt;/</w:t>
      </w:r>
      <w:r>
        <w:rPr>
          <w:rStyle w:val="HideTWBExt"/>
        </w:rPr>
        <w:t>Rapporteur</w:t>
      </w:r>
      <w:r>
        <w:rPr>
          <w:rStyle w:val="HideTWBExt"/>
        </w:rPr>
        <w:t>&gt;</w:t>
      </w:r>
    </w:p>
    <w:p>
      <w:r>
        <w:rPr>
          <w:rStyle w:val="HideTWBExt"/>
        </w:rPr>
        <w:t>&lt;</w:t>
      </w:r>
      <w:r>
        <w:rPr>
          <w:rStyle w:val="HideTWBExt"/>
        </w:rPr>
        <w:t>Titre</w:t>
      </w:r>
      <w:r>
        <w:rPr>
          <w:rStyle w:val="HideTWBExt"/>
        </w:rPr>
        <w:t>&gt;</w:t>
      </w:r>
      <w:r>
        <w:t>2019 Discharge: EU general budget - Commission and executive agencies</w:t>
      </w:r>
      <w:r>
        <w:rPr>
          <w:rStyle w:val="HideTWBExt"/>
        </w:rPr>
        <w:t>&lt;/</w:t>
      </w:r>
      <w:r>
        <w:rPr>
          <w:rStyle w:val="HideTWBExt"/>
        </w:rPr>
        <w:t>Titre</w:t>
      </w:r>
      <w:r>
        <w:rPr>
          <w:rStyle w:val="HideTWBExt"/>
        </w:rPr>
        <w:t>&gt;</w:t>
      </w:r>
    </w:p>
    <w:p>
      <w:pPr>
        <w:pStyle w:val="Normal12a"/>
      </w:pPr>
      <w:r>
        <w:rPr>
          <w:rStyle w:val="HideTWBExt"/>
        </w:rPr>
        <w:t>&lt;</w:t>
      </w:r>
      <w:r>
        <w:rPr>
          <w:rStyle w:val="HideTWBExt"/>
        </w:rPr>
        <w:t>DocRef</w:t>
      </w:r>
      <w:r>
        <w:rPr>
          <w:rStyle w:val="HideTWBExt"/>
        </w:rPr>
        <w:t>&gt;</w:t>
      </w:r>
      <w:r>
        <w:t>2020/2140(DEC)</w:t>
      </w:r>
      <w:r>
        <w:rPr>
          <w:rStyle w:val="HideTWBExt"/>
        </w:rPr>
        <w:t>&lt;/</w:t>
      </w:r>
      <w:r>
        <w:rPr>
          <w:rStyle w:val="HideTWBExt"/>
        </w:rPr>
        <w:t>DocRef</w:t>
      </w:r>
      <w:r>
        <w:rPr>
          <w:rStyle w:val="HideTWBExt"/>
        </w:rPr>
        <w:t>&gt;</w:t>
      </w:r>
    </w:p>
    <w:p>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Paragraph 416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Motion for a resolution</w:t>
            </w:r>
          </w:p>
        </w:tc>
        <w:tc>
          <w:tcPr>
            <w:tcW w:w="4876" w:type="dxa"/>
            <w:vAlign w:val="top"/>
          </w:tcPr>
          <w:p>
            <w:pPr>
              <w:pStyle w:val="AmColumnHeading"/>
            </w:pPr>
            <w:r>
              <w:t>Amendment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Fonts w:ascii="Times New Roman" w:eastAsia="Times New Roman" w:hAnsi="Times New Roman" w:cs="Times New Roman"/>
                <w:b/>
                <w:i/>
                <w:strike w:val="0"/>
                <w:color w:val="auto"/>
                <w:sz w:val="24"/>
                <w:highlight w:val="none"/>
                <w:u w:val="none" w:color="auto"/>
                <w:vertAlign w:val="baseline"/>
              </w:rPr>
              <w:t>416.</w:t>
            </w:r>
            <w:r>
              <w:tab/>
            </w:r>
            <w:r>
              <w:rPr>
                <w:rFonts w:ascii="Times New Roman" w:eastAsia="Times New Roman" w:hAnsi="Times New Roman" w:cs="Times New Roman"/>
                <w:b/>
                <w:i/>
                <w:strike w:val="0"/>
                <w:color w:val="auto"/>
                <w:sz w:val="24"/>
                <w:highlight w:val="none"/>
                <w:u w:val="none" w:color="auto"/>
                <w:vertAlign w:val="baseline"/>
              </w:rPr>
              <w:t>The deficits are mainly caused by the length of asylum procedures, sluggish integration and insufficient return rates; calls on the EU Commission and the member states to make immediate legislative progress;</w:t>
            </w:r>
          </w:p>
        </w:tc>
        <w:tc>
          <w:tcPr>
            <w:tcW w:w="4876" w:type="dxa"/>
            <w:vAlign w:val="top"/>
          </w:tcPr>
          <w:p>
            <w:pPr>
              <w:pStyle w:val="Normal6a"/>
            </w:pPr>
            <w:r>
              <w:rPr>
                <w:rFonts w:ascii="Times New Roman" w:eastAsia="Times New Roman" w:hAnsi="Times New Roman" w:cs="Times New Roman"/>
                <w:b/>
                <w:i/>
                <w:strike w:val="0"/>
                <w:color w:val="auto"/>
                <w:sz w:val="24"/>
                <w:highlight w:val="none"/>
                <w:u w:val="none" w:color="auto"/>
                <w:vertAlign w:val="baseline"/>
              </w:rPr>
              <w:t>deleted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OrLang"/>
        <w:sectPr>
          <w:footerReference w:type="default" r:id="rId12"/>
          <w:type w:val="nextPage"/>
          <w:pgSz w:w="11906" w:h="16838"/>
          <w:pgMar w:top="1134" w:right="1417" w:bottom="1417" w:left="1417" w:header="1134" w:footer="567" w:gutter="0"/>
          <w:cols w:num="1" w:space="708"/>
          <w:titlePg w:val="0"/>
          <w:docGrid w:linePitch="360"/>
        </w:sectPr>
      </w:pPr>
      <w:r>
        <w:rPr>
          <w:rStyle w:val="HideTWBExt"/>
        </w:rPr>
        <w:t>&lt;/</w:t>
      </w:r>
      <w:r>
        <w:rPr>
          <w:rStyle w:val="HideTWBExt"/>
        </w:rPr>
        <w:t>Amend</w:t>
      </w:r>
      <w:r>
        <w:rPr>
          <w:rStyle w:val="HideTWBExt"/>
        </w:rPr>
        <w:t>&gt;</w:t>
      </w:r>
    </w:p>
    <w:p>
      <w:pPr>
        <w:pStyle w:val="AmDateTab"/>
      </w:pPr>
      <w:r>
        <w:rPr>
          <w:rStyle w:val="HideTWBExt"/>
        </w:rPr>
        <w:t>&lt;</w:t>
      </w:r>
      <w:r>
        <w:rPr>
          <w:rStyle w:val="HideTWBExt"/>
        </w:rPr>
        <w:t>Amend</w:t>
      </w:r>
      <w:r>
        <w:rPr>
          <w:rStyle w:val="HideTWBExt"/>
        </w:rPr>
        <w:t>&gt;</w:t>
      </w:r>
      <w:r>
        <w:rPr>
          <w:rStyle w:val="HideTWBExt"/>
        </w:rPr>
        <w:t>&lt;</w:t>
      </w:r>
      <w:r>
        <w:rPr>
          <w:rStyle w:val="HideTWBExt"/>
        </w:rPr>
        <w:t>Date</w:t>
      </w:r>
      <w:r>
        <w:rPr>
          <w:rStyle w:val="HideTWBExt"/>
        </w:rPr>
        <w:t>&gt;</w:t>
      </w:r>
      <w:r>
        <w:rPr>
          <w:rStyle w:val="HideTWBInt"/>
        </w:rPr>
        <w:t>{</w:t>
      </w:r>
      <w:r>
        <w:rPr>
          <w:rStyle w:val="HideTWBInt"/>
        </w:rPr>
        <w:t>22/04/2021</w:t>
      </w:r>
      <w:r>
        <w:rPr>
          <w:rStyle w:val="HideTWBInt"/>
        </w:rPr>
        <w:t>}</w:t>
      </w:r>
      <w:r>
        <w:t>22.4.2021</w:t>
      </w:r>
      <w:r>
        <w:rPr>
          <w:rStyle w:val="HideTWBExt"/>
        </w:rPr>
        <w:t>&lt;/</w:t>
      </w:r>
      <w:r>
        <w:rPr>
          <w:rStyle w:val="HideTWBExt"/>
        </w:rPr>
        <w:t>Date</w:t>
      </w:r>
      <w:r>
        <w:rPr>
          <w:rStyle w:val="HideTWBExt"/>
        </w:rPr>
        <w:t>&gt;</w:t>
      </w:r>
      <w:r>
        <w:tab/>
      </w:r>
      <w:r>
        <w:rPr>
          <w:rStyle w:val="HideTWBExt"/>
        </w:rPr>
        <w:t>&lt;</w:t>
      </w:r>
      <w:r>
        <w:rPr>
          <w:rStyle w:val="HideTWBExt"/>
        </w:rPr>
        <w:t>ANo</w:t>
      </w:r>
      <w:r>
        <w:rPr>
          <w:rStyle w:val="HideTWBExt"/>
        </w:rPr>
        <w:t>&gt;</w:t>
      </w:r>
      <w:r>
        <w:t>A9-0117</w:t>
      </w:r>
      <w:r>
        <w:rPr>
          <w:rStyle w:val="HideTWBExt"/>
        </w:rPr>
        <w:t>&lt;/</w:t>
      </w:r>
      <w:r>
        <w:rPr>
          <w:rStyle w:val="HideTWBExt"/>
        </w:rPr>
        <w:t>ANo</w:t>
      </w:r>
      <w:r>
        <w:rPr>
          <w:rStyle w:val="HideTWBExt"/>
        </w:rPr>
        <w:t>&gt;</w:t>
      </w:r>
      <w:r>
        <w:t>/</w:t>
      </w:r>
      <w:r>
        <w:rPr>
          <w:rStyle w:val="HideTWBExt"/>
        </w:rPr>
        <w:t>&lt;</w:t>
      </w:r>
      <w:r>
        <w:rPr>
          <w:rStyle w:val="HideTWBExt"/>
        </w:rPr>
        <w:t>NumAm</w:t>
      </w:r>
      <w:r>
        <w:rPr>
          <w:rStyle w:val="HideTWBExt"/>
        </w:rPr>
        <w:t>&gt;</w:t>
      </w:r>
      <w:r>
        <w:t>59</w:t>
      </w:r>
      <w:r>
        <w:rPr>
          <w:rStyle w:val="HideTWBExt"/>
        </w:rPr>
        <w:t>&lt;/</w:t>
      </w:r>
      <w:r>
        <w:rPr>
          <w:rStyle w:val="HideTWBExt"/>
        </w:rPr>
        <w:t>NumAm</w:t>
      </w:r>
      <w:r>
        <w:rPr>
          <w:rStyle w:val="HideTWBExt"/>
        </w:rPr>
        <w:t>&gt;</w:t>
      </w:r>
    </w:p>
    <w:p>
      <w:pPr>
        <w:pStyle w:val="AmNumberTabs"/>
      </w:pPr>
      <w:r>
        <w:t>Amendment</w:t>
      </w:r>
      <w:r>
        <w:tab/>
      </w:r>
      <w:r>
        <w:tab/>
      </w:r>
      <w:r>
        <w:rPr>
          <w:rStyle w:val="HideTWBExt"/>
        </w:rPr>
        <w:t>&lt;</w:t>
      </w:r>
      <w:r>
        <w:rPr>
          <w:rStyle w:val="HideTWBExt"/>
        </w:rPr>
        <w:t>NumAm</w:t>
      </w:r>
      <w:r>
        <w:rPr>
          <w:rStyle w:val="HideTWBExt"/>
        </w:rPr>
        <w:t>&gt;</w:t>
      </w:r>
      <w:r>
        <w:t>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Luke Ming Flanagan</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 xml:space="preserve">on behalf of the </w:t>
      </w:r>
      <w:r>
        <w:t>The Left</w:t>
      </w:r>
      <w:r>
        <w:t xml:space="preserve"> Group</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r>
      <w:r>
        <w:t>A9-0117/2021</w:t>
      </w:r>
    </w:p>
    <w:p>
      <w:pPr>
        <w:pStyle w:val="NormalBold"/>
      </w:pPr>
      <w:r>
        <w:rPr>
          <w:rStyle w:val="HideTWBExt"/>
        </w:rPr>
        <w:t>&lt;</w:t>
      </w:r>
      <w:r>
        <w:rPr>
          <w:rStyle w:val="HideTWBExt"/>
        </w:rPr>
        <w:t>Rapporteur</w:t>
      </w:r>
      <w:r>
        <w:rPr>
          <w:rStyle w:val="HideTWBExt"/>
        </w:rPr>
        <w:t>&gt;</w:t>
      </w:r>
      <w:r>
        <w:t>Joachim Kuhs</w:t>
      </w:r>
      <w:r>
        <w:rPr>
          <w:rStyle w:val="HideTWBExt"/>
        </w:rPr>
        <w:t>&lt;/</w:t>
      </w:r>
      <w:r>
        <w:rPr>
          <w:rStyle w:val="HideTWBExt"/>
        </w:rPr>
        <w:t>Rapporteur</w:t>
      </w:r>
      <w:r>
        <w:rPr>
          <w:rStyle w:val="HideTWBExt"/>
        </w:rPr>
        <w:t>&gt;</w:t>
      </w:r>
    </w:p>
    <w:p>
      <w:r>
        <w:rPr>
          <w:rStyle w:val="HideTWBExt"/>
        </w:rPr>
        <w:t>&lt;</w:t>
      </w:r>
      <w:r>
        <w:rPr>
          <w:rStyle w:val="HideTWBExt"/>
        </w:rPr>
        <w:t>Titre</w:t>
      </w:r>
      <w:r>
        <w:rPr>
          <w:rStyle w:val="HideTWBExt"/>
        </w:rPr>
        <w:t>&gt;</w:t>
      </w:r>
      <w:r>
        <w:t>2019 Discharge: EU general budget - Commission and executive agencies</w:t>
      </w:r>
      <w:r>
        <w:rPr>
          <w:rStyle w:val="HideTWBExt"/>
        </w:rPr>
        <w:t>&lt;/</w:t>
      </w:r>
      <w:r>
        <w:rPr>
          <w:rStyle w:val="HideTWBExt"/>
        </w:rPr>
        <w:t>Titre</w:t>
      </w:r>
      <w:r>
        <w:rPr>
          <w:rStyle w:val="HideTWBExt"/>
        </w:rPr>
        <w:t>&gt;</w:t>
      </w:r>
    </w:p>
    <w:p>
      <w:pPr>
        <w:pStyle w:val="Normal12a"/>
      </w:pPr>
      <w:r>
        <w:rPr>
          <w:rStyle w:val="HideTWBExt"/>
        </w:rPr>
        <w:t>&lt;</w:t>
      </w:r>
      <w:r>
        <w:rPr>
          <w:rStyle w:val="HideTWBExt"/>
        </w:rPr>
        <w:t>DocRef</w:t>
      </w:r>
      <w:r>
        <w:rPr>
          <w:rStyle w:val="HideTWBExt"/>
        </w:rPr>
        <w:t>&gt;</w:t>
      </w:r>
      <w:r>
        <w:t>2020/2140(DEC)</w:t>
      </w:r>
      <w:r>
        <w:rPr>
          <w:rStyle w:val="HideTWBExt"/>
        </w:rPr>
        <w:t>&lt;/</w:t>
      </w:r>
      <w:r>
        <w:rPr>
          <w:rStyle w:val="HideTWBExt"/>
        </w:rPr>
        <w:t>DocRef</w:t>
      </w:r>
      <w:r>
        <w:rPr>
          <w:rStyle w:val="HideTWBExt"/>
        </w:rPr>
        <w:t>&gt;</w:t>
      </w:r>
    </w:p>
    <w:p>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Paragraph 419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Motion for a resolution</w:t>
            </w:r>
          </w:p>
        </w:tc>
        <w:tc>
          <w:tcPr>
            <w:tcW w:w="4876" w:type="dxa"/>
            <w:vAlign w:val="top"/>
          </w:tcPr>
          <w:p>
            <w:pPr>
              <w:pStyle w:val="AmColumnHeading"/>
            </w:pPr>
            <w:r>
              <w:t>Amendment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419.</w:t>
            </w:r>
            <w:r>
              <w:tab/>
            </w:r>
            <w:r>
              <w:rPr>
                <w:rFonts w:ascii="Times New Roman" w:eastAsia="Times New Roman" w:hAnsi="Times New Roman" w:cs="Times New Roman"/>
                <w:b/>
                <w:i/>
                <w:strike w:val="0"/>
                <w:color w:val="auto"/>
                <w:sz w:val="24"/>
                <w:highlight w:val="none"/>
                <w:u w:val="none" w:color="auto"/>
                <w:vertAlign w:val="baseline"/>
              </w:rPr>
              <w:t>Is deeply concerned</w:t>
            </w:r>
            <w:r>
              <w:t xml:space="preserve"> that the </w:t>
            </w:r>
            <w:r>
              <w:rPr>
                <w:rFonts w:ascii="Times New Roman" w:eastAsia="Times New Roman" w:hAnsi="Times New Roman" w:cs="Times New Roman"/>
                <w:b/>
                <w:i/>
                <w:strike w:val="0"/>
                <w:color w:val="auto"/>
                <w:sz w:val="24"/>
                <w:highlight w:val="none"/>
                <w:u w:val="none" w:color="auto"/>
                <w:vertAlign w:val="baseline"/>
              </w:rPr>
              <w:t>AMPR and programme statements</w:t>
            </w:r>
            <w:r>
              <w:t xml:space="preserve"> provide little information about economy and efficiency in implementing the fund</w:t>
            </w:r>
            <w:r>
              <w:rPr>
                <w:rFonts w:ascii="Times New Roman" w:eastAsia="Times New Roman" w:hAnsi="Times New Roman" w:cs="Times New Roman"/>
                <w:b/>
                <w:i/>
                <w:strike w:val="0"/>
                <w:color w:val="auto"/>
                <w:sz w:val="24"/>
                <w:highlight w:val="none"/>
                <w:u w:val="none" w:color="auto"/>
                <w:vertAlign w:val="baseline"/>
              </w:rPr>
              <w:t>, or about the cost effectiveness of AMIF actions</w:t>
            </w:r>
            <w:r>
              <w:t>;</w:t>
            </w:r>
          </w:p>
        </w:tc>
        <w:tc>
          <w:tcPr>
            <w:tcW w:w="4876" w:type="dxa"/>
            <w:vAlign w:val="top"/>
          </w:tcPr>
          <w:p>
            <w:pPr>
              <w:pStyle w:val="Normal6a"/>
            </w:pPr>
            <w:r>
              <w:t>419.</w:t>
            </w:r>
            <w:r>
              <w:tab/>
            </w:r>
            <w:r>
              <w:rPr>
                <w:rFonts w:ascii="Times New Roman" w:eastAsia="Times New Roman" w:hAnsi="Times New Roman" w:cs="Times New Roman"/>
                <w:b/>
                <w:i/>
                <w:strike w:val="0"/>
                <w:color w:val="auto"/>
                <w:sz w:val="24"/>
                <w:highlight w:val="none"/>
                <w:u w:val="none" w:color="auto"/>
                <w:vertAlign w:val="baseline"/>
              </w:rPr>
              <w:t>Takes note</w:t>
            </w:r>
            <w:r>
              <w:t xml:space="preserve"> that the </w:t>
            </w:r>
            <w:r>
              <w:rPr>
                <w:rFonts w:ascii="Times New Roman" w:eastAsia="Times New Roman" w:hAnsi="Times New Roman" w:cs="Times New Roman"/>
                <w:b/>
                <w:i/>
                <w:strike w:val="0"/>
                <w:color w:val="auto"/>
                <w:sz w:val="24"/>
                <w:highlight w:val="none"/>
                <w:u w:val="none" w:color="auto"/>
                <w:vertAlign w:val="baseline"/>
              </w:rPr>
              <w:t>information available points to the relevance of spending and its EU added-value, but the indicators defined</w:t>
            </w:r>
            <w:r>
              <w:t> provide little information about economy and efficiency in implementing the fund;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OrLang"/>
      </w:pPr>
      <w:r>
        <w:rPr>
          <w:rStyle w:val="HideTWBExt"/>
        </w:rPr>
        <w:t>&lt;/</w:t>
      </w:r>
      <w:r>
        <w:rPr>
          <w:rStyle w:val="HideTWBExt"/>
        </w:rPr>
        <w:t>Amend</w:t>
      </w:r>
      <w:r>
        <w:rPr>
          <w:rStyle w:val="HideTWBExt"/>
        </w:rPr>
        <w:t>&gt;</w:t>
      </w:r>
      <w:r>
        <w:rPr>
          <w:rStyle w:val="HideTWBExt"/>
        </w:rPr>
        <w:t>&lt;/</w:t>
      </w:r>
      <w:r>
        <w:rPr>
          <w:rStyle w:val="HideTWBExt"/>
        </w:rPr>
        <w:t>RepeatBlock-Amend</w:t>
      </w:r>
      <w:r>
        <w:rPr>
          <w:rStyle w:val="HideTWBExt"/>
        </w:rPr>
        <w:t>&gt;</w:t>
      </w:r>
    </w:p>
    <w:sectPr>
      <w:footerReference w:type="default" r:id="rId13"/>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AM\P9_AMA(2021)0117(050-059)EN.docx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690.778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EN</w:t>
    </w:r>
    <w:r>
      <w:tab/>
    </w:r>
    <w:r>
      <w:rPr>
        <w:rStyle w:val="EPFooter2Middle"/>
      </w:rPr>
      <w:t>United in diversity</w:t>
    </w:r>
    <w:r>
      <w:tab/>
    </w: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AM\P9_AMA(2021)0117(050-059)EN.docx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690.778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EN</w:t>
    </w:r>
    <w:r>
      <w:tab/>
    </w:r>
    <w:r>
      <w:rPr>
        <w:rStyle w:val="EPFooter2Middle"/>
      </w:rPr>
      <w:t>United in diversity</w:t>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AM\P9_AMA(2021)0117(050-059)EN.docx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690.778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EN</w:t>
    </w:r>
    <w:r>
      <w:tab/>
    </w:r>
    <w:r>
      <w:rPr>
        <w:rStyle w:val="EPFooter2Middle"/>
      </w:rPr>
      <w:t>United in diversity</w:t>
    </w:r>
    <w:r>
      <w:tab/>
    </w:r>
    <w:r>
      <w:t>EN</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AM\P9_AMA(2021)0117(050-059)EN.docx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690.778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EN</w:t>
    </w:r>
    <w:r>
      <w:tab/>
    </w:r>
    <w:r>
      <w:rPr>
        <w:rStyle w:val="EPFooter2Middle"/>
      </w:rPr>
      <w:t>United in diversity</w:t>
    </w:r>
    <w:r>
      <w:tab/>
    </w:r>
    <w:r>
      <w:t>EN</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AM\P9_AMA(2021)0117(050-059)EN.docx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690.778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EN</w:t>
    </w:r>
    <w:r>
      <w:tab/>
    </w:r>
    <w:r>
      <w:rPr>
        <w:rStyle w:val="EPFooter2Middle"/>
      </w:rPr>
      <w:t>United in diversity</w:t>
    </w:r>
    <w:r>
      <w:tab/>
    </w:r>
    <w:r>
      <w:t>EN</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AM\P9_AMA(2021)0117(050-059)EN.docx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690.778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EN</w:t>
    </w:r>
    <w:r>
      <w:tab/>
    </w:r>
    <w:r>
      <w:rPr>
        <w:rStyle w:val="EPFooter2Middle"/>
      </w:rPr>
      <w:t>United in diversity</w:t>
    </w:r>
    <w:r>
      <w:tab/>
    </w:r>
    <w:r>
      <w:t>EN</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AM\P9_AMA(2021)0117(050-059)EN.docx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690.778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EN</w:t>
    </w:r>
    <w:r>
      <w:tab/>
    </w:r>
    <w:r>
      <w:rPr>
        <w:rStyle w:val="EPFooter2Middle"/>
      </w:rPr>
      <w:t>United in diversity</w:t>
    </w:r>
    <w:r>
      <w:tab/>
    </w:r>
    <w:r>
      <w:t>EN</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AM\P9_AMA(2021)0117(050-059)EN.docx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690.778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EN</w:t>
    </w:r>
    <w:r>
      <w:tab/>
    </w:r>
    <w:r>
      <w:rPr>
        <w:rStyle w:val="EPFooter2Middle"/>
      </w:rPr>
      <w:t>United in diversity</w:t>
    </w:r>
    <w:r>
      <w:tab/>
    </w:r>
    <w:r>
      <w:t>EN</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AM\P9_AMA(2021)0117(050-059)EN.docx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690.778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EN</w:t>
    </w:r>
    <w:r>
      <w:tab/>
    </w:r>
    <w:r>
      <w:rPr>
        <w:rStyle w:val="EPFooter2Middle"/>
      </w:rPr>
      <w:t>United in diversity</w:t>
    </w:r>
    <w:r>
      <w:tab/>
    </w:r>
    <w:r>
      <w:t>EN</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AM\P9_AMA(2021)0117(050-059)EN.docx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690.778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EN</w:t>
    </w:r>
    <w:r>
      <w:tab/>
    </w:r>
    <w:r>
      <w:rPr>
        <w:rStyle w:val="EPFooter2Middle"/>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sid w:val="002A1B45"/>
    <w:rPr>
      <w:rFonts w:ascii="Arial" w:hAnsi="Arial"/>
      <w:noProof/>
      <w:vanish/>
      <w:color w:val="000080"/>
      <w:sz w:val="20"/>
    </w:rPr>
  </w:style>
  <w:style w:type="paragraph" w:styleId="Header">
    <w:name w:val="header"/>
    <w:basedOn w:val="Normal"/>
    <w:link w:val="HeaderChar"/>
    <w:semiHidden/>
    <w:rsid w:val="00B62086"/>
    <w:pPr>
      <w:tabs>
        <w:tab w:val="center" w:pos="4513"/>
        <w:tab w:val="right" w:pos="9026"/>
      </w:tabs>
    </w:pPr>
  </w:style>
  <w:style w:type="paragraph" w:styleId="Footer">
    <w:name w:val="footer"/>
    <w:basedOn w:val="Normal"/>
    <w:link w:val="FooterChar"/>
    <w:semiHidden/>
    <w:rsid w:val="00DB5BE3"/>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BE76A8"/>
    <w:pPr>
      <w:tabs>
        <w:tab w:val="right" w:pos="9072"/>
      </w:tabs>
    </w:pPr>
    <w:rPr>
      <w:b/>
    </w:rPr>
  </w:style>
  <w:style w:type="paragraph" w:customStyle="1" w:styleId="Normal12a">
    <w:name w:val="Normal12a"/>
    <w:basedOn w:val="Normal"/>
    <w:rsid w:val="002A1B45"/>
    <w:pPr>
      <w:spacing w:after="240"/>
    </w:pPr>
  </w:style>
  <w:style w:type="paragraph" w:customStyle="1" w:styleId="EPFooter2">
    <w:name w:val="EPFooter2"/>
    <w:basedOn w:val="Normal"/>
    <w:next w:val="Normal"/>
    <w:rsid w:val="00506B8C"/>
    <w:pPr>
      <w:widowControl/>
      <w:tabs>
        <w:tab w:val="center" w:pos="4535"/>
        <w:tab w:val="right" w:pos="9921"/>
      </w:tabs>
      <w:ind w:left="-851" w:right="-851"/>
    </w:pPr>
    <w:rPr>
      <w:rFonts w:ascii="Arial" w:hAnsi="Arial" w:cs="Arial"/>
      <w:b/>
      <w:sz w:val="48"/>
    </w:rPr>
  </w:style>
  <w:style w:type="character" w:customStyle="1" w:styleId="HideTWBInt">
    <w:name w:val="HideTWBInt"/>
    <w:rsid w:val="00BE2479"/>
    <w:rPr>
      <w:rFonts w:ascii="Arial" w:hAnsi="Arial"/>
      <w:vanish/>
      <w:color w:val="808080"/>
      <w:sz w:val="20"/>
    </w:rPr>
  </w:style>
  <w:style w:type="paragraph" w:customStyle="1" w:styleId="NormalBold">
    <w:name w:val="NormalBold"/>
    <w:basedOn w:val="Normal"/>
    <w:rsid w:val="002A1B45"/>
    <w:rPr>
      <w:b/>
    </w:rPr>
  </w:style>
  <w:style w:type="paragraph" w:customStyle="1" w:styleId="AmOrLang">
    <w:name w:val="AmOrLang"/>
    <w:basedOn w:val="Normal"/>
    <w:rsid w:val="00A84536"/>
    <w:pPr>
      <w:spacing w:before="240" w:after="240"/>
      <w:jc w:val="right"/>
    </w:pPr>
  </w:style>
  <w:style w:type="paragraph" w:customStyle="1" w:styleId="Normal6a">
    <w:name w:val="Normal6a"/>
    <w:basedOn w:val="Normal"/>
    <w:rsid w:val="005D2574"/>
    <w:pPr>
      <w:spacing w:after="120"/>
    </w:pPr>
  </w:style>
  <w:style w:type="paragraph" w:customStyle="1" w:styleId="AmCrossRef">
    <w:name w:val="AmCrossRef"/>
    <w:basedOn w:val="Normal"/>
    <w:rsid w:val="001F2F60"/>
    <w:pPr>
      <w:spacing w:before="240" w:after="240"/>
      <w:jc w:val="center"/>
    </w:pPr>
    <w:rPr>
      <w:i/>
    </w:rPr>
  </w:style>
  <w:style w:type="paragraph" w:customStyle="1" w:styleId="AmJustTitle">
    <w:name w:val="AmJustTitle"/>
    <w:basedOn w:val="Normal"/>
    <w:next w:val="AmJustText"/>
    <w:rsid w:val="005C2B4D"/>
    <w:pPr>
      <w:keepNext/>
      <w:spacing w:before="240" w:after="240"/>
      <w:jc w:val="center"/>
    </w:pPr>
    <w:rPr>
      <w:i/>
    </w:rPr>
  </w:style>
  <w:style w:type="paragraph" w:customStyle="1" w:styleId="AmDateTab">
    <w:name w:val="AmDateTab"/>
    <w:basedOn w:val="Normal"/>
    <w:rsid w:val="00423FDE"/>
    <w:pPr>
      <w:tabs>
        <w:tab w:val="right" w:pos="9072"/>
      </w:tabs>
    </w:pPr>
  </w:style>
  <w:style w:type="paragraph" w:customStyle="1" w:styleId="AmJustText">
    <w:name w:val="AmJustText"/>
    <w:basedOn w:val="Normal"/>
    <w:rsid w:val="00DE144C"/>
    <w:pPr>
      <w:spacing w:after="240"/>
    </w:pPr>
    <w:rPr>
      <w:i/>
    </w:rPr>
  </w:style>
  <w:style w:type="paragraph" w:customStyle="1" w:styleId="AmColumnHeading">
    <w:name w:val="AmColumnHeading"/>
    <w:basedOn w:val="Normal"/>
    <w:rsid w:val="002A1B45"/>
    <w:pPr>
      <w:spacing w:after="240"/>
      <w:jc w:val="center"/>
    </w:pPr>
    <w:rPr>
      <w:i/>
    </w:rPr>
  </w:style>
  <w:style w:type="paragraph" w:customStyle="1" w:styleId="AmNumberTabs">
    <w:name w:val="AmNumberTabs"/>
    <w:basedOn w:val="Normal"/>
    <w:rsid w:val="002A1B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2A1B45"/>
    <w:pPr>
      <w:tabs>
        <w:tab w:val="center" w:pos="4535"/>
        <w:tab w:val="right" w:pos="9071"/>
      </w:tabs>
      <w:spacing w:before="240" w:after="240"/>
    </w:pPr>
    <w:rPr>
      <w:sz w:val="22"/>
    </w:rPr>
  </w:style>
  <w:style w:type="character" w:customStyle="1" w:styleId="FooterChar">
    <w:name w:val="Footer Char"/>
    <w:basedOn w:val="DefaultParagraphFont"/>
    <w:link w:val="Footer"/>
    <w:semiHidden/>
    <w:rsid w:val="0054649F"/>
    <w:rPr>
      <w:sz w:val="24"/>
    </w:rPr>
  </w:style>
  <w:style w:type="paragraph" w:styleId="TOCHeading">
    <w:name w:val="TOC Heading"/>
    <w:basedOn w:val="Normal"/>
    <w:next w:val="Normal"/>
    <w:uiPriority w:val="39"/>
    <w:semiHidden/>
    <w:unhideWhenUsed/>
    <w:qFormat/>
    <w:rsid w:val="00B35C2A"/>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B62086"/>
    <w:rPr>
      <w:sz w:val="24"/>
    </w:rPr>
  </w:style>
  <w:style w:type="paragraph" w:customStyle="1" w:styleId="Normal2">
    <w:name w:val="Normal2"/>
    <w:basedOn w:val="Normal"/>
    <w:qFormat/>
    <w:rsid w:val="00CE2245"/>
    <w:pPr>
      <w:spacing w:line="120" w:lineRule="auto"/>
    </w:pPr>
    <w:rPr>
      <w:sz w:val="4"/>
    </w:rPr>
  </w:style>
  <w:style w:type="character" w:customStyle="1" w:styleId="Bold">
    <w:name w:val="Bold"/>
    <w:uiPriority w:val="1"/>
    <w:qFormat/>
    <w:rsid w:val="003430B0"/>
    <w:rPr>
      <w:b/>
    </w:rPr>
  </w:style>
  <w:style w:type="character" w:customStyle="1" w:styleId="BoldItalic">
    <w:name w:val="BoldItalic"/>
    <w:uiPriority w:val="1"/>
    <w:qFormat/>
    <w:rsid w:val="003430B0"/>
    <w:rPr>
      <w:b/>
      <w:i/>
    </w:rPr>
  </w:style>
  <w:style w:type="paragraph" w:customStyle="1" w:styleId="CoverDate">
    <w:name w:val="CoverDate"/>
    <w:basedOn w:val="Normal"/>
    <w:rsid w:val="003430B0"/>
    <w:pPr>
      <w:spacing w:before="240" w:after="1200"/>
    </w:pPr>
  </w:style>
  <w:style w:type="paragraph" w:customStyle="1" w:styleId="CoverDocType">
    <w:name w:val="CoverDocType"/>
    <w:basedOn w:val="Normal"/>
    <w:rsid w:val="003430B0"/>
    <w:pPr>
      <w:ind w:left="1418"/>
    </w:pPr>
    <w:rPr>
      <w:rFonts w:ascii="Arial" w:hAnsi="Arial"/>
      <w:b/>
      <w:sz w:val="48"/>
    </w:rPr>
  </w:style>
  <w:style w:type="paragraph" w:customStyle="1" w:styleId="CoverDocType24a">
    <w:name w:val="CoverDocType24a"/>
    <w:basedOn w:val="Normal"/>
    <w:rsid w:val="003430B0"/>
    <w:pPr>
      <w:spacing w:after="480"/>
      <w:ind w:left="1417"/>
    </w:pPr>
    <w:rPr>
      <w:rFonts w:ascii="Arial" w:hAnsi="Arial" w:cs="Arial"/>
      <w:b/>
      <w:sz w:val="48"/>
    </w:rPr>
  </w:style>
  <w:style w:type="paragraph" w:customStyle="1" w:styleId="CoverReference">
    <w:name w:val="CoverReference"/>
    <w:basedOn w:val="Normal"/>
    <w:rsid w:val="003430B0"/>
    <w:pPr>
      <w:spacing w:before="1080"/>
      <w:jc w:val="right"/>
    </w:pPr>
    <w:rPr>
      <w:rFonts w:ascii="Arial" w:hAnsi="Arial"/>
      <w:b/>
    </w:rPr>
  </w:style>
  <w:style w:type="paragraph" w:customStyle="1" w:styleId="EPBody">
    <w:name w:val="EPBody"/>
    <w:basedOn w:val="Normal"/>
    <w:rsid w:val="003430B0"/>
    <w:pPr>
      <w:jc w:val="center"/>
    </w:pPr>
    <w:rPr>
      <w:rFonts w:ascii="Arial" w:hAnsi="Arial" w:cs="Arial"/>
      <w:i/>
      <w:sz w:val="22"/>
      <w:szCs w:val="22"/>
    </w:rPr>
  </w:style>
  <w:style w:type="paragraph" w:customStyle="1" w:styleId="EPFooter2Landscape">
    <w:name w:val="EPFooter2Landscape"/>
    <w:qFormat/>
    <w:rsid w:val="003430B0"/>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430B0"/>
    <w:rPr>
      <w:rFonts w:ascii="Arial" w:hAnsi="Arial"/>
      <w:b w:val="0"/>
      <w:i/>
      <w:color w:val="C0C0C0"/>
      <w:sz w:val="22"/>
    </w:rPr>
  </w:style>
  <w:style w:type="paragraph" w:customStyle="1" w:styleId="EPFooterLandscape">
    <w:name w:val="EPFooterLandscape"/>
    <w:qFormat/>
    <w:rsid w:val="003430B0"/>
    <w:pPr>
      <w:tabs>
        <w:tab w:val="center" w:pos="6804"/>
        <w:tab w:val="right" w:pos="15026"/>
      </w:tabs>
    </w:pPr>
    <w:rPr>
      <w:sz w:val="22"/>
    </w:rPr>
  </w:style>
  <w:style w:type="character" w:customStyle="1" w:styleId="Italic">
    <w:name w:val="Italic"/>
    <w:uiPriority w:val="1"/>
    <w:qFormat/>
    <w:rsid w:val="003430B0"/>
    <w:rPr>
      <w:i/>
    </w:rPr>
  </w:style>
  <w:style w:type="character" w:customStyle="1" w:styleId="NormalBI">
    <w:name w:val="NormalBI"/>
    <w:basedOn w:val="DefaultParagraphFont"/>
    <w:uiPriority w:val="1"/>
    <w:qFormat/>
    <w:rsid w:val="003430B0"/>
    <w:rPr>
      <w:rFonts w:ascii="Times New Roman" w:hAnsi="Times New Roman"/>
      <w:b/>
      <w:i/>
      <w:sz w:val="24"/>
    </w:rPr>
  </w:style>
  <w:style w:type="paragraph" w:customStyle="1" w:styleId="NormalBoldItalic6a">
    <w:name w:val="NormalBoldItalic6a"/>
    <w:basedOn w:val="Normal6a"/>
    <w:qFormat/>
    <w:rsid w:val="003430B0"/>
    <w:rPr>
      <w:b/>
      <w:i/>
    </w:rPr>
  </w:style>
  <w:style w:type="paragraph" w:customStyle="1" w:styleId="NormalBoldItalicCenter6a">
    <w:name w:val="NormalBoldItalicCenter6a"/>
    <w:basedOn w:val="Normal6a"/>
    <w:qFormat/>
    <w:rsid w:val="003430B0"/>
    <w:pPr>
      <w:jc w:val="center"/>
    </w:pPr>
    <w:rPr>
      <w:b/>
      <w:i/>
    </w:rPr>
  </w:style>
  <w:style w:type="paragraph" w:customStyle="1" w:styleId="NormalItalic6a">
    <w:name w:val="NormalItalic6a"/>
    <w:basedOn w:val="Normal6a"/>
    <w:qFormat/>
    <w:rsid w:val="003430B0"/>
    <w:rPr>
      <w:i/>
    </w:rPr>
  </w:style>
  <w:style w:type="character" w:customStyle="1" w:styleId="Sub">
    <w:name w:val="Sub"/>
    <w:uiPriority w:val="1"/>
    <w:qFormat/>
    <w:rsid w:val="003430B0"/>
    <w:rPr>
      <w:vertAlign w:val="subscript"/>
    </w:rPr>
  </w:style>
  <w:style w:type="character" w:customStyle="1" w:styleId="SubBoldItalic">
    <w:name w:val="SubBoldItalic"/>
    <w:uiPriority w:val="1"/>
    <w:qFormat/>
    <w:rsid w:val="003430B0"/>
    <w:rPr>
      <w:b/>
      <w:i/>
      <w:vertAlign w:val="subscript"/>
    </w:rPr>
  </w:style>
  <w:style w:type="character" w:customStyle="1" w:styleId="Sup">
    <w:name w:val="Sup"/>
    <w:uiPriority w:val="1"/>
    <w:qFormat/>
    <w:rsid w:val="003430B0"/>
    <w:rPr>
      <w:vertAlign w:val="superscript"/>
    </w:rPr>
  </w:style>
  <w:style w:type="character" w:customStyle="1" w:styleId="SupBoldItalic">
    <w:name w:val="SupBoldItalic"/>
    <w:uiPriority w:val="1"/>
    <w:qFormat/>
    <w:rsid w:val="003430B0"/>
    <w:rPr>
      <w:b/>
      <w:i/>
      <w:vertAlign w:val="superscript"/>
    </w:rPr>
  </w:style>
  <w:style w:type="character" w:customStyle="1" w:styleId="Underline">
    <w:name w:val="Underline"/>
    <w:uiPriority w:val="1"/>
    <w:qFormat/>
    <w:rsid w:val="003430B0"/>
    <w:rPr>
      <w:u w:val="single"/>
    </w:rPr>
  </w:style>
  <w:style w:type="paragraph" w:customStyle="1" w:styleId="EPFooterRC">
    <w:name w:val="EPFooterRC"/>
    <w:basedOn w:val="Normal"/>
    <w:rsid w:val="00F73E55"/>
    <w:pPr>
      <w:tabs>
        <w:tab w:val="center" w:pos="4535"/>
        <w:tab w:val="left" w:pos="6662"/>
      </w:tabs>
    </w:pPr>
    <w:rPr>
      <w:sz w:val="22"/>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UID">
    <vt:lpwstr>20210422-112640-080727-655491</vt:lpwstr>
  </property>
  <property fmtid="{D5CDD505-2E9C-101B-9397-08002B2CF9AE}" pid="7" name="FooterPath">
    <vt:lpwstr>AM\P9_AMA(2021)0117(050-059)EN.docx</vt:lpwstr>
  </property>
  <property fmtid="{D5CDD505-2E9C-101B-9397-08002B2CF9AE}" pid="8" name="PE Number">
    <vt:lpwstr>690.778</vt:lpwstr>
  </property>
  <property fmtid="{D5CDD505-2E9C-101B-9397-08002B2CF9AE}" pid="9" name="UID">
    <vt:lpwstr>eu.europa.europarl-DIN1-2021-0000030354_01.00-en-01.00_text-xml</vt:lpwstr>
  </property>
</Properties>
</file>