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12.0 -->
  <w:body>
    <w:p>
      <w:pPr>
        <w:pStyle w:val="AmDateTab"/>
      </w:pPr>
      <w:r>
        <w:rPr>
          <w:rStyle w:val="HideTWBExt"/>
        </w:rPr>
        <w:t>&lt;RepeatBlock-Amend&gt;</w:t>
      </w:r>
      <w:r>
        <w:rPr>
          <w:rStyle w:val="HideTWBExt"/>
        </w:rPr>
        <w:t>&lt;Amend&gt;</w:t>
      </w:r>
      <w:r>
        <w:rPr>
          <w:rStyle w:val="HideTWBExt"/>
        </w:rPr>
        <w:t>&lt;Date&gt;</w:t>
      </w:r>
      <w:r>
        <w:rPr>
          <w:rStyle w:val="HideTWBInt"/>
        </w:rPr>
        <w:t>{09/03/2023}</w:t>
      </w:r>
      <w:r>
        <w:t>9.3.2023</w:t>
      </w:r>
      <w:r>
        <w:rPr>
          <w:rStyle w:val="HideTWBExt"/>
        </w:rPr>
        <w:t>&lt;/Date&gt;</w:t>
      </w:r>
      <w:r>
        <w:tab/>
      </w:r>
      <w:r>
        <w:rPr>
          <w:rStyle w:val="HideTWBExt"/>
        </w:rPr>
        <w:t>&lt;ANo&gt;</w:t>
      </w:r>
      <w:r>
        <w:t>A9-0033</w:t>
      </w:r>
      <w:r>
        <w:rPr>
          <w:rStyle w:val="HideTWBExt"/>
        </w:rPr>
        <w:t>&lt;/ANo&gt;</w:t>
      </w:r>
      <w:r>
        <w:t>/</w:t>
      </w:r>
      <w:r>
        <w:rPr>
          <w:rStyle w:val="HideTWBExt"/>
        </w:rPr>
        <w:t>&lt;NumAm&gt;</w:t>
      </w:r>
      <w:r>
        <w:t>56</w:t>
      </w:r>
      <w:r>
        <w:rPr>
          <w:rStyle w:val="HideTWBExt"/>
        </w:rPr>
        <w:t>&lt;/NumAm&gt;</w:t>
      </w:r>
    </w:p>
    <w:p>
      <w:pPr>
        <w:pStyle w:val="AmNumberTabs"/>
      </w:pPr>
      <w:r>
        <w:t>Amendment</w:t>
      </w:r>
      <w:r>
        <w:tab/>
      </w:r>
      <w:r>
        <w:tab/>
      </w:r>
      <w:r>
        <w:rPr>
          <w:rStyle w:val="HideTWBExt"/>
        </w:rPr>
        <w:t>&lt;NumAm&gt;</w:t>
      </w:r>
      <w:r>
        <w:t>56</w:t>
      </w:r>
      <w:r>
        <w:rPr>
          <w:rStyle w:val="HideTWBExt"/>
        </w:rPr>
        <w:t>&lt;/NumAm&gt;</w:t>
      </w:r>
    </w:p>
    <w:p>
      <w:pPr>
        <w:pStyle w:val="NormalBold"/>
      </w:pPr>
      <w:r>
        <w:rPr>
          <w:rStyle w:val="HideTWBExt"/>
        </w:rPr>
        <w:t>&lt;RepeatBlock-By&gt;</w:t>
      </w:r>
      <w:r>
        <w:rPr>
          <w:rStyle w:val="HideTWBExt"/>
        </w:rPr>
        <w:t>&lt;Members&gt;</w:t>
      </w:r>
      <w:r>
        <w:t>Barbara Thaler, Simone Schmiedtbauer, Tomasz Frankowski, Ivan Štefanec, Karolin Braunsberger-Reinhold, Marian-Jean Marinescu, Lukas Mandl, Cláudia Monteiro de Aguiar, Javier Zarzalejos, Alexander Bernhuber, Elżbieta Katarzyna Łukacijewska, Jörgen Warborn, Angelika Winzig, Christian Sagartz, Gheorghe Falcă, Angelika Niebler, Pablo Arias Echeverría, Christophe Hansen, Christine Schneider, Sven Simon, Sabine Verheyen, Marlene Mortler, Norbert Lins, Lena Düpont, Christian Doleschal, Monika Hohlmeier, Ralf Seekatz, Niclas Herbst, Jens Gieseke, Peter Jahr, Andrey Novakov, Ljudmila Novak, Massimiliano Salini, Salvatore De Meo, François-Xavier Bellamy, Lucia Vuolo, Andrzej Halicki, Jerzy Buzek, Jarosław Kalinowski, Adam Jarubas, Othmar Karas, Vasile Blaga, Cristian-Silviu Buşoi, Mircea-Gheorghe Hava, Dan-Ştefan Motreanu, Siegfried Mureşan, Gheorghe-Vlad Nistor, Eugen Tomac, Loránt Vincze, Iuliu Winkler</w:t>
      </w:r>
      <w:r>
        <w:rPr>
          <w:rStyle w:val="HideTWBExt"/>
        </w:rPr>
        <w:t>&lt;/Members&gt;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A9-0033/2023</w:t>
      </w:r>
    </w:p>
    <w:p>
      <w:pPr>
        <w:pStyle w:val="NormalBold"/>
      </w:pPr>
      <w:r>
        <w:rPr>
          <w:rStyle w:val="HideTWBExt"/>
        </w:rPr>
        <w:t>&lt;Rapporteur&gt;</w:t>
      </w:r>
      <w:r>
        <w:t>Ciarán Cuffe</w:t>
      </w:r>
      <w:r>
        <w:rPr>
          <w:rStyle w:val="HideTWBExt"/>
        </w:rPr>
        <w:t>&lt;/Rapporteur&gt;</w:t>
      </w:r>
    </w:p>
    <w:p>
      <w:r>
        <w:rPr>
          <w:rStyle w:val="HideTWBExt"/>
        </w:rPr>
        <w:t>&lt;Titre&gt;</w:t>
      </w:r>
      <w:r>
        <w:t>Energy performance of buildings (recast)</w:t>
      </w:r>
      <w:r>
        <w:rPr>
          <w:rStyle w:val="HideTWBExt"/>
        </w:rPr>
        <w:t>&lt;/Titre&gt;</w:t>
      </w:r>
    </w:p>
    <w:p>
      <w:pPr>
        <w:pStyle w:val="Normal12a"/>
      </w:pPr>
      <w:r>
        <w:rPr>
          <w:rStyle w:val="HideTWBExt"/>
        </w:rPr>
        <w:t>&lt;DocRef&gt;</w:t>
      </w:r>
      <w:r>
        <w:t>(COM(2021)0802 – C9-0469/2021 – 2021/0426(COD))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Recital 40</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(40)</w:t>
            </w:r>
            <w:r>
              <w:tab/>
            </w:r>
            <w:r>
              <w:t>Promoting green mobility is a key part of the European Green Deal and buildings can play an important role in providing the necessary infrastructure, not only for recharging of electric vehicles but also for bicycles. A shift to soft mobility such as cycling can significantly reduce greenhouse gas emissions from transport. As set out in the 2030 Climate Target Plan, increasing the modal shares of clean and efficient private and public transport, such as cycling, will drastically lower pollution from transport and bring major benefits to individual citizens and communities. The lack of bike parking spaces is a major barrier to the uptake of cycling, both in residential and non-residential buildings. Building codes can effectively support the transition to cleaner mobility by establishing requirements for a minimum number of bicycle parking spaces.</w:t>
            </w:r>
          </w:p>
        </w:tc>
        <w:tc>
          <w:tcPr>
            <w:tcW w:w="4876" w:type="dxa"/>
          </w:tcPr>
          <w:p>
            <w:pPr>
              <w:pStyle w:val="Normal6a"/>
            </w:pPr>
            <w:r>
              <w:t>(40)</w:t>
            </w:r>
            <w:r>
              <w:tab/>
            </w:r>
            <w:r>
              <w:t>Promoting green mobility is a key part of the European Green Deal and buildings can play an important role in providing the necessary infrastructure, not only for recharging of electric vehicles but also for bicycles. A shift to soft mobility such as cycling can significantly reduce greenhouse gas emissions from transport</w:t>
            </w:r>
            <w:r>
              <w:rPr>
                <w:b/>
                <w:i/>
              </w:rPr>
              <w:t>. With the increase in the sale of electrically power-assisted bicycles and other L-category vehicle types and in order to facilitate the installation of recharging points at a later stage, pre-cabling for those vehicles should be required in new residential buildings and, where technically and economically feasible, pre-cabling or ducting should be foreseen in residential buildings undergoing major renovation</w:t>
            </w:r>
            <w:r>
              <w:t xml:space="preserve">. As set out in the 2030 Climate Target Plan, increasing the modal shares of clean and efficient private and public transport, such as cycling, will drastically lower pollution from transport and bring major benefits to individual citizens and communities. The lack of bike parking spaces is a major barrier to the uptake of cycling, both in residential and non-residential buildings. </w:t>
            </w:r>
            <w:r>
              <w:rPr>
                <w:b/>
                <w:i/>
              </w:rPr>
              <w:t>Union requirements and national</w:t>
            </w:r>
            <w:r>
              <w:t xml:space="preserve"> building codes can effectively support the transition to cleaner mobility by establishing requirements for a minimum number of bicycle parking spaces</w:t>
            </w:r>
            <w:r>
              <w:rPr>
                <w:b/>
                <w:i/>
              </w:rPr>
              <w:t>, and building bicycle parking spaces and related infrastructure in areas where bicycles are less used subject to an assessment by local authorities</w:t>
            </w:r>
            <w:r>
              <w:t xml:space="preserve">. </w:t>
            </w:r>
            <w:r>
              <w:rPr>
                <w:b/>
                <w:i/>
              </w:rPr>
              <w:t>Member States should support local authorities in developing and implementing sustainable urban mobility plans with a particular focus on the integration of housing policies with sustainable mobility and urban planning. Minimum car parking spaces in new buildings or buildings undergoing major renovation in densely populated urban areas are needed not only to be able to reduce number of cars parked along the roadside and to increase liveability of inner cities for all transport users, but also to allow transport of construction materials important to support the Renovation Wave .</w:t>
            </w:r>
          </w:p>
        </w:tc>
      </w:tr>
    </w:tbl>
    <w:p>
      <w:pPr>
        <w:pStyle w:val="AmOrLang"/>
      </w:pPr>
      <w:r>
        <w:t xml:space="preserve">Or. </w:t>
      </w:r>
      <w:r>
        <w:rPr>
          <w:rStyle w:val="HideTWBExt"/>
        </w:rPr>
        <w:t>&lt;Original&gt;</w:t>
      </w:r>
      <w:r>
        <w:rPr>
          <w:rStyle w:val="HideTWBInt"/>
        </w:rPr>
        <w:t>{EN}</w:t>
      </w:r>
      <w:r>
        <w:t>en</w:t>
      </w:r>
      <w:r>
        <w:rPr>
          <w:rStyle w:val="HideTWBExt"/>
        </w:rPr>
        <w:t>&lt;/Original&gt;</w:t>
      </w:r>
    </w:p>
    <w:p>
      <w:pPr>
        <w:sectPr>
          <w:footerReference w:type="default" r:id="rId4"/>
          <w:pgSz w:w="11909" w:h="16834"/>
          <w:pgMar w:top="1134" w:right="1417" w:bottom="1417" w:left="1417" w:header="1134" w:footer="567"/>
          <w:cols w:space="720"/>
          <w:titlePg w:val="0"/>
        </w:sectPr>
      </w:pPr>
      <w:r>
        <w:rPr>
          <w:rStyle w:val="HideTWBExt"/>
        </w:rPr>
        <w:t>&lt;/Amend&gt;</w:t>
      </w:r>
    </w:p>
    <w:p>
      <w:pPr>
        <w:pStyle w:val="AmDateTab"/>
      </w:pPr>
      <w:r>
        <w:rPr>
          <w:rStyle w:val="HideTWBExt"/>
        </w:rPr>
        <w:t>&lt;Amend&gt;</w:t>
      </w:r>
      <w:r>
        <w:rPr>
          <w:rStyle w:val="HideTWBExt"/>
        </w:rPr>
        <w:t>&lt;Date&gt;</w:t>
      </w:r>
      <w:r>
        <w:rPr>
          <w:rStyle w:val="HideTWBInt"/>
        </w:rPr>
        <w:t>{09/03/2023}</w:t>
      </w:r>
      <w:r>
        <w:t>9.3.2023</w:t>
      </w:r>
      <w:r>
        <w:rPr>
          <w:rStyle w:val="HideTWBExt"/>
        </w:rPr>
        <w:t>&lt;/Date&gt;</w:t>
      </w:r>
      <w:r>
        <w:tab/>
      </w:r>
      <w:r>
        <w:rPr>
          <w:rStyle w:val="HideTWBExt"/>
        </w:rPr>
        <w:t>&lt;ANo&gt;</w:t>
      </w:r>
      <w:r>
        <w:t>A9-0033</w:t>
      </w:r>
      <w:r>
        <w:rPr>
          <w:rStyle w:val="HideTWBExt"/>
        </w:rPr>
        <w:t>&lt;/ANo&gt;</w:t>
      </w:r>
      <w:r>
        <w:t>/</w:t>
      </w:r>
      <w:r>
        <w:rPr>
          <w:rStyle w:val="HideTWBExt"/>
        </w:rPr>
        <w:t>&lt;NumAm&gt;</w:t>
      </w:r>
      <w:r>
        <w:t>57</w:t>
      </w:r>
      <w:r>
        <w:rPr>
          <w:rStyle w:val="HideTWBExt"/>
        </w:rPr>
        <w:t>&lt;/NumAm&gt;</w:t>
      </w:r>
    </w:p>
    <w:p>
      <w:pPr>
        <w:pStyle w:val="AmNumberTabs"/>
      </w:pPr>
      <w:r>
        <w:t>Amendment</w:t>
      </w:r>
      <w:r>
        <w:tab/>
      </w:r>
      <w:r>
        <w:tab/>
      </w:r>
      <w:r>
        <w:rPr>
          <w:rStyle w:val="HideTWBExt"/>
        </w:rPr>
        <w:t>&lt;NumAm&gt;</w:t>
      </w:r>
      <w:r>
        <w:t>57</w:t>
      </w:r>
      <w:r>
        <w:rPr>
          <w:rStyle w:val="HideTWBExt"/>
        </w:rPr>
        <w:t>&lt;/NumAm&gt;</w:t>
      </w:r>
    </w:p>
    <w:p>
      <w:pPr>
        <w:pStyle w:val="NormalBold"/>
      </w:pPr>
      <w:r>
        <w:rPr>
          <w:rStyle w:val="HideTWBExt"/>
        </w:rPr>
        <w:t>&lt;RepeatBlock-By&gt;</w:t>
      </w:r>
      <w:r>
        <w:rPr>
          <w:rStyle w:val="HideTWBExt"/>
        </w:rPr>
        <w:t>&lt;Members&gt;</w:t>
      </w:r>
      <w:r>
        <w:t>Barbara Thaler, Tomasz Frankowski, Simone Schmiedtbauer, Ivan Štefanec, Ondřej Kovařík, Karolin Braunsberger-Reinhold, Marian-Jean Marinescu, Lukas Mandl, Cláudia Monteiro de Aguiar, Javier Zarzalejos, Alexander Bernhuber, Elżbieta Katarzyna Łukacijewska, Jörgen Warborn, Angelika Winzig, Christian Sagartz, Gheorghe Falcă, Angelika Niebler, Pablo Arias Echeverría, Christophe Hansen, Christine Schneider, Sven Simon, Sabine Verheyen, Marlene Mortler, Norbert Lins, Lena Düpont, Christian Doleschal, Monika Hohlmeier, Ralf Seekatz, Niclas Herbst, Andrey Novakov, Peter Jahr, Jens Gieseke, Massimiliano Salini, Ljudmila Novak, François-Xavier Bellamy, Salvatore De Meo, Lucia Vuolo, Adam Jarubas, Jarosław Kalinowski, Jerzy Buzek, Andrzej Halicki, Othmar Karas, Vasile Blaga, Cristian-Silviu Buşoi, Mircea-Gheorghe Hava, Dan-Ştefan Motreanu, Siegfried Mureşan, Gheorghe-Vlad Nistor, Eugen Tomac, Loránt Vincze, Iuliu Winkler</w:t>
      </w:r>
      <w:r>
        <w:rPr>
          <w:rStyle w:val="HideTWBExt"/>
        </w:rPr>
        <w:t>&lt;/Members&gt;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A9-0033/2023</w:t>
      </w:r>
    </w:p>
    <w:p>
      <w:pPr>
        <w:pStyle w:val="NormalBold"/>
      </w:pPr>
      <w:r>
        <w:rPr>
          <w:rStyle w:val="HideTWBExt"/>
        </w:rPr>
        <w:t>&lt;Rapporteur&gt;</w:t>
      </w:r>
      <w:r>
        <w:t>Ciarán Cuffe</w:t>
      </w:r>
      <w:r>
        <w:rPr>
          <w:rStyle w:val="HideTWBExt"/>
        </w:rPr>
        <w:t>&lt;/Rapporteur&gt;</w:t>
      </w:r>
    </w:p>
    <w:p>
      <w:r>
        <w:rPr>
          <w:rStyle w:val="HideTWBExt"/>
        </w:rPr>
        <w:t>&lt;Titre&gt;</w:t>
      </w:r>
      <w:r>
        <w:t>Energy performance of buildings (recast)</w:t>
      </w:r>
      <w:r>
        <w:rPr>
          <w:rStyle w:val="HideTWBExt"/>
        </w:rPr>
        <w:t>&lt;/Titre&gt;</w:t>
      </w:r>
    </w:p>
    <w:p>
      <w:pPr>
        <w:pStyle w:val="Normal12a"/>
      </w:pPr>
      <w:r>
        <w:rPr>
          <w:rStyle w:val="HideTWBExt"/>
        </w:rPr>
        <w:t>&lt;DocRef&gt;</w:t>
      </w:r>
      <w:r>
        <w:t>(COM(2021)0802 – C9-0469/2021 – 2021/0426(COD))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2 – paragraph 1 – point 27</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27.</w:t>
            </w:r>
            <w:r>
              <w:tab/>
            </w:r>
            <w:r>
              <w:t xml:space="preserve">‘vulnerable households’ means households </w:t>
            </w:r>
            <w:r>
              <w:rPr>
                <w:b/>
                <w:i/>
              </w:rPr>
              <w:t>in</w:t>
            </w:r>
            <w:r>
              <w:t xml:space="preserve"> energy poverty or households, including lower middle-income ones, that are particularly exposed to high energy costs and lack the means to renovate the building they occupy;</w:t>
            </w:r>
          </w:p>
        </w:tc>
        <w:tc>
          <w:tcPr>
            <w:tcW w:w="4876" w:type="dxa"/>
          </w:tcPr>
          <w:p>
            <w:pPr>
              <w:pStyle w:val="Normal6a"/>
            </w:pPr>
            <w:r>
              <w:t>27.</w:t>
            </w:r>
            <w:r>
              <w:tab/>
            </w:r>
            <w:r>
              <w:t xml:space="preserve">‘vulnerable households’ means households </w:t>
            </w:r>
            <w:r>
              <w:rPr>
                <w:b/>
                <w:i/>
              </w:rPr>
              <w:t>at risk of</w:t>
            </w:r>
            <w:r>
              <w:t xml:space="preserve"> energy </w:t>
            </w:r>
            <w:r>
              <w:rPr>
                <w:b/>
                <w:i/>
              </w:rPr>
              <w:t>and transport</w:t>
            </w:r>
            <w:r>
              <w:t xml:space="preserve"> poverty or households, including lower middle-income ones, that are particularly exposed to high energy costs and lack the means to renovate the building they occupy </w:t>
            </w:r>
            <w:r>
              <w:rPr>
                <w:b/>
                <w:i/>
              </w:rPr>
              <w:t>as defined with the indicators of Article 8(3) [recast EED]</w:t>
            </w:r>
            <w:r>
              <w:t>;</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Pr>
        <w:pStyle w:val="AmDateTab"/>
      </w:pPr>
      <w:r>
        <w:rPr>
          <w:rStyle w:val="HideTWBExt"/>
        </w:rPr>
        <w:t>&lt;Amend&gt;</w:t>
      </w:r>
      <w:r>
        <w:rPr>
          <w:rStyle w:val="HideTWBExt"/>
        </w:rPr>
        <w:t>&lt;Date&gt;</w:t>
      </w:r>
      <w:r>
        <w:rPr>
          <w:rStyle w:val="HideTWBInt"/>
        </w:rPr>
        <w:t>{09/03/2023}</w:t>
      </w:r>
      <w:r>
        <w:t>9.3.2023</w:t>
      </w:r>
      <w:r>
        <w:rPr>
          <w:rStyle w:val="HideTWBExt"/>
        </w:rPr>
        <w:t>&lt;/Date&gt;</w:t>
      </w:r>
      <w:r>
        <w:tab/>
      </w:r>
      <w:r>
        <w:rPr>
          <w:rStyle w:val="HideTWBExt"/>
        </w:rPr>
        <w:t>&lt;ANo&gt;</w:t>
      </w:r>
      <w:r>
        <w:t>A9-0033</w:t>
      </w:r>
      <w:r>
        <w:rPr>
          <w:rStyle w:val="HideTWBExt"/>
        </w:rPr>
        <w:t>&lt;/ANo&gt;</w:t>
      </w:r>
      <w:r>
        <w:t>/</w:t>
      </w:r>
      <w:r>
        <w:rPr>
          <w:rStyle w:val="HideTWBExt"/>
        </w:rPr>
        <w:t>&lt;NumAm&gt;</w:t>
      </w:r>
      <w:r>
        <w:t>58</w:t>
      </w:r>
      <w:r>
        <w:rPr>
          <w:rStyle w:val="HideTWBExt"/>
        </w:rPr>
        <w:t>&lt;/NumAm&gt;</w:t>
      </w:r>
    </w:p>
    <w:p>
      <w:pPr>
        <w:pStyle w:val="AmNumberTabs"/>
      </w:pPr>
      <w:r>
        <w:t>Amendment</w:t>
      </w:r>
      <w:r>
        <w:tab/>
      </w:r>
      <w:r>
        <w:tab/>
      </w:r>
      <w:r>
        <w:rPr>
          <w:rStyle w:val="HideTWBExt"/>
        </w:rPr>
        <w:t>&lt;NumAm&gt;</w:t>
      </w:r>
      <w:r>
        <w:t>58</w:t>
      </w:r>
      <w:r>
        <w:rPr>
          <w:rStyle w:val="HideTWBExt"/>
        </w:rPr>
        <w:t>&lt;/NumAm&gt;</w:t>
      </w:r>
    </w:p>
    <w:p>
      <w:pPr>
        <w:pStyle w:val="NormalBold"/>
      </w:pPr>
      <w:r>
        <w:rPr>
          <w:rStyle w:val="HideTWBExt"/>
        </w:rPr>
        <w:t>&lt;RepeatBlock-By&gt;</w:t>
      </w:r>
      <w:r>
        <w:rPr>
          <w:rStyle w:val="HideTWBExt"/>
        </w:rPr>
        <w:t>&lt;Members&gt;</w:t>
      </w:r>
      <w:r>
        <w:t>Barbara Thaler, Javier Zarzalejos, Alexander Bernhuber, Elżbieta Katarzyna Łukacijewska, Jörgen Warborn, Angelika Winzig, Christian Sagartz, Gheorghe Falcă, Angelika Niebler, Pablo Arias Echeverría, Christophe Hansen, Tomasz Frankowski, Simone Schmiedtbauer, Ivan Štefanec, Ondřej Kovařík, Karolin Braunsberger-Reinhold, Marian-Jean Marinescu, Lukas Mandl, Cláudia Monteiro de Aguiar, Christine Schneider, Sven Simon, Sabine Verheyen, Marlene Mortler, Norbert Lins, Lena Düpont, Christian Doleschal, Monika Hohlmeier, Ralf Seekatz, Niclas Herbst, Andrey Novakov, Peter Jahr, Jens Gieseke, Massimiliano Salini, Ljudmila Novak, François-Xavier Bellamy, Salvatore De Meo, Lucia Vuolo, Adam Jarubas, Jarosław Kalinowski, Jerzy Buzek, Andrzej Halicki, Othmar Karas, Vasile Blaga, Cristian-Silviu Buşoi, Mircea-Gheorghe Hava, Dan-Ştefan Motreanu, Siegfried Mureşan, Gheorghe-Vlad Nistor, Eugen Tomac, Loránt Vincze, Iuliu Winkler</w:t>
      </w:r>
      <w:r>
        <w:rPr>
          <w:rStyle w:val="HideTWBExt"/>
        </w:rPr>
        <w:t>&lt;/Members&gt;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A9-0033/2023</w:t>
      </w:r>
    </w:p>
    <w:p>
      <w:pPr>
        <w:pStyle w:val="NormalBold"/>
      </w:pPr>
      <w:r>
        <w:rPr>
          <w:rStyle w:val="HideTWBExt"/>
        </w:rPr>
        <w:t>&lt;Rapporteur&gt;</w:t>
      </w:r>
      <w:r>
        <w:t>Ciarán Cuffe</w:t>
      </w:r>
      <w:r>
        <w:rPr>
          <w:rStyle w:val="HideTWBExt"/>
        </w:rPr>
        <w:t>&lt;/Rapporteur&gt;</w:t>
      </w:r>
    </w:p>
    <w:p>
      <w:r>
        <w:rPr>
          <w:rStyle w:val="HideTWBExt"/>
        </w:rPr>
        <w:t>&lt;Titre&gt;</w:t>
      </w:r>
      <w:r>
        <w:t>Energy performance of buildings (recast)</w:t>
      </w:r>
      <w:r>
        <w:rPr>
          <w:rStyle w:val="HideTWBExt"/>
        </w:rPr>
        <w:t>&lt;/Titre&gt;</w:t>
      </w:r>
    </w:p>
    <w:p>
      <w:pPr>
        <w:pStyle w:val="Normal12a"/>
      </w:pPr>
      <w:r>
        <w:rPr>
          <w:rStyle w:val="HideTWBExt"/>
        </w:rPr>
        <w:t>&lt;DocRef&gt;</w:t>
      </w:r>
      <w:r>
        <w:t>(COM(2021)0802 – C9-0469/2021 – 2021/0426(COD))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2 – paragraph 1 – point 32 a (new)</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32 a.</w:t>
            </w:r>
            <w:r>
              <w:tab/>
            </w:r>
            <w:r>
              <w:rPr>
                <w:b/>
                <w:i/>
              </w:rPr>
              <w:t>'pre-cabling' means the necessary electric installation, with accessible connection points, and of sufficient power capacity for the future installation of charging points in relevant parking spaces, as provided for in Article 12;</w:t>
            </w:r>
          </w:p>
        </w:tc>
      </w:tr>
    </w:tbl>
    <w:p>
      <w:pPr>
        <w:pStyle w:val="AmOrLang"/>
      </w:pPr>
      <w:r>
        <w:t xml:space="preserve">Or. </w:t>
      </w:r>
      <w:r>
        <w:rPr>
          <w:rStyle w:val="HideTWBExt"/>
        </w:rPr>
        <w:t>&lt;Original&gt;</w:t>
      </w:r>
      <w:r>
        <w:rPr>
          <w:rStyle w:val="HideTWBInt"/>
        </w:rPr>
        <w:t>{EN}</w:t>
      </w:r>
      <w:r>
        <w:t>en</w:t>
      </w:r>
      <w:r>
        <w:rPr>
          <w:rStyle w:val="HideTWBExt"/>
        </w:rPr>
        <w:t>&lt;/Original&gt;</w:t>
      </w:r>
    </w:p>
    <w:p>
      <w:pPr>
        <w:sectPr>
          <w:type w:val="nextPage"/>
          <w:pgSz w:w="11909" w:h="16834"/>
          <w:pgMar w:top="1134" w:right="1417" w:bottom="1417" w:left="1417" w:header="1134" w:footer="567"/>
          <w:cols w:space="720"/>
        </w:sectPr>
      </w:pPr>
      <w:r>
        <w:rPr>
          <w:rStyle w:val="HideTWBExt"/>
        </w:rPr>
        <w:t>&lt;/Amend&gt;</w:t>
      </w:r>
    </w:p>
    <w:p>
      <w:pPr>
        <w:pStyle w:val="AmDateTab"/>
      </w:pPr>
      <w:r>
        <w:rPr>
          <w:rStyle w:val="HideTWBExt"/>
        </w:rPr>
        <w:t>&lt;Amend&gt;</w:t>
      </w:r>
      <w:r>
        <w:rPr>
          <w:rStyle w:val="HideTWBExt"/>
        </w:rPr>
        <w:t>&lt;Date&gt;</w:t>
      </w:r>
      <w:r>
        <w:rPr>
          <w:rStyle w:val="HideTWBInt"/>
        </w:rPr>
        <w:t>{09/03/2023}</w:t>
      </w:r>
      <w:r>
        <w:t>9.3.2023</w:t>
      </w:r>
      <w:r>
        <w:rPr>
          <w:rStyle w:val="HideTWBExt"/>
        </w:rPr>
        <w:t>&lt;/Date&gt;</w:t>
      </w:r>
      <w:r>
        <w:tab/>
      </w:r>
      <w:r>
        <w:rPr>
          <w:rStyle w:val="HideTWBExt"/>
        </w:rPr>
        <w:t>&lt;ANo&gt;</w:t>
      </w:r>
      <w:r>
        <w:t>A9-0033</w:t>
      </w:r>
      <w:r>
        <w:rPr>
          <w:rStyle w:val="HideTWBExt"/>
        </w:rPr>
        <w:t>&lt;/ANo&gt;</w:t>
      </w:r>
      <w:r>
        <w:t>/</w:t>
      </w:r>
      <w:r>
        <w:rPr>
          <w:rStyle w:val="HideTWBExt"/>
        </w:rPr>
        <w:t>&lt;NumAm&gt;</w:t>
      </w:r>
      <w:r>
        <w:t>59</w:t>
      </w:r>
      <w:r>
        <w:rPr>
          <w:rStyle w:val="HideTWBExt"/>
        </w:rPr>
        <w:t>&lt;/NumAm&gt;</w:t>
      </w:r>
    </w:p>
    <w:p>
      <w:pPr>
        <w:pStyle w:val="AmNumberTabs"/>
      </w:pPr>
      <w:r>
        <w:t>Amendment</w:t>
      </w:r>
      <w:r>
        <w:tab/>
      </w:r>
      <w:r>
        <w:tab/>
      </w:r>
      <w:r>
        <w:rPr>
          <w:rStyle w:val="HideTWBExt"/>
        </w:rPr>
        <w:t>&lt;NumAm&gt;</w:t>
      </w:r>
      <w:r>
        <w:t>59</w:t>
      </w:r>
      <w:r>
        <w:rPr>
          <w:rStyle w:val="HideTWBExt"/>
        </w:rPr>
        <w:t>&lt;/NumAm&gt;</w:t>
      </w:r>
    </w:p>
    <w:p>
      <w:pPr>
        <w:pStyle w:val="NormalBold"/>
      </w:pPr>
      <w:r>
        <w:rPr>
          <w:rStyle w:val="HideTWBExt"/>
        </w:rPr>
        <w:t>&lt;RepeatBlock-By&gt;</w:t>
      </w:r>
      <w:r>
        <w:rPr>
          <w:rStyle w:val="HideTWBExt"/>
        </w:rPr>
        <w:t>&lt;Members&gt;</w:t>
      </w:r>
      <w:r>
        <w:t>Barbara Thaler, Pablo Arias Echeverría, Christophe Hansen, Tomasz Frankowski, Simone Schmiedtbauer, Ivan Štefanec, Karolin Braunsberger-Reinhold, Marian-Jean Marinescu, Lukas Mandl, Cláudia Monteiro de Aguiar, Javier Zarzalejos, Alexander Bernhuber, Elżbieta Katarzyna Łukacijewska, Jörgen Warborn, Angelika Winzig, Christian Sagartz, Gheorghe Falcă, Angelika Niebler, Christine Schneider, Sven Simon, Sabine Verheyen, Marlene Mortler, Norbert Lins, Lena Düpont, Christian Doleschal, Monika Hohlmeier, Ralf Seekatz, Niclas Herbst, Andrey Novakov, Peter Jahr, Jens Gieseke, Massimiliano Salini, Ljudmila Novak, François-Xavier Bellamy, Salvatore De Meo, Lucia Vuolo, Adam Jarubas, Jarosław Kalinowski, Jerzy Buzek, Andrzej Halicki, Othmar Karas, Vasile Blaga, Cristian-Silviu Buşoi, Mircea-Gheorghe Hava, Dan-Ştefan Motreanu, Siegfried Mureşan, Gheorghe-Vlad Nistor, Eugen Tomac, Loránt Vincze, Iuliu Winkler</w:t>
      </w:r>
      <w:r>
        <w:rPr>
          <w:rStyle w:val="HideTWBExt"/>
        </w:rPr>
        <w:t>&lt;/Members&gt;</w:t>
      </w:r>
    </w:p>
    <w:p>
      <w:pPr>
        <w:pStyle w:val="NormalBold"/>
      </w:pPr>
      <w:r>
        <w:rPr>
          <w:rStyle w:val="HideTWBExt"/>
        </w:rPr>
        <w:t>&lt;/RepeatBlock-By&gt;</w:t>
      </w:r>
    </w:p>
    <w:p>
      <w:pPr>
        <w:pStyle w:val="AmDocTypeTab"/>
      </w:pPr>
      <w:r>
        <w:rPr>
          <w:rStyle w:val="HideTWBExt"/>
        </w:rPr>
        <w:t>&lt;TitreType&gt;</w:t>
      </w:r>
      <w:r>
        <w:t>Report</w:t>
      </w:r>
      <w:r>
        <w:rPr>
          <w:rStyle w:val="HideTWBExt"/>
        </w:rPr>
        <w:t>&lt;/TitreType&gt;</w:t>
      </w:r>
      <w:r>
        <w:tab/>
      </w:r>
      <w:r>
        <w:t>A9-0033/2023</w:t>
      </w:r>
    </w:p>
    <w:p>
      <w:pPr>
        <w:pStyle w:val="NormalBold"/>
      </w:pPr>
      <w:r>
        <w:rPr>
          <w:rStyle w:val="HideTWBExt"/>
        </w:rPr>
        <w:t>&lt;Rapporteur&gt;</w:t>
      </w:r>
      <w:r>
        <w:t>Ciarán Cuffe</w:t>
      </w:r>
      <w:r>
        <w:rPr>
          <w:rStyle w:val="HideTWBExt"/>
        </w:rPr>
        <w:t>&lt;/Rapporteur&gt;</w:t>
      </w:r>
    </w:p>
    <w:p>
      <w:r>
        <w:rPr>
          <w:rStyle w:val="HideTWBExt"/>
        </w:rPr>
        <w:t>&lt;Titre&gt;</w:t>
      </w:r>
      <w:r>
        <w:t>Energy performance of buildings (recast)</w:t>
      </w:r>
      <w:r>
        <w:rPr>
          <w:rStyle w:val="HideTWBExt"/>
        </w:rPr>
        <w:t>&lt;/Titre&gt;</w:t>
      </w:r>
    </w:p>
    <w:p>
      <w:pPr>
        <w:pStyle w:val="Normal12a"/>
      </w:pPr>
      <w:r>
        <w:rPr>
          <w:rStyle w:val="HideTWBExt"/>
        </w:rPr>
        <w:t>&lt;DocRef&gt;</w:t>
      </w:r>
      <w:r>
        <w:t>(COM(2021)0802 – C9-0469/2021 – 2021/0426(COD))</w:t>
      </w:r>
      <w:r>
        <w:rPr>
          <w:rStyle w:val="HideTWBExt"/>
        </w:rPr>
        <w:t>&lt;/DocRef&gt;</w:t>
      </w:r>
    </w:p>
    <w:p>
      <w:pPr>
        <w:pStyle w:val="NormalBold"/>
      </w:pPr>
      <w:r>
        <w:rPr>
          <w:rStyle w:val="HideTWBExt"/>
        </w:rPr>
        <w:t>&lt;DocAmend&gt;</w:t>
      </w:r>
      <w:r>
        <w:t>Proposal for a directive</w:t>
      </w:r>
      <w:r>
        <w:rPr>
          <w:rStyle w:val="HideTWBExt"/>
        </w:rPr>
        <w:t>&lt;/DocAmend&gt;</w:t>
      </w:r>
    </w:p>
    <w:p>
      <w:pPr>
        <w:pStyle w:val="NormalBold"/>
      </w:pPr>
      <w:r>
        <w:rPr>
          <w:rStyle w:val="HideTWBExt"/>
        </w:rPr>
        <w:t>&lt;Article&gt;</w:t>
      </w:r>
      <w:r>
        <w:t>Article 12 – paragraph 5</w:t>
      </w:r>
      <w:r>
        <w:rPr>
          <w:rStyle w:val="HideTWBExt"/>
        </w:rPr>
        <w:t>&lt;/Article&gt;</w:t>
      </w:r>
    </w:p>
    <w:tbl>
      <w:tblPr>
        <w:tblW w:w="0" w:type="auto"/>
        <w:jc w:val="center"/>
        <w:tblLayout w:type="fixed"/>
        <w:tblCellMar>
          <w:left w:w="340" w:type="dxa"/>
          <w:right w:w="340" w:type="dxa"/>
        </w:tblCellMar>
      </w:tblPr>
      <w:tblGrid>
        <w:gridCol w:w="4876"/>
        <w:gridCol w:w="4876"/>
      </w:tblGrid>
      <w:tr>
        <w:tblPrEx>
          <w:tblW w:w="0" w:type="auto"/>
          <w:jc w:val="center"/>
          <w:tblLayout w:type="fixed"/>
          <w:tblCellMar>
            <w:left w:w="340" w:type="dxa"/>
            <w:right w:w="340" w:type="dxa"/>
          </w:tblCellMar>
        </w:tblPrEx>
        <w:trPr>
          <w:trHeight w:hRule="exact" w:val="240"/>
          <w:jc w:val="center"/>
        </w:trPr>
        <w:tc>
          <w:tcPr>
            <w:tcW w:w="9752" w:type="dxa"/>
            <w:gridSpan w:val="2"/>
            <w:vAlign w:val="top"/>
          </w:tcPr>
          <w:p/>
        </w:tc>
      </w:tr>
      <w:tr>
        <w:tblPrEx>
          <w:tblW w:w="0" w:type="auto"/>
          <w:jc w:val="center"/>
          <w:tblLayout w:type="fixed"/>
          <w:tblCellMar>
            <w:left w:w="340" w:type="dxa"/>
            <w:right w:w="340" w:type="dxa"/>
          </w:tblCellMar>
        </w:tblPrEx>
        <w:trPr>
          <w:trHeight w:val="240"/>
          <w:jc w:val="center"/>
        </w:trPr>
        <w:tc>
          <w:tcPr>
            <w:tcW w:w="4876" w:type="dxa"/>
          </w:tcPr>
          <w:p>
            <w:pPr>
              <w:pStyle w:val="AmColumnHeading"/>
            </w:pPr>
            <w:r>
              <w:t>Text proposed by the Commission</w:t>
            </w:r>
          </w:p>
        </w:tc>
        <w:tc>
          <w:tcPr>
            <w:tcW w:w="4876" w:type="dxa"/>
          </w:tcPr>
          <w:p>
            <w:pPr>
              <w:pStyle w:val="AmColumnHeading"/>
            </w:pPr>
            <w:r>
              <w:t>Amendment</w:t>
            </w:r>
          </w:p>
        </w:tc>
      </w:tr>
      <w:tr>
        <w:tblPrEx>
          <w:tblW w:w="0" w:type="auto"/>
          <w:jc w:val="center"/>
          <w:tblLayout w:type="fixed"/>
          <w:tblCellMar>
            <w:left w:w="340" w:type="dxa"/>
            <w:right w:w="340" w:type="dxa"/>
          </w:tblCellMar>
        </w:tblPrEx>
        <w:trPr>
          <w:jc w:val="center"/>
        </w:trPr>
        <w:tc>
          <w:tcPr>
            <w:tcW w:w="4876" w:type="dxa"/>
          </w:tcPr>
          <w:p>
            <w:pPr>
              <w:pStyle w:val="Normal6a"/>
            </w:pPr>
            <w:r>
              <w:t>5.</w:t>
            </w:r>
            <w:r>
              <w:tab/>
            </w:r>
            <w:r>
              <w:t xml:space="preserve">Member States may decide not to apply paragraphs 1, 2 and 4 to specific categories of buildings </w:t>
            </w:r>
            <w:r>
              <w:rPr>
                <w:b/>
                <w:i/>
              </w:rPr>
              <w:t>wherethe</w:t>
            </w:r>
            <w:r>
              <w:t xml:space="preserve"> pre-cabling required would rely on micro isolated systems or the buildings are situated in the outermost regions within the meaning of Article 349 TFEU, if this would lead to substantial problems for the operation of the local energy system and would endanger the stability of the local grid.</w:t>
            </w:r>
          </w:p>
        </w:tc>
        <w:tc>
          <w:tcPr>
            <w:tcW w:w="4876" w:type="dxa"/>
          </w:tcPr>
          <w:p>
            <w:pPr>
              <w:pStyle w:val="Normal6a"/>
            </w:pPr>
            <w:r>
              <w:t>5.</w:t>
            </w:r>
            <w:r>
              <w:tab/>
            </w:r>
            <w:r>
              <w:t xml:space="preserve">Member States may decide not to apply paragraphs 1, 2 and 4 to specific categories of buildings </w:t>
            </w:r>
            <w:r>
              <w:rPr>
                <w:b/>
                <w:i/>
              </w:rPr>
              <w:t>where: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(a) the</w:t>
            </w:r>
            <w:r>
              <w:t xml:space="preserve"> pre-cabling required would rely on micro isolated systems or the buildings are situated in the outermost regions within the meaning of Article 349 TFEU, if this would lead to substantial problems for the operation of the local energy system and would endanger the stability of the local grid.</w:t>
            </w:r>
            <w:r>
              <w:rPr>
                <w:b/>
                <w:i/>
              </w:rPr>
              <w:t>;</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(b) the stability of the grid is at risk and does not allow to power the specific number of recharging points for non-residential and residential buildings in the area and where a number of kilowatts per size and number of parking spaces shall be developed;</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(c) the cost of pre-cabling installations or pre-cabling installations and recharging points exceeds [10 %] of the total cost of the major renovation of the building;</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(d) the building provides for social housing services or shelter for vulnerable households, as defined by the Member State;</w:t>
            </w:r>
          </w:p>
        </w:tc>
      </w:tr>
      <w:tr>
        <w:tblPrEx>
          <w:tblW w:w="0" w:type="auto"/>
          <w:jc w:val="center"/>
          <w:tblLayout w:type="fixed"/>
          <w:tblCellMar>
            <w:left w:w="340" w:type="dxa"/>
            <w:right w:w="340" w:type="dxa"/>
          </w:tblCellMar>
        </w:tblPrEx>
        <w:trPr>
          <w:jc w:val="center"/>
        </w:trPr>
        <w:tc>
          <w:tcPr>
            <w:tcW w:w="4876" w:type="dxa"/>
          </w:tcPr>
          <w:p>
            <w:pPr>
              <w:pStyle w:val="Normal6a"/>
            </w:pPr>
          </w:p>
        </w:tc>
        <w:tc>
          <w:tcPr>
            <w:tcW w:w="4876" w:type="dxa"/>
          </w:tcPr>
          <w:p>
            <w:pPr>
              <w:pStyle w:val="Normal6a"/>
            </w:pPr>
            <w:r>
              <w:rPr>
                <w:b/>
                <w:i/>
              </w:rPr>
              <w:t>(e) building permit applications or equivalent applications have been submitted by … [date of national implementation of EPBD recast].</w:t>
            </w:r>
          </w:p>
        </w:tc>
      </w:tr>
    </w:tbl>
    <w:p>
      <w:pPr>
        <w:pStyle w:val="AmOrLang"/>
      </w:pPr>
      <w:r>
        <w:t xml:space="preserve">Or. </w:t>
      </w:r>
      <w:r>
        <w:rPr>
          <w:rStyle w:val="HideTWBExt"/>
        </w:rPr>
        <w:t>&lt;Original&gt;</w:t>
      </w:r>
      <w:r>
        <w:rPr>
          <w:rStyle w:val="HideTWBInt"/>
        </w:rPr>
        <w:t>{EN}</w:t>
      </w:r>
      <w:r>
        <w:t>en</w:t>
      </w:r>
      <w:r>
        <w:rPr>
          <w:rStyle w:val="HideTWBExt"/>
        </w:rPr>
        <w:t>&lt;/Original&gt;</w:t>
      </w:r>
    </w:p>
    <w:p>
      <w:r>
        <w:rPr>
          <w:rStyle w:val="HideTWBExt"/>
        </w:rPr>
        <w:t>&lt;/Amend&gt;</w:t>
      </w:r>
    </w:p>
    <w:p>
      <w:r>
        <w:rPr>
          <w:rStyle w:val="HideTWBExt"/>
        </w:rPr>
        <w:t>&lt;/RepeatBlock-Amend&gt;</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AM\P9_AMA(2023)0033(056-059)EN.docx</w:t>
    </w:r>
    <w:r>
      <w:rPr>
        <w:rStyle w:val="HideTWBExt"/>
      </w:rPr>
      <w:t>&lt;/PathFdR&gt;</w:t>
    </w:r>
    <w:r>
      <w:tab/>
    </w:r>
    <w:r>
      <w:tab/>
    </w:r>
    <w:r>
      <w:t>PE</w:t>
    </w:r>
    <w:r>
      <w:rPr>
        <w:rStyle w:val="HideTWBExt"/>
      </w:rPr>
      <w:t>&lt;NoPE&gt;</w:t>
    </w:r>
    <w:r>
      <w:t>744.069</w:t>
    </w:r>
    <w:r>
      <w:rPr>
        <w:rStyle w:val="HideTWBExt"/>
      </w:rPr>
      <w:t>&lt;/NoPE&gt;</w:t>
    </w:r>
    <w:r>
      <w:rPr>
        <w:rStyle w:val="HideTWBExt"/>
      </w:rPr>
      <w:t>&lt;Version&gt;</w:t>
    </w:r>
    <w:r>
      <w:t>v01-00</w:t>
    </w:r>
    <w:r>
      <w:rPr>
        <w:rStyle w:val="HideTWBExt"/>
      </w:rPr>
      <w:t>&lt;/Version&gt;</w:t>
    </w:r>
  </w:p>
  <w:p>
    <w:pPr>
      <w:pStyle w:val="EPFooter2"/>
    </w:pPr>
    <w:r>
      <w:t>EN</w:t>
    </w:r>
    <w:r>
      <w:tab/>
    </w:r>
    <w:r>
      <w:rPr>
        <w:rStyle w:val="EPFooter2Motto"/>
      </w:rPr>
      <w:t>United in diversity</w:t>
    </w:r>
    <w:r>
      <w:tab/>
    </w:r>
    <w:r>
      <w:t>EN</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By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465045 HideTWBExt;}{\s16\ql \li0\ri0\nowidctlpar\wrapdefault\aspalpha\aspnum\faauto\adjustright\rin0\lin0\itap0 \rtlch\fcs1 \af0\afs20\alang1025 \ltrch\fcs0 _x000d__x000a_\b\fs24\lang2057\langfe2057\cgrid\langnp2057\langfenp2057 \sbasedon0 \snext16 \spriority0 \styrsid8465045 NormalBold;}}{\*\rsidtbl \rsid24658\rsid358857\rsid735077\rsid787282\rsid2892074\rsid3622648\rsid4666813\rsid5708216\rsid6641733\rsid7553164_x000d__x000a_\rsid8465045\rsid8465581\rsid8681905\rsid8721650\rsid8724649\rsid9636012\rsid9862312\rsid11215221\rsid11370291\rsid11434737\rsid11607138\rsid11824949\rsid12154954\rsid14424199\rsid15204470\rsid15285974\rsid15535219\rsid15950462\rsid16324206\rsid16662270}_x000d__x000a_{\mmathPr\mmathFont34\mbrkBin0\mbrkBinSub0\msmallFrac0\mdispDef1\mlMargin0\mrMargin0\mdefJc1\mwrapIndent1440\mintLim0\mnaryLim1}{\info{\author FELIX Karina}{\operator FELIX Karina}{\creatim\yr2019\mo6\dy26\hr20\min40}{\revtim\yr2019\mo6\dy26\hr20\min40}_x000d__x000a_{\version1}{\edmins0}{\nofpages1}{\nofwords13}{\nofchars75}{\*\company European Parliament}{\nofcharsws87}{\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46504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72165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721650 \chftnsepc _x000d__x000a_\par }}{\*\aftnsep \ltrpar \pard\plain \ltrpar\ql \li0\ri0\widctlpar\wrapdefault\aspalpha\aspnum\faauto\adjustright\rin0\lin0\itap0 \rtlch\fcs1 \af0\afs20\alang1025 \ltrch\fcs0 \fs24\lang2057\langfe2057\cgrid\langnp2057\langfenp2057 {\rtlch\fcs1 \af0 _x000d__x000a_\ltrch\fcs0 \insrsid8721650 \chftnsep _x000d__x000a_\par }}{\*\aftnsepc \ltrpar \pard\plain \ltrpar\ql \li0\ri0\widctlpar\wrapdefault\aspalpha\aspnum\faauto\adjustright\rin0\lin0\itap0 \rtlch\fcs1 \af0\afs20\alang1025 \ltrch\fcs0 \fs24\lang2057\langfe2057\cgrid\langnp2057\langfenp2057 {\rtlch\fcs1 \af0 _x000d__x000a_\ltrch\fcs0 \insrsid872165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16\ql \li0\ri0\nowidctlpar\wrapdefault\aspalpha\aspnum\faauto\adjustright\rin0\lin0\itap0\pararsid8465045 \rtlch\fcs1 \af0\afs20\alang1025 \ltrch\fcs0 \b\fs24\lang2057\langfe2057\cgrid\langnp2057\langfenp2057 {\rtlch\fcs1 \af0 \ltrch\fcs0 _x000d__x000a_\cs15\b0\v\f1\fs20\cf9\lang1024\langfe1024\noproof\insrsid8465045\charrsid14699840 {\*\bkmkstart By}&lt;}{\rtlch\fcs1 \af0 \ltrch\fcs0 \cs15\b0\v\f1\fs20\cf9\lang1024\langfe1024\noproof\insrsid8465045 By&gt;&lt;}{\rtlch\fcs1 \af0 \ltrch\fcs0 _x000d__x000a_\cs15\b0\v\f1\fs20\cf9\lang1024\langfe1024\noproof\insrsid8465045\charrsid14699840 Members&gt;}{\rtlch\fcs1 \af0 \ltrch\fcs0 \insrsid8465045\charrsid14699840 [ZMEMBERS]}{\rtlch\fcs1 \af0 \ltrch\fcs0 _x000d__x000a_\cs15\b0\v\f1\fs20\cf9\lang1024\langfe1024\noproof\insrsid8465045\charrsid14699840 &lt;/Members&gt;}{\rtlch\fcs1 \af0 \ltrch\fcs0 \insrsid8465045\charrsid14699840 _x000d__x000a_\par }\pard\plain \ltrpar\ql \li0\ri0\widctlpar\wrapdefault\aspalpha\aspnum\faauto\adjustright\rin0\lin0\itap0\pararsid8465045 \rtlch\fcs1 \af0\afs20\alang1025 \ltrch\fcs0 \fs24\lang2057\langfe2057\cgrid\langnp2057\langfenp2057 {\rtlch\fcs1 \af0 \ltrch\fcs0 _x000d__x000a_\cs15\v\f1\fs20\cf9\lang1024\langfe1024\noproof\langnp1043\insrsid8465045\charrsid5922106 &lt;AuNomDe&gt;&lt;OptDel&gt;}{\rtlch\fcs1 \af0 \ltrch\fcs0 \lang1024\langfe1024\noproof\langnp1043\insrsid8465045\charrsid5922106 [ZONBEHALF]}{\rtlch\fcs1 \af0 \ltrch\fcs0 _x000d__x000a_\cs15\v\f1\fs20\cf9\lang1024\langfe1024\noproof\langnp1043\insrsid8465045\charrsid5922106 &lt;/OptDel&gt;&lt;/AuNomDe&gt;}{\rtlch\fcs1 \af0 \ltrch\fcs0 \lang1043\langfe2057\langnp1043\insrsid8465045\charrsid5922106 _x000d__x000a_\par }{\rtlch\fcs1 \af0 \ltrch\fcs0 \cs15\v\f1\fs20\cf9\lang1024\langfe1024\noproof\insrsid8465045\charrsid6839579 &lt;/By&gt;}{\rtlch\fcs1 \af0 \ltrch\fcs0 \insrsid24658\charrsid16324206 {\*\bkmkend By}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65_x000d__x000a_08934e2c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6452211 HideTWBExt;}{\s16\ql \li0\ri0\nowidctlpar\tqr\tx9072\wrapdefault\aspalpha\aspnum\faauto\adjustright\rin0\lin0\itap0 \rtlch\fcs1 \af0\afs20\alang1025 \ltrch\fcs0 _x000d__x000a_\b\fs24\lang2057\langfe2057\cgrid\langnp2057\langfenp2057 \sbasedon0 \snext16 \spriority0 \styrsid16452211 AmDocTypeTab;}{\s17\ql \li0\ri0\sa240\nowidctlpar\wrapdefault\aspalpha\aspnum\faauto\adjustright\rin0\lin0\itap0 \rtlch\fcs1 \af0\afs20\alang1025 _x000d__x000a_\ltrch\fcs0 \fs24\lang2057\langfe2057\cgrid\langnp2057\langfenp2057 \sbasedon0 \snext17 \spriority0 \styrsid16452211 Normal12a;}{\s18\ql \li-851\ri-851\widctlpar\tqc\tx4535\tqr\tx9921\wrapdefault\aspalpha\aspnum\faauto\adjustright\rin-851\lin-851\itap0 _x000d__x000a_\rtlch\fcs1 \af1\afs20\alang1025 \ltrch\fcs0 \b\f1\fs48\lang2057\langfe2057\cgrid\langnp2057\langfenp2057 \sbasedon0 \snext0 \spriority0 \styrsid16452211 EPFooter2;}{_x000d__x000a_\s19\ql \li0\ri0\nowidctlpar\wrapdefault\aspalpha\aspnum\faauto\adjustright\rin0\lin0\itap0 \rtlch\fcs1 \af0\afs20\alang1025 \ltrch\fcs0 \b\fs24\lang2057\langfe2057\cgrid\langnp2057\langfenp2057 \sbasedon0 \snext19 \spriority0 \styrsid16452211 _x000d__x000a_NormalBold;}{\s20\qr \li0\ri0\sb240\sa240\nowidctlpar\wrapdefault\aspalpha\aspnum\faauto\adjustright\rin0\lin0\itap0 \rtlch\fcs1 \af0\afs20\alang1025 \ltrch\fcs0 \fs24\lang2057\langfe2057\cgrid\langnp2057\langfenp2057 _x000d__x000a_\sbasedon0 \snext20 \spriority0 \styrsid16452211 AmOrLang;}{\s21\ql \li0\ri0\sa120\nowidctlpar\wrapdefault\aspalpha\aspnum\faauto\adjustright\rin0\lin0\itap0 \rtlch\fcs1 \af0\afs20\alang1025 \ltrch\fcs0 _x000d__x000a_\fs24\lang2057\langfe2057\cgrid\langnp2057\langfenp2057 \sbasedon0 \snext21 \spriority0 \styrsid16452211 Normal6a;}{\s22\qc \li0\ri0\sb240\sa240\nowidctlpar\wrapdefault\aspalpha\aspnum\faauto\adjustright\rin0\lin0\itap0 \rtlch\fcs1 \af0\afs20\alang1025 _x000d__x000a_\ltrch\fcs0 \i\fs24\lang2057\langfe2057\cgrid\langnp2057\langfenp2057 \sbasedon0 \snext22 \spriority0 \styrsid16452211 AmCrossRef;}{\s23\qc \li0\ri0\sb240\sa240\keepn\nowidctlpar\wrapdefault\aspalpha\aspnum\faauto\adjustright\rin0\lin0\itap0 \rtlch\fcs1 _x000d__x000a_\af0\afs20\alang1025 \ltrch\fcs0 \i\fs24\lang2057\langfe2057\cgrid\langnp2057\langfenp2057 \sbasedon0 \snext25 \spriority0 \styrsid16452211 AmJustTitle;}{\s24\ql \li0\ri0\nowidctlpar_x000d__x000a_\tqr\tx9072\wrapdefault\aspalpha\aspnum\faauto\adjustright\rin0\lin0\itap0 \rtlch\fcs1 \af0\afs20\alang1025 \ltrch\fcs0 \fs24\lang2057\langfe2057\cgrid\langnp2057\langfenp2057 \sbasedon0 \snext24 \spriority0 \styrsid16452211 AmDateTab;}{_x000d__x000a_\s25\ql \li0\ri0\sa240\nowidctlpar\wrapdefault\aspalpha\aspnum\faauto\adjustright\rin0\lin0\itap0 \rtlch\fcs1 \af0\afs20\alang1025 \ltrch\fcs0 \i\fs24\lang2057\langfe2057\cgrid\langnp2057\langfenp2057 \sbasedon0 \snext25 \spriority0 \styrsid16452211 _x000d__x000a_AmJustText;}{\s26\qc \li0\ri0\sa240\nowidctlpar\wrapdefault\aspalpha\aspnum\faauto\adjustright\rin0\lin0\itap0 \rtlch\fcs1 \af0\afs20\alang1025 \ltrch\fcs0 \i\fs24\lang2057\langfe2057\cgrid\langnp2057\langfenp2057 _x000d__x000a_\sbasedon0 \snext26 \spriority0 \styrsid16452211 AmColumnHeading;}{\s27\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7 \spriority0 \styrsid16452211 AmNumberTabs;}{\s28\ql \li0\ri0\sb240\sa240\nowidctlpar_x000d__x000a_\tqc\tx4535\tqr\tx9071\wrapdefault\aspalpha\aspnum\faauto\adjustright\rin0\lin0\itap0 \rtlch\fcs1 \af0\afs20\alang1025 \ltrch\fcs0 \fs22\lang2057\langfe2057\cgrid\langnp2057\langfenp2057 \sbasedon0 \snext28 \spriority0 \styrsid16452211 EPFooter;}}_x000d__x000a_{\*\rsidtbl \rsid24658\rsid89252\rsid358857\rsid735077\rsid787282\rsid2892074\rsid3622648\rsid4666813\rsid5708216\rsid6641733\rsid7553164\rsid8465581\rsid8681905\rsid8724649\rsid9636012\rsid9862312\rsid11215221\rsid11370291\rsid11434737\rsid11607138_x000d__x000a_\rsid11824949\rsid12154954\rsid14424199\rsid15204470\rsid15285974\rsid15535219\rsid15950462\rsid16324206\rsid16452211\rsid16662270}{\mmathPr\mmathFont34\mbrkBin0\mbrkBinSub0\msmallFrac0\mdispDef1\mlMargin0\mrMargin0\mdefJc1\mwrapIndent1440\mintLim0_x000d__x000a_\mnaryLim1}{\info{\author FELIX Karina}{\operator FELIX Karina}{\creatim\yr2019\mo6\dy26\hr20\min40}{\revtim\yr2019\mo6\dy26\hr20\min40}{\version1}{\edmins0}{\nofpages2}{\nofwords111}{\nofchars634}{\*\company European Parliament}{\nofcharsws744}{\vern97}}_x000d__x000a_{\*\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aftnnar\noxlattoyen\expshrtn\noultrlspc\dntblnsbdb\nospaceforul\formshade\horzdoc\dghspace180\dgvspace180\dghorigin1701\dgvorigin1984\dghshow0\dgvshow0_x000d__x000a_\jexpand\viewkind1\viewscale100\pgbrdrhead\pgbrdrfoot\nolnhtadjtbl\nojkernpunct\rsidroot1645221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89252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89252 \chftnsepc _x000d__x000a_\par }}{\*\aftnsep \ltrpar \pard\plain \ltrpar\ql \li0\ri0\widctlpar\wrapdefault\aspalpha\aspnum\faauto\adjustright\rin0\lin0\itap0 \rtlch\fcs1 \af0\afs20\alang1025 \ltrch\fcs0 \fs24\lang2057\langfe2057\cgrid\langnp2057\langfenp2057 {\rtlch\fcs1 \af0 _x000d__x000a_\ltrch\fcs0 \insrsid89252 \chftnsep _x000d__x000a_\par }}{\*\aftnsepc \ltrpar \pard\plain \ltrpar\ql \li0\ri0\widctlpar\wrapdefault\aspalpha\aspnum\faauto\adjustright\rin0\lin0\itap0 \rtlch\fcs1 \af0\afs20\alang1025 \ltrch\fcs0 \fs24\lang2057\langfe2057\cgrid\langnp2057\langfenp2057 {\rtlch\fcs1 \af0 _x000d__x000a_\ltrch\fcs0 \insrsid89252 \chftnsepc _x000d__x000a_\par }}\ltrpar \sectd \ltrsect\psz9\linex0\headery1134\footery567\sectlinegrid326\sectdefaultcl\sectrsid4791376\sftnbj\saftnnar\sftnrestart {\footerr \ltrpar \pard\plain \ltrpar\s28\ql \li0\ri0\sb240\sa240\nowidctlpar_x000d__x000a_\tqc\tx4535\tqr\tx9071\wrapdefault\aspalpha\aspnum\faauto\adjustright\rin0\lin0\itap0\pararsid11812909 \rtlch\fcs1 \af0\afs20\alang1025 \ltrch\fcs0 \fs22\lang2057\langfe2057\cgrid\langnp2057\langfenp2057 {\rtlch\fcs1 \af0 \ltrch\fcs0 _x000d__x000a_\cs15\v\f1\fs20\cf9\lang1024\langfe1024\noproof\insrsid16452211 &lt;PathFdR&gt;}{\rtlch\fcs1 \af0 \ltrch\fcs0 \insrsid16452211 [ZPATH]}{\rtlch\fcs1 \af0 \ltrch\fcs0 \cs15\v\f1\fs20\cf9\lang1024\langfe1024\noproof\insrsid16452211 &lt;/PathFdR&gt;}{\rtlch\fcs1 \af0 _x000d__x000a_\ltrch\fcs0 \insrsid16452211 \tab \tab PE}{\rtlch\fcs1 \af0 \ltrch\fcs0 \cs15\v\f1\fs20\cf9\lang1024\langfe1024\noproof\insrsid16452211 &lt;NoPE&gt;}{\rtlch\fcs1 \af0 \ltrch\fcs0 \insrsid16452211 [ZNRPE]}{\rtlch\fcs1 \af0 \ltrch\fcs0 _x000d__x000a_\cs15\v\f1\fs20\cf9\lang1024\langfe1024\noproof\insrsid16452211 &lt;/NoPE&gt;&lt;Version&gt;}{\rtlch\fcs1 \af0 \ltrch\fcs0 \insrsid16452211 [ZNRV]}{\rtlch\fcs1 \af0 \ltrch\fcs0 \cs15\v\f1\fs20\cf9\lang1024\langfe1024\noproof\insrsid16452211 &lt;/Version&gt;}{\rtlch\fcs1 _x000d__x000a_\af0 \ltrch\fcs0 \insrsid16452211 _x000d__x000a_\par }\pard\plain \ltrpar\s18\ql \li-851\ri-851\widctlpar\tqc\tx4535\tqr\tx9921\wrapdefault\aspalpha\aspnum\faauto\adjustright\rin-851\lin-851\itap0\pararsid11740041 \rtlch\fcs1 \af1\afs20\alang1025 \ltrch\fcs0 _x000d__x000a_\b\f1\fs48\lang2057\langfe2057\cgrid\langnp2057\langfenp2057 {\field{\*\fldinst {\rtlch\fcs1 \af1 \ltrch\fcs0 \insrsid16452211  DOCPROPERTY &quot;&lt;Extension&gt;&quot; }}{\fldrslt {\rtlch\fcs1 \af1 \ltrch\fcs0 \insrsid16452211 XX}}}\sectd \ltrsect_x000d__x000a_\linex0\endnhere\sectdefaultcl\sftnbj {\rtlch\fcs1 \af1 \ltrch\fcs0 \insrsid16452211\charrsid5530783 \tab }{\rtlch\fcs1 \af1\afs22 \ltrch\fcs0 \b0\i\fs22\cf16\insrsid16452211\charrsid10767834 #(STD@_Motto#}{\rtlch\fcs1 \af1 \ltrch\fcs0 _x000d__x000a_\insrsid16452211\charrsid5530783 \tab }{\field{\*\fldinst {\rtlch\fcs1 \af1 \ltrch\fcs0 \insrsid16452211  DOCPROPERTY &quot;&lt;Extension&gt;&quot; }}{\fldrslt {\rtlch\fcs1 \af1 \ltrch\fcs0 \insrsid16452211 XX}}}\sectd \ltrsect\linex0\endnhere\sectdefaultcl\sftnbj {_x000d__x000a_\rtlch\fcs1 \af1 \ltrch\fcs0 \insrsid16452211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4\ql \li0\ri0\nowidctlpar_x000d__x000a_\tqr\tx9072\wrapdefault\aspalpha\aspnum\faauto\adjustright\rin0\lin0\itap0\pararsid16452211 \rtlch\fcs1 \af0\afs20\alang1025 \ltrch\fcs0 \fs24\lang2057\langfe2057\cgrid\langnp2057\langfenp2057 {\rtlch\fcs1 \af0 \ltrch\fcs0 _x000d__x000a_\cs15\v\f1\fs20\cf9\lang1024\langfe1024\noproof\insrsid16452211\charrsid14699840 {\*\bkmkstart restart}&lt;Amend&gt;&lt;Date&gt;}{\rtlch\fcs1 \af0 \ltrch\fcs0 \lang1024\langfe1024\noproof\insrsid16452211\charrsid14699840 [ZDATE]}{\rtlch\fcs1 \af0 \ltrch\fcs0 _x000d__x000a_\cs15\v\f1\fs20\cf9\lang1024\langfe1024\noproof\insrsid16452211\charrsid14699840 &lt;/Date&gt;}{\rtlch\fcs1 \af0 \ltrch\fcs0 \lang1024\langfe1024\noproof\insrsid16452211\charrsid14699840 \tab }{\rtlch\fcs1 \af0 \ltrch\fcs0 _x000d__x000a_\cs15\v\f1\fs20\cf9\lang1024\langfe1024\noproof\insrsid16452211\charrsid14699840 &lt;ANo&gt;}{\rtlch\fcs1 \af0 \ltrch\fcs0 \lang1024\langfe1024\noproof\insrsid16452211\charrsid14699840 [ZNRA]}{\rtlch\fcs1 \af0 \ltrch\fcs0 _x000d__x000a_\cs15\v\f1\fs20\cf9\lang1024\langfe1024\noproof\insrsid16452211\charrsid14699840 &lt;/ANo&gt;}{\rtlch\fcs1 \af0 \ltrch\fcs0 \lang1024\langfe1024\noproof\insrsid16452211\charrsid14699840 /}{\rtlch\fcs1 \af0 \ltrch\fcs0 _x000d__x000a_\cs15\v\f1\fs20\cf9\lang1024\langfe1024\noproof\insrsid16452211\charrsid14699840 &lt;NumAm&gt;}{\rtlch\fcs1 \af0 \ltrch\fcs0 \lang1024\langfe1024\noproof\insrsid16452211\charrsid14699840 [ZNRAM]}{\rtlch\fcs1 \af0 \ltrch\fcs0 _x000d__x000a_\cs15\v\f1\fs20\cf9\lang1024\langfe1024\noproof\insrsid16452211\charrsid14699840 &lt;/NumAm&gt;}{\rtlch\fcs1 \af0 \ltrch\fcs0 \lang1024\langfe1024\noproof\insrsid16452211\charrsid14699840 _x000d__x000a_\par }\pard\plain \ltrpar\s27\ql \li0\ri0\sb240\nowidctlpar_x000d__x000a_\tx879\tx936\tx1021\tx1077\tx1134\tx1191\tx1247\tx1304\tx1361\tx1418\tx1474\tx1531\tx1588\tx1644\tx1701\tx1758\tx1814\tx1871\tx2070\tx2126\tx3374\tx3430\wrapdefault\aspalpha\aspnum\faauto\adjustright\rin0\lin0\itap0\pararsid16452211 \rtlch\fcs1 _x000d__x000a_\af0\afs20\alang1025 \ltrch\fcs0 \b\fs24\lang2057\langfe2057\cgrid\langnp2057\langfenp2057 {\rtlch\fcs1 \af0 \ltrch\fcs0 \insrsid16452211\charrsid14699840 [ZDOCTYPE]\tab \tab }{\rtlch\fcs1 \af0 \ltrch\fcs0 _x000d__x000a_\cs15\b0\v\f1\fs20\cf9\insrsid16452211\charrsid14699840 &lt;NumAm&gt;}{\rtlch\fcs1 \af0 \ltrch\fcs0 \insrsid16452211\charrsid14699840 [ZNRAM]}{\rtlch\fcs1 \af0 \ltrch\fcs0 \cs15\b0\v\f1\fs20\cf9\insrsid16452211\charrsid14699840 &lt;/NumAm&gt;}{\rtlch\fcs1 \af0 _x000d__x000a_\ltrch\fcs0 \insrsid16452211\charrsid14699840 _x000d__x000a_\par }\pard\plain \ltrpar\s19\ql \li0\ri0\nowidctlpar\wrapdefault\aspalpha\aspnum\faauto\adjustright\rin0\lin0\itap0\pararsid16452211 \rtlch\fcs1 \af0\afs20\alang1025 \ltrch\fcs0 \b\fs24\lang2057\langfe2057\cgrid\langnp2057\langfenp2057 {\rtlch\fcs1 \af0 _x000d__x000a_\ltrch\fcs0 \cs15\b0\v\f1\fs20\cf9\lang1024\langfe1024\noproof\insrsid16452211\charrsid14699840 &lt;RepeatBlock-By&gt;}{\rtlch\fcs1 \af0 \ltrch\fcs0 \lang1024\langfe1024\noproof\insrsid16452211\charrsid14699840 [RepeatMembers]}{\rtlch\fcs1 \af0 \ltrch\fcs0 _x000d__x000a_\cs15\b0\v\f1\fs20\cf9\lang1024\langfe1024\noproof\insrsid16452211\charrsid14699840 {\*\bkmkstart By}&lt;}{\rtlch\fcs1 \af0 \ltrch\fcs0 \cs15\b0\v\f1\fs20\cf9\lang1024\langfe1024\noproof\insrsid16452211 By&gt;&lt;}{\rtlch\fcs1 \af0 \ltrch\fcs0 _x000d__x000a_\cs15\b0\v\f1\fs20\cf9\lang1024\langfe1024\noproof\insrsid16452211\charrsid14699840 Members&gt;}{\rtlch\fcs1 \af0 \ltrch\fcs0 \insrsid16452211\charrsid14699840 [ZMEMBERS]}{\rtlch\fcs1 \af0 \ltrch\fcs0 _x000d__x000a_\cs15\b0\v\f1\fs20\cf9\lang1024\langfe1024\noproof\insrsid16452211\charrsid14699840 &lt;/Members&gt;}{\rtlch\fcs1 \af0 \ltrch\fcs0 \insrsid16452211\charrsid14699840 _x000d__x000a_\par }\pard\plain \ltrpar\ql \li0\ri0\widctlpar\wrapdefault\aspalpha\aspnum\faauto\adjustright\rin0\lin0\itap0\pararsid16452211 \rtlch\fcs1 \af0\afs20\alang1025 \ltrch\fcs0 \fs24\lang2057\langfe2057\cgrid\langnp2057\langfenp2057 {\rtlch\fcs1 \af0 \ltrch\fcs0 _x000d__x000a_\cs15\v\f1\fs20\cf9\lang1024\langfe1024\noproof\langnp1043\insrsid16452211\charrsid5922106 &lt;AuNomDe&gt;&lt;OptDel&gt;}{\rtlch\fcs1 \af0 \ltrch\fcs0 \lang1024\langfe1024\noproof\langnp1043\insrsid16452211\charrsid5922106 [ZONBEHALF]}{\rtlch\fcs1 \af0 \ltrch\fcs0 _x000d__x000a_\cs15\v\f1\fs20\cf9\lang1024\langfe1024\noproof\langnp1043\insrsid16452211\charrsid5922106 &lt;/OptDel&gt;&lt;/AuNomDe&gt;}{\rtlch\fcs1 \af0 \ltrch\fcs0 \lang1043\langfe2057\langnp1043\insrsid16452211\charrsid5922106 _x000d__x000a_\par }{\rtlch\fcs1 \af0 \ltrch\fcs0 \cs15\v\f1\fs20\cf9\lang1024\langfe1024\noproof\insrsid16452211\charrsid6839579 &lt;/By&gt;}{\rtlch\fcs1 \af0 \ltrch\fcs0 \insrsid16452211\charrsid14699840 {\*\bkmkend By}&lt;&lt;&lt;}{\rtlch\fcs1 \af0 \ltrch\fcs0 _x000d__x000a_\cs15\v\f1\fs20\cf9\lang1024\langfe1024\noproof\insrsid16452211\charrsid14699840 &lt;/RepeatBlock-By&gt;}{\rtlch\fcs1 \af0 \ltrch\fcs0 \insrsid16452211\charrsid14699840 _x000d__x000a_\par }\pard\plain \ltrpar\s16\ql \li0\ri0\nowidctlpar\tqr\tx9072\wrapdefault\aspalpha\aspnum\faauto\adjustright\rin0\lin0\itap0\pararsid16452211 \rtlch\fcs1 \af0\afs20\alang1025 \ltrch\fcs0 \b\fs24\lang2057\langfe2057\cgrid\langnp2057\langfenp2057 {_x000d__x000a_\rtlch\fcs1 \af0 \ltrch\fcs0 \cs15\b0\v\f1\fs20\cf9\lang1024\langfe1024\noproof\insrsid16452211\charrsid14699840 &lt;TitreType&gt;}{\rtlch\fcs1 \af0 \ltrch\fcs0 \insrsid16452211\charrsid14699840 [ZAMENDDOCTYPE]}{\rtlch\fcs1 \af0 \ltrch\fcs0 _x000d__x000a_\cs15\b0\v\f1\fs20\cf9\lang1024\langfe1024\noproof\insrsid16452211\charrsid14699840 &lt;/TitreType&gt;}{\rtlch\fcs1 \af0 \ltrch\fcs0 \lang1024\langfe1024\noproof\insrsid16452211\charrsid14699840 \tab [ZNRA]/[ZDOCYEAR]_x000d__x000a_\par }\pard\plain \ltrpar\s19\ql \li0\ri0\nowidctlpar\wrapdefault\aspalpha\aspnum\faauto\adjustright\rin0\lin0\itap0\pararsid16452211 \rtlch\fcs1 \af0\afs20\alang1025 \ltrch\fcs0 \b\fs24\lang2057\langfe2057\cgrid\langnp2057\langfenp2057 {\rtlch\fcs1 \af0 _x000d__x000a_\ltrch\fcs0 \cs15\b0\v\f1\fs20\cf9\lang1024\langfe1024\noproof\langnp1036\insrsid16452211\charrsid6839579 &lt;Rapporteur&gt;}{\rtlch\fcs1 \af0 \ltrch\fcs0 \lang1024\langfe1024\noproof\langnp1036\insrsid16452211\charrsid6839579 [ZAUTHORNAME]}{\rtlch\fcs1 \af0 _x000d__x000a_\ltrch\fcs0 \cs15\b0\v\f1\fs20\cf9\lang1024\langfe1024\noproof\langnp1036\insrsid16452211\charrsid6839579 &lt;/Rapporteur&gt;}{\rtlch\fcs1 \af0 \ltrch\fcs0 \lang1024\langfe1024\noproof\langnp1036\insrsid16452211\charrsid6839579 _x000d__x000a_\par }\pard\plain \ltrpar\ql \li0\ri0\widctlpar\wrapdefault\aspalpha\aspnum\faauto\adjustright\rin0\lin0\itap0\pararsid16452211 \rtlch\fcs1 \af0\afs20\alang1025 \ltrch\fcs0 \fs24\lang2057\langfe2057\cgrid\langnp2057\langfenp2057 {\rtlch\fcs1 \af0 \ltrch\fcs0 _x000d__x000a_\cs15\v\f1\fs20\cf9\lang1024\langfe1024\noproof\langnp1036\insrsid16452211\charrsid6839579 &lt;Titre&gt;}{\rtlch\fcs1 \af0 \ltrch\fcs0 \lang1024\langfe1024\noproof\langnp1036\insrsid16452211\charrsid6839579 [ZTITLE]}{\rtlch\fcs1 \af0 \ltrch\fcs0 _x000d__x000a_\cs15\v\f1\fs20\cf9\lang1024\langfe1024\noproof\langnp1036\insrsid16452211\charrsid6839579 &lt;/Titre&gt;}{\rtlch\fcs1 \af0 \ltrch\fcs0 \lang1036\langfe2057\langnp1036\insrsid16452211\charrsid6839579 _x000d__x000a_\par }\pard\plain \ltrpar\s17\ql \li0\ri0\sa240\nowidctlpar\wrapdefault\aspalpha\aspnum\faauto\adjustright\rin0\lin0\itap0\pararsid16452211 \rtlch\fcs1 \af0\afs20\alang1025 \ltrch\fcs0 \fs24\lang2057\langfe2057\cgrid\langnp2057\langfenp2057 {\rtlch\fcs1 \af0 _x000d__x000a_\ltrch\fcs0 \cs15\v\f1\fs20\cf9\lang1024\langfe1024\noproof\langnp1036\insrsid16452211\charrsid6839579 &lt;DocRef&gt;}{\rtlch\fcs1 \af0 \ltrch\fcs0 \lang1036\langfe2057\langnp1036\insrsid16452211\charrsid6839579 [ZDOCREF]}{\rtlch\fcs1 \af0 \ltrch\fcs0 _x000d__x000a_\cs15\v\f1\fs20\cf9\lang1024\langfe1024\noproof\langnp1036\insrsid16452211\charrsid6839579 &lt;/DocRef&gt;}{\rtlch\fcs1 \af0 \ltrch\fcs0 \lang1036\langfe2057\langnp1036\insrsid16452211\charrsid6839579 _x000d__x000a_\par }\pard\plain \ltrpar\s19\ql \li0\ri0\nowidctlpar\wrapdefault\aspalpha\aspnum\faauto\adjustright\rin0\lin0\itap0\pararsid16452211 \rtlch\fcs1 \af0\afs20\alang1025 \ltrch\fcs0 \b\fs24\lang2057\langfe2057\cgrid\langnp2057\langfenp2057 {\rtlch\fcs1 \af0 _x000d__x000a_\ltrch\fcs0 \cs15\b0\v\f1\fs20\cf9\lang1024\langfe1024\noproof\langnp1036\insrsid16452211\charrsid6839579 &lt;DocAmend&gt;}{\rtlch\fcs1 \af0 \ltrch\fcs0 \lang1036\langfe2057\langnp1036\insrsid16452211\charrsid6839579 [ZAMDOC][ZAMACT]}{\rtlch\fcs1 \af0 _x000d__x000a_\ltrch\fcs0 \cs15\b0\v\f1\fs20\cf9\lang1024\langfe1024\noproof\langnp1036\insrsid16452211\charrsid6839579 &lt;/DocAmend&gt;}{\rtlch\fcs1 \af0 \ltrch\fcs0 \lang1036\langfe2057\langnp1036\insrsid16452211\charrsid6839579 _x000d__x000a_\par }{\rtlch\fcs1 \af0 \ltrch\fcs0 \cs15\b0\v\f1\fs20\cf9\lang1024\langfe1024\noproof\langnp1036\insrsid16452211\charrsid6839579 &lt;Article&gt;}{\rtlch\fcs1 \af0 \ltrch\fcs0 \lang1036\langfe2057\langnp1036\insrsid16452211\charrsid6839579 [ZAMPART]}{\rtlch\fcs1 _x000d__x000a_\af0 \ltrch\fcs0 \cs15\b0\v\f1\fs20\cf9\lang1024\langfe1024\noproof\langnp1036\insrsid16452211\charrsid6839579 &lt;/Article&gt;}{\rtlch\fcs1 \af0 \ltrch\fcs0 \lang1036\langfe2057\langnp1036\insrsid16452211\charrsid6839579 _x000d__x000a_\par }\pard\plain \ltrpar\ql \li0\ri0\widctlpar\wrapdefault\aspalpha\aspnum\faauto\adjustright\rin0\lin0\itap0\pararsid16452211 \rtlch\fcs1 \af0\afs20\alang1025 \ltrch\fcs0 \fs24\lang2057\langfe2057\cgrid\langnp2057\langfenp2057 {\rtlch\fcs1 \af0 \ltrch\fcs0 _x000d__x000a_\cs15\v\f1\fs20\cf9\lang1036\langfe2057\langnp1036\insrsid16452211\charrsid6839579 &lt;DocAmend2&gt;&lt;OptDel&gt;}{\rtlch\fcs1 \af0 \ltrch\fcs0 \lang1036\langfe2057\langnp1036\insrsid16452211\charrsid6839579 [ZNRACT]}{\rtlch\fcs1 \af0 \ltrch\fcs0 _x000d__x000a_\cs15\v\f1\fs20\cf9\lang1036\langfe2057\langnp1036\insrsid16452211\charrsid6839579 &lt;/OptDel&gt;&lt;/DocAmend2&gt;}{\rtlch\fcs1 \af0 \ltrch\fcs0 \lang1036\langfe2057\langnp1036\insrsid16452211\charrsid6839579 _x000d__x000a_\par }{\rtlch\fcs1 \af0 \ltrch\fcs0 \cs15\v\f1\fs20\cf9\lang1036\langfe2057\langnp1036\insrsid16452211\charrsid6839579 &lt;Article2&gt;&lt;OptDel&gt;}{\rtlch\fcs1 \af0 \ltrch\fcs0 \lang1036\langfe2057\langnp1036\insrsid16452211\charrsid6839579 [ZACTPART]}{\rtlch\fcs1 _x000d__x000a_\af0 \ltrch\fcs0 \cs15\v\f1\fs20\cf9\lang1036\langfe2057\langnp1036\insrsid16452211\charrsid6839579 &lt;/OptDel&gt;&lt;/Article2&gt;}{\rtlch\fcs1 \af0 \ltrch\fcs0 \lang1036\langfe2057\langnp1036\insrsid16452211\charrsid6839579 _x000d__x000a_\par \ltrrow}\trowd \irow0\irowband0\ltrrow\ts11\trqc\trgaph340\trleft-340\trftsWidth3\trwWidth9752\trftsWidthB3\trpaddl340\trpaddr340\trpaddfl3\trpaddft3\trpaddfb3\trpaddfr3\tblrsid9389144\tblind0\tblindtype3 \clvertalt\clbrdrt\brdrtbl \clbrdrl\brdrtbl _x000d__x000a_\clbrdrb\brdrtbl \clbrdrr\brdrtbl \cltxlrtb\clftsWidth3\clwWidth9752\clshdrawnil \cellx9412\pard\plain \ltrpar\ql \li0\ri0\keepn\widctlpar\intbl\wrapdefault\aspalpha\aspnum\faauto\adjustright\rin0\lin0\pararsid3097865 \rtlch\fcs1 \af0\afs20\alang1025 _x000d__x000a_\ltrch\fcs0 \fs24\lang2057\langfe2057\cgrid\langnp2057\langfenp2057 {\rtlch\fcs1 \af0 \ltrch\fcs0 \lang1036\langfe2057\langnp1036\insrsid16452211\charrsid6839579 \cell }\pard\plain \ltrpar_x000d__x000a_\ql \li0\ri0\widctlpar\intbl\wrapdefault\aspalpha\aspnum\faauto\adjustright\rin0\lin0 \rtlch\fcs1 \af0\afs20\alang1025 \ltrch\fcs0 \fs24\lang2057\langfe2057\cgrid\langnp2057\langfenp2057 {\rtlch\fcs1 \af0 \ltrch\fcs0 _x000d__x000a_\lang1036\langfe2057\langnp1036\insrsid16452211\charrsid6839579 \trowd \irow0\irowband0\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6\qc \li0\ri0\sa240\keepn\nowidctlpar\intbl\wrapdefault\aspalpha\aspnum\faauto\adjustright\rin0\lin0\pararsid3097865 \rtlch\fcs1 \af0\afs20\alang1025 \ltrch\fcs0 \i\fs24\lang2057\langfe2057\cgrid\langnp2057\langfenp2057 {\rtlch\fcs1 \af0 \ltrch\fcs0 _x000d__x000a_\insrsid16452211\charrsid14699840 [ZLEFT]\cell [ZRIGHT]\cell }\pard\plain \ltrpar\ql \li0\ri0\widctlpar\intbl\wrapdefault\aspalpha\aspnum\faauto\adjustright\rin0\lin0 \rtlch\fcs1 \af0\afs20\alang1025 \ltrch\fcs0 _x000d__x000a_\fs24\lang2057\langfe2057\cgrid\langnp2057\langfenp2057 {\rtlch\fcs1 \af0 \ltrch\fcs0 \insrsid16452211\charrsid14699840 \trowd \irow1\irowband1\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21\ql \li0\ri0\sa120\nowidctlpar\intbl\wrapdefault\aspalpha\aspnum\faauto\adjustright\rin0\lin0\pararsid9389144 \rtlch\fcs1 \af0\afs20\alang1025 \ltrch\fcs0 \fs24\lang2057\langfe2057\cgrid\langnp2057\langfenp2057 {\rtlch\fcs1 \af0 \ltrch\fcs0 _x000d__x000a_\insrsid16452211\charrsid14699840 [ZTEXTL]\cell [ZTEXTR]}{\rtlch\fcs1 \af0\afs24 \ltrch\fcs0 \insrsid16452211\charrsid14699840 \cell }\pard\plain \ltrpar\ql \li0\ri0\widctlpar\intbl\wrapdefault\aspalpha\aspnum\faauto\adjustright\rin0\lin0 \rtlch\fcs1 _x000d__x000a_\af0\afs20\alang1025 \ltrch\fcs0 \fs24\lang2057\langfe2057\cgrid\langnp2057\langfenp2057 {\rtlch\fcs1 \af0 \ltrch\fcs0 \insrsid16452211\charrsid14699840 \trowd \irow2\irowband2\lastrow \ltrrow_x000d__x000a_\ts11\trqc\trgaph340\trleft-340\trftsWidth3\trwWidth9752\trftsWidthB3\trpaddl340\trpaddr340\trpaddfl3\trpaddft3\trpaddfb3\trpaddfr3\tblrsid9389144\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0\qr \li0\ri0\sb240\sa240\nowidctlpar\wrapdefault\aspalpha\aspnum\faauto\adjustright\rin0\lin0\itap0\pararsid16452211 \rtlch\fcs1 \af0\afs20\alang1025 \ltrch\fcs0 \fs24\lang2057\langfe2057\cgrid\langnp2057\langfenp2057 {\rtlch\fcs1 \af0 \ltrch\fcs0 _x000d__x000a_\insrsid16452211\charrsid14699840 Or. }{\rtlch\fcs1 \af0 \ltrch\fcs0 \cs15\v\f1\fs20\cf9\lang1024\langfe1024\noproof\insrsid16452211\charrsid14699840 &lt;Original&gt;}{\rtlch\fcs1 \af0 \ltrch\fcs0 \insrsid16452211\charrsid14699840 [ZORLANG]}{\rtlch\fcs1 \af0 _x000d__x000a_\ltrch\fcs0 \cs15\v\f1\fs20\cf9\lang1024\langfe1024\noproof\insrsid16452211\charrsid14699840 &lt;/Original&gt;}{\rtlch\fcs1 \af0 \ltrch\fcs0 \insrsid16452211\charrsid14699840 _x000d__x000a_\par }\pard\plain \ltrpar\s22\qc \li0\ri0\sb240\sa240\nowidctlpar\wrapdefault\aspalpha\aspnum\faauto\adjustright\rin0\lin0\itap0\pararsid16452211 \rtlch\fcs1 \af0\afs20\alang1025 \ltrch\fcs0 \i\fs24\lang2057\langfe2057\cgrid\langnp2057\langfenp2057 {_x000d__x000a_\rtlch\fcs1 \af0 \ltrch\fcs0 \cs15\i0\v\f1\fs20\cf9\lang1024\langfe1024\noproof\insrsid16452211\charrsid14699840 &lt;OptDel&gt;}{\rtlch\fcs1 \af0 \ltrch\fcs0 \insrsid16452211\charrsid14699840 [ZCROSSREF]}{\rtlch\fcs1 \af0 \ltrch\fcs0 _x000d__x000a_\cs15\i0\v\f1\fs20\cf9\lang1024\langfe1024\noproof\insrsid16452211\charrsid14699840 &lt;/OptDel&gt;}{\rtlch\fcs1 \af0 \ltrch\fcs0 \insrsid16452211\charrsid14699840 _x000d__x000a_\par }\pard\plain \ltrpar\s23\qc \li0\ri0\sb240\sa240\keepn\nowidctlpar\wrapdefault\aspalpha\aspnum\faauto\adjustright\rin0\lin0\itap0\pararsid16452211 \rtlch\fcs1 \af0\afs20\alang1025 \ltrch\fcs0 \i\fs24\lang2057\langfe2057\cgrid\langnp2057\langfenp2057 {_x000d__x000a_\rtlch\fcs1 \af0 \ltrch\fcs0 \cs15\i0\v\f1\fs20\cf9\lang1024\langfe1024\noproof\insrsid16452211\charrsid14699840 &lt;TitreJust&gt;}{\rtlch\fcs1 \af0 \ltrch\fcs0 \insrsid16452211\charrsid14699840 [ZJUSTIFICATION]}{\rtlch\fcs1 \af0 \ltrch\fcs0 _x000d__x000a_\cs15\i0\v\f1\fs20\cf9\lang1024\langfe1024\noproof\insrsid16452211\charrsid14699840 &lt;/TitreJust&gt;}{\rtlch\fcs1 \af0 \ltrch\fcs0 \insrsid16452211\charrsid14699840 _x000d__x000a_\par }\pard\plain \ltrpar\s25\ql \li0\ri0\sa240\nowidctlpar\wrapdefault\aspalpha\aspnum\faauto\adjustright\rin0\lin0\itap0\pararsid16452211 \rtlch\fcs1 \af0\afs20\alang1025 \ltrch\fcs0 \i\fs24\lang2057\langfe2057\cgrid\langnp2057\langfenp2057 {\rtlch\fcs1 _x000d__x000a_\af0 \ltrch\fcs0 \cs15\i0\v\f1\fs20\cf9\lang1024\langfe1024\noproof\insrsid16452211\charrsid14699840 &lt;OptDelPrev&gt;}{\rtlch\fcs1 \af0 \ltrch\fcs0 \insrsid16452211\charrsid14699840 [ZTEXTJUST]}{\rtlch\fcs1 \af0 \ltrch\fcs0 _x000d__x000a_\cs15\i0\v\f1\fs20\cf9\lang1024\langfe1024\noproof\insrsid16452211\charrsid14699840 &lt;/OptDelPrev&gt;}{\rtlch\fcs1 \af0 \ltrch\fcs0 \insrsid16452211\charrsid14699840 _x000d__x000a_\par }\pard\plain \ltrpar\ql \li0\ri0\widctlpar\wrapdefault\aspalpha\aspnum\faauto\adjustright\rin0\lin0\itap0\pararsid16452211 \rtlch\fcs1 \af0\afs20\alang1025 \ltrch\fcs0 \fs24\lang2057\langfe2057\cgrid\langnp2057\langfenp2057 {\rtlch\fcs1 \af0 \ltrch\fcs0 _x000d__x000a_\lang1024\langfe1024\noproof\insrsid16452211\charrsid14699840 \sect }\sectd \ltrsect\psz9\linex0\headery1134\footery505\endnhere\titlepg\sectdefaultcl\sectrsid14424199\sftnbj\sftnrestart \pard\plain \ltrpar_x000d__x000a_\ql \li0\ri0\widctlpar\wrapdefault\aspalpha\aspnum\faauto\adjustright\rin0\lin0\itap0\pararsid16452211 \rtlch\fcs1 \af0\afs20\alang1025 \ltrch\fcs0 \fs24\lang2057\langfe2057\cgrid\langnp2057\langfenp2057 {\rtlch\fcs1 \af0 \ltrch\fcs0 _x000d__x000a_\cs15\v\f1\fs20\cf9\lang1024\langfe1024\noproof\insrsid16452211\charrsid14699840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8f_x000d__x000a_84924e2c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ideTWBExt">
    <w:name w:val="HideTWBExt"/>
    <w:rPr>
      <w:rFonts w:ascii="Arial" w:hAnsi="Arial"/>
      <w:vanish/>
      <w:color w:val="000080"/>
      <w:sz w:val="20"/>
    </w:rPr>
  </w:style>
  <w:style w:type="paragraph" w:customStyle="1" w:styleId="AmDocTypeTab">
    <w:name w:val="AmDocTypeTab"/>
    <w:basedOn w:val="Normal"/>
    <w:pPr>
      <w:widowControl w:val="0"/>
      <w:tabs>
        <w:tab w:val="right" w:pos="9060"/>
      </w:tabs>
    </w:pPr>
    <w:rPr>
      <w:b/>
    </w:rPr>
  </w:style>
  <w:style w:type="paragraph" w:customStyle="1" w:styleId="Normal12a">
    <w:name w:val="Normal12a"/>
    <w:basedOn w:val="Normal"/>
    <w:pPr>
      <w:widowControl w:val="0"/>
      <w:spacing w:after="240"/>
    </w:pPr>
  </w:style>
  <w:style w:type="paragraph" w:customStyle="1" w:styleId="EPFooter2">
    <w:name w:val="EPFooter2"/>
    <w:basedOn w:val="Normal"/>
    <w:next w:val="Normal"/>
    <w:pPr>
      <w:widowControl/>
      <w:tabs>
        <w:tab w:val="center" w:pos="4520"/>
        <w:tab w:val="right" w:pos="9920"/>
      </w:tabs>
      <w:ind w:left="-840" w:right="-84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val="0"/>
    </w:pPr>
    <w:rPr>
      <w:b/>
    </w:rPr>
  </w:style>
  <w:style w:type="paragraph" w:customStyle="1" w:styleId="AmOrLang">
    <w:name w:val="AmOrLang"/>
    <w:basedOn w:val="Normal"/>
    <w:pPr>
      <w:widowControl w:val="0"/>
      <w:spacing w:before="240" w:after="240"/>
      <w:jc w:val="right"/>
    </w:pPr>
  </w:style>
  <w:style w:type="paragraph" w:customStyle="1" w:styleId="Normal6a">
    <w:name w:val="Normal6a"/>
    <w:basedOn w:val="Normal"/>
    <w:pPr>
      <w:widowControl w:val="0"/>
      <w:spacing w:after="120"/>
    </w:pPr>
  </w:style>
  <w:style w:type="paragraph" w:customStyle="1" w:styleId="AmCrossRef">
    <w:name w:val="AmCrossRef"/>
    <w:basedOn w:val="Normal"/>
    <w:pPr>
      <w:widowControl w:val="0"/>
      <w:spacing w:before="240" w:after="240"/>
      <w:jc w:val="center"/>
    </w:pPr>
    <w:rPr>
      <w:i/>
    </w:rPr>
  </w:style>
  <w:style w:type="paragraph" w:customStyle="1" w:styleId="AmJustTitle">
    <w:name w:val="AmJustTitle"/>
    <w:basedOn w:val="Normal"/>
    <w:next w:val="AmJustText"/>
    <w:pPr>
      <w:keepNext/>
      <w:widowControl w:val="0"/>
      <w:spacing w:before="240" w:after="240"/>
      <w:jc w:val="center"/>
    </w:pPr>
    <w:rPr>
      <w:i/>
    </w:rPr>
  </w:style>
  <w:style w:type="paragraph" w:customStyle="1" w:styleId="AmDateTab">
    <w:name w:val="AmDateTab"/>
    <w:basedOn w:val="Normal"/>
    <w:pPr>
      <w:widowControl w:val="0"/>
      <w:tabs>
        <w:tab w:val="right" w:pos="9060"/>
      </w:tabs>
    </w:pPr>
  </w:style>
  <w:style w:type="paragraph" w:customStyle="1" w:styleId="AmColumnHeading">
    <w:name w:val="AmColumnHeading"/>
    <w:basedOn w:val="Normal"/>
    <w:pPr>
      <w:widowControl w:val="0"/>
      <w:spacing w:after="240"/>
      <w:jc w:val="center"/>
    </w:pPr>
    <w:rPr>
      <w:i/>
    </w:rPr>
  </w:style>
  <w:style w:type="paragraph" w:customStyle="1" w:styleId="AmJustText">
    <w:name w:val="AmJustText"/>
    <w:basedOn w:val="Normal"/>
    <w:pPr>
      <w:widowControl w:val="0"/>
      <w:spacing w:after="240"/>
    </w:pPr>
    <w:rPr>
      <w:i/>
    </w:rPr>
  </w:style>
  <w:style w:type="paragraph" w:customStyle="1" w:styleId="AmNumberTabs">
    <w:name w:val="AmNumberTabs"/>
    <w:basedOn w:val="Normal"/>
    <w:pPr>
      <w:widowControl w:val="0"/>
      <w:tabs>
        <w:tab w:val="left" w:pos="860"/>
        <w:tab w:val="left" w:pos="920"/>
        <w:tab w:val="left" w:pos="1020"/>
        <w:tab w:val="left" w:pos="1060"/>
        <w:tab w:val="left" w:pos="1120"/>
        <w:tab w:val="left" w:pos="1180"/>
        <w:tab w:val="left" w:pos="1240"/>
        <w:tab w:val="left" w:pos="1300"/>
        <w:tab w:val="left" w:pos="1360"/>
        <w:tab w:val="left" w:pos="1400"/>
        <w:tab w:val="left" w:pos="1460"/>
        <w:tab w:val="left" w:pos="1520"/>
        <w:tab w:val="left" w:pos="1580"/>
        <w:tab w:val="left" w:pos="1640"/>
        <w:tab w:val="left" w:pos="1700"/>
        <w:tab w:val="left" w:pos="1740"/>
        <w:tab w:val="left" w:pos="1800"/>
        <w:tab w:val="left" w:pos="1860"/>
        <w:tab w:val="left" w:pos="2060"/>
        <w:tab w:val="left" w:pos="2120"/>
        <w:tab w:val="left" w:pos="3360"/>
        <w:tab w:val="left" w:pos="3420"/>
      </w:tabs>
      <w:spacing w:before="240"/>
    </w:pPr>
    <w:rPr>
      <w:b/>
    </w:rPr>
  </w:style>
  <w:style w:type="paragraph" w:customStyle="1" w:styleId="EPFooter">
    <w:name w:val="EPFooter"/>
    <w:basedOn w:val="Normal"/>
    <w:pPr>
      <w:widowControl w:val="0"/>
      <w:tabs>
        <w:tab w:val="center" w:pos="4520"/>
        <w:tab w:val="right" w:pos="9060"/>
      </w:tabs>
      <w:spacing w:before="240" w:after="240"/>
    </w:pPr>
    <w:rPr>
      <w:sz w:val="22"/>
    </w:rPr>
  </w:style>
  <w:style w:type="character" w:customStyle="1" w:styleId="FooterChar">
    <w:name w:val="Footer Char"/>
    <w:rPr>
      <w:sz w:val="24"/>
    </w:rPr>
  </w:style>
  <w:style w:type="character" w:customStyle="1" w:styleId="EPFooter2Motto">
    <w:name w:val="EPFooter2Motto"/>
    <w:rPr>
      <w:rFonts w:ascii="Arial" w:hAnsi="Arial"/>
      <w:b/>
      <w:i/>
      <w:color w:val="C0C0C0"/>
      <w:sz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AM_Ple_LegReport</dc:title>
  <dc:creator>e-Parliament@europarl.europa.eu</dc:creator>
  <cp:lastModifiedBy>e-Parliament@europarl.europa.eu</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lt;FdR&gt;">
    <vt:lpwstr>\P9_AMA(2023)0033(056-059)</vt:lpwstr>
  </property>
  <property fmtid="{D5CDD505-2E9C-101B-9397-08002B2CF9AE}" pid="4" name="&lt;Model&gt;">
    <vt:lpwstr>AM_Ple_LegReport</vt:lpwstr>
  </property>
  <property fmtid="{D5CDD505-2E9C-101B-9397-08002B2CF9AE}" pid="5" name="&lt;Type&gt;">
    <vt:lpwstr>AM</vt:lpwstr>
  </property>
  <property fmtid="{D5CDD505-2E9C-101B-9397-08002B2CF9AE}" pid="6" name="dmxml.render.id">
    <vt:lpwstr>2531</vt:lpwstr>
  </property>
  <property fmtid="{D5CDD505-2E9C-101B-9397-08002B2CF9AE}" pid="7" name="dmxml.render.traceId">
    <vt:lpwstr>6409ab5ad03588f77dc44462bad78fae</vt:lpwstr>
  </property>
  <property fmtid="{D5CDD505-2E9C-101B-9397-08002B2CF9AE}" pid="8" name="FooterPath">
    <vt:lpwstr>AM\P9_AMA(2023)0033(056-059)EN.docx</vt:lpwstr>
  </property>
  <property fmtid="{D5CDD505-2E9C-101B-9397-08002B2CF9AE}" pid="9" name="PE Number">
    <vt:lpwstr>744.069</vt:lpwstr>
  </property>
  <property fmtid="{D5CDD505-2E9C-101B-9397-08002B2CF9AE}" pid="10" name="UID">
    <vt:lpwstr>eu.europa.europarl-DIN1-2023-0000027498_01.00-en-01.00_text-xml</vt:lpwstr>
  </property>
</Properties>
</file>