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3.6.0 -->
  <w:body>
    <w:p>
      <w:pPr>
        <w:pStyle w:val="AmDateTab"/>
      </w:pPr>
      <w:r>
        <w:rPr>
          <w:rStyle w:val="HideTWBExt"/>
        </w:rPr>
        <w:t>&lt;RepeatBlock-Amend&gt;</w:t>
      </w:r>
      <w:r>
        <w:rPr>
          <w:rStyle w:val="HideTWBExt"/>
        </w:rPr>
        <w:t>&lt;Amend&gt;</w:t>
      </w:r>
      <w:r>
        <w:rPr>
          <w:rStyle w:val="HideTWBExt"/>
        </w:rPr>
        <w:t>&lt;Date&gt;</w:t>
      </w:r>
      <w:r>
        <w:rPr>
          <w:rStyle w:val="HideTWBInt"/>
        </w:rPr>
        <w:t>{04/04/2024}</w:t>
      </w:r>
      <w:r>
        <w:t>4.4.2024</w:t>
      </w:r>
      <w:r>
        <w:rPr>
          <w:rStyle w:val="HideTWBExt"/>
        </w:rPr>
        <w:t>&lt;/Date&gt;</w:t>
      </w:r>
      <w:r>
        <w:tab/>
      </w:r>
      <w:r>
        <w:rPr>
          <w:rStyle w:val="HideTWBExt"/>
        </w:rPr>
        <w:t>&lt;ANo&gt;</w:t>
      </w:r>
      <w:r>
        <w:t>A9-0067</w:t>
      </w:r>
      <w:r>
        <w:rPr>
          <w:rStyle w:val="HideTWBExt"/>
        </w:rPr>
        <w:t>&lt;/ANo&gt;</w:t>
      </w:r>
      <w:r>
        <w:t>/</w:t>
      </w:r>
      <w:r>
        <w:rPr>
          <w:rStyle w:val="HideTWBExt"/>
        </w:rPr>
        <w:t>&lt;NumAm&gt;</w:t>
      </w:r>
      <w:r>
        <w:t>50</w:t>
      </w:r>
      <w:r>
        <w:rPr>
          <w:rStyle w:val="HideTWBExt"/>
        </w:rPr>
        <w:t>&lt;/NumAm&gt;</w:t>
      </w:r>
    </w:p>
    <w:p>
      <w:pPr>
        <w:pStyle w:val="AmNumberTabs"/>
      </w:pPr>
      <w:r>
        <w:t>Amendment</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&lt;By&gt;</w:t>
      </w:r>
      <w:r>
        <w:rPr>
          <w:rStyle w:val="HideTWBExt"/>
          <w:b w:val="0"/>
        </w:rPr>
        <w:t>&lt;Members&gt;</w:t>
      </w:r>
      <w:r>
        <w:t>Daniel Freund, Patrick Breyer</w:t>
      </w:r>
      <w:r>
        <w:rPr>
          <w:rStyle w:val="HideTWBExt"/>
          <w:b w:val="0"/>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b w:val="0"/>
        </w:rPr>
        <w:t>&lt;/By&gt;</w:t>
      </w:r>
      <w:r>
        <w:rPr>
          <w:rStyle w:val="HideTWBExt"/>
          <w:b w:val="0"/>
        </w:rPr>
        <w:t>&lt;/RepeatBlock-By&gt;</w:t>
      </w:r>
    </w:p>
    <w:p>
      <w:pPr>
        <w:pStyle w:val="AmDocTypeTab"/>
      </w:pPr>
      <w:r>
        <w:rPr>
          <w:rStyle w:val="HideTWBExt"/>
        </w:rPr>
        <w:t>&lt;TitreType&gt;</w:t>
      </w:r>
      <w:r>
        <w:t>Report</w:t>
      </w:r>
      <w:r>
        <w:rPr>
          <w:rStyle w:val="HideTWBExt"/>
        </w:rPr>
        <w:t>&lt;/TitreType&gt;</w:t>
      </w:r>
      <w:r>
        <w:tab/>
      </w:r>
      <w:r>
        <w:t>A9-0067/2024</w:t>
      </w:r>
    </w:p>
    <w:p>
      <w:pPr>
        <w:pStyle w:val="NormalBold"/>
      </w:pPr>
      <w:r>
        <w:rPr>
          <w:rStyle w:val="HideTWBExt"/>
        </w:rPr>
        <w:t>&lt;Rapporteur&gt;</w:t>
      </w:r>
      <w:r>
        <w:t>Andrey Novakov</w:t>
      </w:r>
      <w:r>
        <w:rPr>
          <w:rStyle w:val="HideTWBExt"/>
        </w:rPr>
        <w:t>&lt;/Rapporteur&gt;</w:t>
      </w:r>
    </w:p>
    <w:p>
      <w:r>
        <w:rPr>
          <w:rStyle w:val="HideTWBExt"/>
        </w:rPr>
        <w:t>&lt;Titre&gt;</w:t>
      </w:r>
      <w:r>
        <w:t>Discharge 2022: EU general budget - European Parliament</w:t>
      </w:r>
      <w:r>
        <w:rPr>
          <w:rStyle w:val="HideTWBExt"/>
        </w:rPr>
        <w:t>&lt;/Titre&gt;</w:t>
      </w:r>
    </w:p>
    <w:p>
      <w:pPr>
        <w:pStyle w:val="Normal12a"/>
      </w:pPr>
      <w:r>
        <w:rPr>
          <w:rStyle w:val="HideTWBExt"/>
        </w:rPr>
        <w:t>&lt;DocRef&gt;</w:t>
      </w:r>
      <w:r>
        <w:t>2023/2130(DEC)</w:t>
      </w:r>
      <w:r>
        <w:rPr>
          <w:rStyle w:val="HideTWBExt"/>
        </w:rPr>
        <w:t>&lt;/DocRef&gt;</w:t>
      </w:r>
    </w:p>
    <w:p>
      <w:pPr>
        <w:pStyle w:val="NormalBold"/>
      </w:pPr>
      <w:r>
        <w:rPr>
          <w:rStyle w:val="HideTWBExt"/>
        </w:rPr>
        <w:t>&lt;DocAmend&gt;</w:t>
      </w:r>
      <w:r>
        <w:t>Motion for a resolution</w:t>
      </w:r>
      <w:r>
        <w:rPr>
          <w:rStyle w:val="HideTWBExt"/>
        </w:rPr>
        <w:t>&lt;/DocAmend&gt;</w:t>
      </w:r>
    </w:p>
    <w:p>
      <w:pPr>
        <w:pStyle w:val="NormalBold"/>
      </w:pPr>
      <w:r>
        <w:rPr>
          <w:rStyle w:val="HideTWBExt"/>
        </w:rPr>
        <w:t>&lt;Article&gt;</w:t>
      </w:r>
      <w:r>
        <w:t>Paragraph 20</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Motion for a resolution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t>20.</w:t>
            </w:r>
            <w:r>
              <w:tab/>
            </w:r>
            <w:r>
              <w:t xml:space="preserve">Notes that the 2022 follow-up process resulted in the closure of 38 of the 92 open actions and for which the agreed due dates for implementation had expired; </w:t>
            </w:r>
            <w:r>
              <w:rPr>
                <w:b/>
                <w:i/>
              </w:rPr>
              <w:t>is concerned by</w:t>
            </w:r>
            <w:r>
              <w:t xml:space="preserve"> the fact that </w:t>
            </w:r>
            <w:r>
              <w:rPr>
                <w:b/>
                <w:i/>
              </w:rPr>
              <w:t>as of 31 December 2022, 29 open</w:t>
            </w:r>
            <w:r>
              <w:t xml:space="preserve"> actions were </w:t>
            </w:r>
            <w:r>
              <w:rPr>
                <w:b/>
                <w:i/>
              </w:rPr>
              <w:t>overdue for more than 12 months</w:t>
            </w:r>
            <w:r>
              <w:t>; expects the different directorates-general to ensure that the remaining actions are closed without any further delay and that the agreed actions are implemented in accordance with the due dates set in the internal auditor’s annual report;</w:t>
            </w:r>
          </w:p>
        </w:tc>
        <w:tc>
          <w:tcPr>
            <w:tcW w:w="4876" w:type="dxa"/>
          </w:tcPr>
          <w:p>
            <w:pPr>
              <w:pStyle w:val="Normal6a"/>
            </w:pPr>
            <w:r>
              <w:t>20.</w:t>
            </w:r>
            <w:r>
              <w:tab/>
            </w:r>
            <w:r>
              <w:t xml:space="preserve">Notes that the 2022 follow-up process resulted in the closure of 38 of the 92 open actions and for which the agreed due dates for implementation had expired; </w:t>
            </w:r>
            <w:r>
              <w:rPr>
                <w:b/>
                <w:i/>
              </w:rPr>
              <w:t>stresses</w:t>
            </w:r>
            <w:r>
              <w:t xml:space="preserve"> the fact that </w:t>
            </w:r>
            <w:r>
              <w:rPr>
                <w:b/>
                <w:i/>
              </w:rPr>
              <w:t>some of the 54 remaining</w:t>
            </w:r>
            <w:r>
              <w:t xml:space="preserve"> actions were </w:t>
            </w:r>
            <w:r>
              <w:rPr>
                <w:b/>
                <w:i/>
              </w:rPr>
              <w:t>recommended several years ago but remain unimplemented</w:t>
            </w:r>
            <w:r>
              <w:t xml:space="preserve">; expects the different directorates-general to ensure that the remaining actions are closed without any further delay and that the agreed actions are implemented in accordance with the due dates set in the internal auditor’s annual report; </w:t>
            </w:r>
            <w:r>
              <w:rPr>
                <w:b/>
                <w:i/>
              </w:rPr>
              <w:t>calls on the Secretary-General to report to the discharge authority twice per year on the status of the remaining actions;</w:t>
            </w:r>
          </w:p>
        </w:tc>
      </w:tr>
    </w:tbl>
    <w:p>
      <w:pPr>
        <w:pStyle w:val="AmOrLang"/>
      </w:pPr>
      <w:r>
        <w:t xml:space="preserve">Or. </w:t>
      </w:r>
      <w:r>
        <w:rPr>
          <w:rStyle w:val="HideTWBExt"/>
        </w:rPr>
        <w:t>&lt;Original&gt;</w:t>
      </w:r>
      <w:r>
        <w:rPr>
          <w:rStyle w:val="HideTWBInt"/>
        </w:rPr>
        <w:t>{EN}</w:t>
      </w:r>
      <w:r>
        <w:t>en</w:t>
      </w:r>
      <w:r>
        <w:rPr>
          <w:rStyle w:val="HideTWBExt"/>
        </w:rPr>
        <w:t>&lt;/Original&gt;</w:t>
      </w:r>
    </w:p>
    <w:p>
      <w:pPr>
        <w:sectPr>
          <w:footerReference w:type="default" r:id="rId4"/>
          <w:pgSz w:w="11909" w:h="16834"/>
          <w:pgMar w:top="1134" w:right="1417" w:bottom="1417" w:left="1417" w:header="1134" w:footer="567"/>
          <w:cols w:space="720"/>
          <w:titlePg w:val="0"/>
        </w:sectPr>
      </w:pPr>
      <w:r>
        <w:rPr>
          <w:rStyle w:val="HideTWBExt"/>
        </w:rPr>
        <w:t>&lt;/Amend&gt;</w:t>
      </w:r>
    </w:p>
    <w:p/>
    <w:p>
      <w:pPr>
        <w:pStyle w:val="AmDateTab"/>
      </w:pPr>
      <w:r>
        <w:rPr>
          <w:rStyle w:val="HideTWBExt"/>
        </w:rPr>
        <w:t>&lt;Amend&gt;</w:t>
      </w:r>
      <w:r>
        <w:rPr>
          <w:rStyle w:val="HideTWBExt"/>
        </w:rPr>
        <w:t>&lt;Date&gt;</w:t>
      </w:r>
      <w:r>
        <w:rPr>
          <w:rStyle w:val="HideTWBInt"/>
        </w:rPr>
        <w:t>{04/04/2024}</w:t>
      </w:r>
      <w:r>
        <w:t>4.4.2024</w:t>
      </w:r>
      <w:r>
        <w:rPr>
          <w:rStyle w:val="HideTWBExt"/>
        </w:rPr>
        <w:t>&lt;/Date&gt;</w:t>
      </w:r>
      <w:r>
        <w:tab/>
      </w:r>
      <w:r>
        <w:rPr>
          <w:rStyle w:val="HideTWBExt"/>
        </w:rPr>
        <w:t>&lt;ANo&gt;</w:t>
      </w:r>
      <w:r>
        <w:t>A9-0067</w:t>
      </w:r>
      <w:r>
        <w:rPr>
          <w:rStyle w:val="HideTWBExt"/>
        </w:rPr>
        <w:t>&lt;/ANo&gt;</w:t>
      </w:r>
      <w:r>
        <w:t>/</w:t>
      </w:r>
      <w:r>
        <w:rPr>
          <w:rStyle w:val="HideTWBExt"/>
        </w:rPr>
        <w:t>&lt;NumAm&gt;</w:t>
      </w:r>
      <w:r>
        <w:t>51</w:t>
      </w:r>
      <w:r>
        <w:rPr>
          <w:rStyle w:val="HideTWBExt"/>
        </w:rPr>
        <w:t>&lt;/NumAm&gt;</w:t>
      </w:r>
    </w:p>
    <w:p>
      <w:pPr>
        <w:pStyle w:val="AmNumberTabs"/>
      </w:pPr>
      <w:r>
        <w:t>Amendment</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&lt;By&gt;</w:t>
      </w:r>
      <w:r>
        <w:rPr>
          <w:rStyle w:val="HideTWBExt"/>
          <w:b w:val="0"/>
        </w:rPr>
        <w:t>&lt;Members&gt;</w:t>
      </w:r>
      <w:r>
        <w:t>Daniel Freund, Patrick Breyer</w:t>
      </w:r>
      <w:r>
        <w:rPr>
          <w:rStyle w:val="HideTWBExt"/>
          <w:b w:val="0"/>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b w:val="0"/>
        </w:rPr>
        <w:t>&lt;/By&gt;</w:t>
      </w:r>
      <w:r>
        <w:rPr>
          <w:rStyle w:val="HideTWBExt"/>
          <w:b w:val="0"/>
        </w:rPr>
        <w:t>&lt;/RepeatBlock-By&gt;</w:t>
      </w:r>
    </w:p>
    <w:p>
      <w:pPr>
        <w:pStyle w:val="AmDocTypeTab"/>
      </w:pPr>
      <w:r>
        <w:rPr>
          <w:rStyle w:val="HideTWBExt"/>
        </w:rPr>
        <w:t>&lt;TitreType&gt;</w:t>
      </w:r>
      <w:r>
        <w:t>Report</w:t>
      </w:r>
      <w:r>
        <w:rPr>
          <w:rStyle w:val="HideTWBExt"/>
        </w:rPr>
        <w:t>&lt;/TitreType&gt;</w:t>
      </w:r>
      <w:r>
        <w:tab/>
      </w:r>
      <w:r>
        <w:t>A9-0067/2024</w:t>
      </w:r>
    </w:p>
    <w:p>
      <w:pPr>
        <w:pStyle w:val="NormalBold"/>
      </w:pPr>
      <w:r>
        <w:rPr>
          <w:rStyle w:val="HideTWBExt"/>
        </w:rPr>
        <w:t>&lt;Rapporteur&gt;</w:t>
      </w:r>
      <w:r>
        <w:t>Andrey Novakov</w:t>
      </w:r>
      <w:r>
        <w:rPr>
          <w:rStyle w:val="HideTWBExt"/>
        </w:rPr>
        <w:t>&lt;/Rapporteur&gt;</w:t>
      </w:r>
    </w:p>
    <w:p>
      <w:r>
        <w:rPr>
          <w:rStyle w:val="HideTWBExt"/>
        </w:rPr>
        <w:t>&lt;Titre&gt;</w:t>
      </w:r>
      <w:r>
        <w:t>Discharge 2022: EU general budget - European Parliament</w:t>
      </w:r>
      <w:r>
        <w:rPr>
          <w:rStyle w:val="HideTWBExt"/>
        </w:rPr>
        <w:t>&lt;/Titre&gt;</w:t>
      </w:r>
    </w:p>
    <w:p>
      <w:pPr>
        <w:pStyle w:val="Normal12a"/>
      </w:pPr>
      <w:r>
        <w:rPr>
          <w:rStyle w:val="HideTWBExt"/>
        </w:rPr>
        <w:t>&lt;DocRef&gt;</w:t>
      </w:r>
      <w:r>
        <w:t>2023/2130(DEC)</w:t>
      </w:r>
      <w:r>
        <w:rPr>
          <w:rStyle w:val="HideTWBExt"/>
        </w:rPr>
        <w:t>&lt;/DocRef&gt;</w:t>
      </w:r>
    </w:p>
    <w:p>
      <w:pPr>
        <w:pStyle w:val="NormalBold"/>
      </w:pPr>
      <w:r>
        <w:rPr>
          <w:rStyle w:val="HideTWBExt"/>
        </w:rPr>
        <w:t>&lt;DocAmend&gt;</w:t>
      </w:r>
      <w:r>
        <w:t>Motion for a resolution</w:t>
      </w:r>
      <w:r>
        <w:rPr>
          <w:rStyle w:val="HideTWBExt"/>
        </w:rPr>
        <w:t>&lt;/DocAmend&gt;</w:t>
      </w:r>
    </w:p>
    <w:p>
      <w:pPr>
        <w:pStyle w:val="NormalBold"/>
      </w:pPr>
      <w:r>
        <w:rPr>
          <w:rStyle w:val="HideTWBExt"/>
        </w:rPr>
        <w:t>&lt;Article&gt;</w:t>
      </w:r>
      <w:r>
        <w:t>Paragraph 21</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Motion for a resolution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t>21.</w:t>
            </w:r>
            <w:r>
              <w:tab/>
            </w:r>
            <w:r>
              <w:t xml:space="preserve">Acknowledges that, in accordance with Article 118(9) of the Financial Regulation, the reports and findings of the internal auditor, as well as the report of the Union institution concerned, shall be accessible to the public as soon as the internal auditor has validated the action taken for their implementation; </w:t>
            </w:r>
            <w:r>
              <w:rPr>
                <w:b/>
                <w:i/>
              </w:rPr>
              <w:t>notes</w:t>
            </w:r>
            <w:r>
              <w:t xml:space="preserve"> that, in practice, the reports and findings are only published once all recommendations have been implemented; recalls that Members may only have access to confidential documents under the Bureau's rules on a need-to-know basis</w:t>
            </w:r>
            <w:r>
              <w:rPr>
                <w:b/>
                <w:i/>
              </w:rPr>
              <w:t>,</w:t>
            </w:r>
            <w:r>
              <w:t xml:space="preserve"> ; recalls that all Members of the Committee on Budgetary Control have the right to request confidential access to the internal audit report with regard to the discharge procedure; welcomes the fact that the internal auditor reports to the Committee on Budgetary Control on the annual audit activities carried out;</w:t>
            </w:r>
          </w:p>
        </w:tc>
        <w:tc>
          <w:tcPr>
            <w:tcW w:w="4876" w:type="dxa"/>
          </w:tcPr>
          <w:p>
            <w:pPr>
              <w:pStyle w:val="Normal6a"/>
            </w:pPr>
            <w:r>
              <w:t>21.</w:t>
            </w:r>
            <w:r>
              <w:tab/>
            </w:r>
            <w:r>
              <w:t xml:space="preserve">Acknowledges that, in accordance with Article 118(9) of the Financial Regulation, the reports and findings of the internal auditor, as well as the report of the Union institution concerned, shall be accessible to the public as soon as the internal auditor has validated the action taken for their implementation; </w:t>
            </w:r>
            <w:r>
              <w:rPr>
                <w:b/>
                <w:i/>
              </w:rPr>
              <w:t>regrets</w:t>
            </w:r>
            <w:r>
              <w:t xml:space="preserve"> that, in practice, the reports and findings are only published once all recommendations have been implemented </w:t>
            </w:r>
            <w:r>
              <w:rPr>
                <w:b/>
                <w:i/>
              </w:rPr>
              <w:t>which results in a de facto delay of publication for several years</w:t>
            </w:r>
            <w:r>
              <w:t xml:space="preserve">; recalls that Members may only have access to confidential documents under the Bureau's rules on a need-to-know basis; recalls that all Members of the Committee on Budgetary Control have the right to request confidential access to the internal audit report with regard to the discharge procedure; </w:t>
            </w:r>
            <w:r>
              <w:rPr>
                <w:b/>
                <w:i/>
              </w:rPr>
              <w:t>calls on the Bureau to make each internal audit report available to the public one year after the internal auditor has validated the actions taken on the implementations of recommendations;</w:t>
            </w:r>
            <w:r>
              <w:t xml:space="preserve"> welcomes the fact that the internal auditor reports to the Committee on Budgetary Control on the annual audit activities carried out;</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{04/04/2024}</w:t>
      </w:r>
      <w:r>
        <w:t>4.4.2024</w:t>
      </w:r>
      <w:r>
        <w:rPr>
          <w:rStyle w:val="HideTWBExt"/>
        </w:rPr>
        <w:t>&lt;/Date&gt;</w:t>
      </w:r>
      <w:r>
        <w:tab/>
      </w:r>
      <w:r>
        <w:rPr>
          <w:rStyle w:val="HideTWBExt"/>
        </w:rPr>
        <w:t>&lt;ANo&gt;</w:t>
      </w:r>
      <w:r>
        <w:t>A9-0067</w:t>
      </w:r>
      <w:r>
        <w:rPr>
          <w:rStyle w:val="HideTWBExt"/>
        </w:rPr>
        <w:t>&lt;/ANo&gt;</w:t>
      </w:r>
      <w:r>
        <w:t>/</w:t>
      </w:r>
      <w:r>
        <w:rPr>
          <w:rStyle w:val="HideTWBExt"/>
        </w:rPr>
        <w:t>&lt;NumAm&gt;</w:t>
      </w:r>
      <w:r>
        <w:t>52</w:t>
      </w:r>
      <w:r>
        <w:rPr>
          <w:rStyle w:val="HideTWBExt"/>
        </w:rPr>
        <w:t>&lt;/NumAm&gt;</w:t>
      </w:r>
    </w:p>
    <w:p>
      <w:pPr>
        <w:pStyle w:val="AmNumberTabs"/>
      </w:pPr>
      <w:r>
        <w:t>Amendment</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&lt;By&gt;</w:t>
      </w:r>
      <w:r>
        <w:rPr>
          <w:rStyle w:val="HideTWBExt"/>
          <w:b w:val="0"/>
        </w:rPr>
        <w:t>&lt;Members&gt;</w:t>
      </w:r>
      <w:r>
        <w:t>Daniel Freund, Patrick Breyer</w:t>
      </w:r>
      <w:r>
        <w:rPr>
          <w:rStyle w:val="HideTWBExt"/>
          <w:b w:val="0"/>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b w:val="0"/>
        </w:rPr>
        <w:t>&lt;/By&gt;</w:t>
      </w:r>
      <w:r>
        <w:rPr>
          <w:rStyle w:val="HideTWBExt"/>
          <w:b w:val="0"/>
        </w:rPr>
        <w:t>&lt;/RepeatBlock-By&gt;</w:t>
      </w:r>
    </w:p>
    <w:p>
      <w:pPr>
        <w:pStyle w:val="AmDocTypeTab"/>
      </w:pPr>
      <w:r>
        <w:rPr>
          <w:rStyle w:val="HideTWBExt"/>
        </w:rPr>
        <w:t>&lt;TitreType&gt;</w:t>
      </w:r>
      <w:r>
        <w:t>Report</w:t>
      </w:r>
      <w:r>
        <w:rPr>
          <w:rStyle w:val="HideTWBExt"/>
        </w:rPr>
        <w:t>&lt;/TitreType&gt;</w:t>
      </w:r>
      <w:r>
        <w:tab/>
      </w:r>
      <w:r>
        <w:t>A9-0067/2024</w:t>
      </w:r>
    </w:p>
    <w:p>
      <w:pPr>
        <w:pStyle w:val="NormalBold"/>
      </w:pPr>
      <w:r>
        <w:rPr>
          <w:rStyle w:val="HideTWBExt"/>
        </w:rPr>
        <w:t>&lt;Rapporteur&gt;</w:t>
      </w:r>
      <w:r>
        <w:t>Andrey Novakov</w:t>
      </w:r>
      <w:r>
        <w:rPr>
          <w:rStyle w:val="HideTWBExt"/>
        </w:rPr>
        <w:t>&lt;/Rapporteur&gt;</w:t>
      </w:r>
    </w:p>
    <w:p>
      <w:r>
        <w:rPr>
          <w:rStyle w:val="HideTWBExt"/>
        </w:rPr>
        <w:t>&lt;Titre&gt;</w:t>
      </w:r>
      <w:r>
        <w:t>Discharge 2022: EU general budget - European Parliament</w:t>
      </w:r>
      <w:r>
        <w:rPr>
          <w:rStyle w:val="HideTWBExt"/>
        </w:rPr>
        <w:t>&lt;/Titre&gt;</w:t>
      </w:r>
    </w:p>
    <w:p>
      <w:pPr>
        <w:pStyle w:val="Normal12a"/>
      </w:pPr>
      <w:r>
        <w:rPr>
          <w:rStyle w:val="HideTWBExt"/>
        </w:rPr>
        <w:t>&lt;DocRef&gt;</w:t>
      </w:r>
      <w:r>
        <w:t>2023/2130(DEC)</w:t>
      </w:r>
      <w:r>
        <w:rPr>
          <w:rStyle w:val="HideTWBExt"/>
        </w:rPr>
        <w:t>&lt;/DocRef&gt;</w:t>
      </w:r>
    </w:p>
    <w:p>
      <w:pPr>
        <w:pStyle w:val="NormalBold"/>
      </w:pPr>
      <w:r>
        <w:rPr>
          <w:rStyle w:val="HideTWBExt"/>
        </w:rPr>
        <w:t>&lt;DocAmend&gt;</w:t>
      </w:r>
      <w:r>
        <w:t>Motion for a resolution</w:t>
      </w:r>
      <w:r>
        <w:rPr>
          <w:rStyle w:val="HideTWBExt"/>
        </w:rPr>
        <w:t>&lt;/DocAmend&gt;</w:t>
      </w:r>
    </w:p>
    <w:p>
      <w:pPr>
        <w:pStyle w:val="NormalBold"/>
      </w:pPr>
      <w:r>
        <w:rPr>
          <w:rStyle w:val="HideTWBExt"/>
        </w:rPr>
        <w:t>&lt;Article&gt;</w:t>
      </w:r>
      <w:r>
        <w:t>Paragraph 26 a (new)</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Motion for a resolution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26 a.</w:t>
            </w:r>
            <w:r>
              <w:tab/>
            </w:r>
            <w:r>
              <w:rPr>
                <w:b/>
                <w:i/>
              </w:rPr>
              <w:t>Notes the procedural changes to Parliament’s discharge; welcomes the introduction of additional hearings with Directors General; is concerned about a potential narrowing down of authorised written questions; notes the changes in the structure of the discharge report; is concerned that the new structure might mitigate certain horizontal issues and a follow-up to the implementation of certain decisions that in practice take longer than one year;</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{04/04/2024}</w:t>
      </w:r>
      <w:r>
        <w:t>4.4.2024</w:t>
      </w:r>
      <w:r>
        <w:rPr>
          <w:rStyle w:val="HideTWBExt"/>
        </w:rPr>
        <w:t>&lt;/Date&gt;</w:t>
      </w:r>
      <w:r>
        <w:tab/>
      </w:r>
      <w:r>
        <w:rPr>
          <w:rStyle w:val="HideTWBExt"/>
        </w:rPr>
        <w:t>&lt;ANo&gt;</w:t>
      </w:r>
      <w:r>
        <w:t>A9-0067</w:t>
      </w:r>
      <w:r>
        <w:rPr>
          <w:rStyle w:val="HideTWBExt"/>
        </w:rPr>
        <w:t>&lt;/ANo&gt;</w:t>
      </w:r>
      <w:r>
        <w:t>/</w:t>
      </w:r>
      <w:r>
        <w:rPr>
          <w:rStyle w:val="HideTWBExt"/>
        </w:rPr>
        <w:t>&lt;NumAm&gt;</w:t>
      </w:r>
      <w:r>
        <w:t>53</w:t>
      </w:r>
      <w:r>
        <w:rPr>
          <w:rStyle w:val="HideTWBExt"/>
        </w:rPr>
        <w:t>&lt;/NumAm&gt;</w:t>
      </w:r>
    </w:p>
    <w:p>
      <w:pPr>
        <w:pStyle w:val="AmNumberTabs"/>
      </w:pPr>
      <w:r>
        <w:t>Amendment</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&lt;By&gt;</w:t>
      </w:r>
      <w:r>
        <w:rPr>
          <w:rStyle w:val="HideTWBExt"/>
          <w:b w:val="0"/>
        </w:rPr>
        <w:t>&lt;Members&gt;</w:t>
      </w:r>
      <w:r>
        <w:t>Daniel Freund, Patrick Breyer</w:t>
      </w:r>
      <w:r>
        <w:rPr>
          <w:rStyle w:val="HideTWBExt"/>
          <w:b w:val="0"/>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b w:val="0"/>
        </w:rPr>
        <w:t>&lt;/By&gt;</w:t>
      </w:r>
      <w:r>
        <w:rPr>
          <w:rStyle w:val="HideTWBExt"/>
          <w:b w:val="0"/>
        </w:rPr>
        <w:t>&lt;/RepeatBlock-By&gt;</w:t>
      </w:r>
    </w:p>
    <w:p>
      <w:pPr>
        <w:pStyle w:val="AmDocTypeTab"/>
      </w:pPr>
      <w:r>
        <w:rPr>
          <w:rStyle w:val="HideTWBExt"/>
        </w:rPr>
        <w:t>&lt;TitreType&gt;</w:t>
      </w:r>
      <w:r>
        <w:t>Report</w:t>
      </w:r>
      <w:r>
        <w:rPr>
          <w:rStyle w:val="HideTWBExt"/>
        </w:rPr>
        <w:t>&lt;/TitreType&gt;</w:t>
      </w:r>
      <w:r>
        <w:tab/>
      </w:r>
      <w:r>
        <w:t>A9-0067/2024</w:t>
      </w:r>
    </w:p>
    <w:p>
      <w:pPr>
        <w:pStyle w:val="NormalBold"/>
      </w:pPr>
      <w:r>
        <w:rPr>
          <w:rStyle w:val="HideTWBExt"/>
        </w:rPr>
        <w:t>&lt;Rapporteur&gt;</w:t>
      </w:r>
      <w:r>
        <w:t>Andrey Novakov</w:t>
      </w:r>
      <w:r>
        <w:rPr>
          <w:rStyle w:val="HideTWBExt"/>
        </w:rPr>
        <w:t>&lt;/Rapporteur&gt;</w:t>
      </w:r>
    </w:p>
    <w:p>
      <w:r>
        <w:rPr>
          <w:rStyle w:val="HideTWBExt"/>
        </w:rPr>
        <w:t>&lt;Titre&gt;</w:t>
      </w:r>
      <w:r>
        <w:t>Discharge 2022: EU general budget - European Parliament</w:t>
      </w:r>
      <w:r>
        <w:rPr>
          <w:rStyle w:val="HideTWBExt"/>
        </w:rPr>
        <w:t>&lt;/Titre&gt;</w:t>
      </w:r>
    </w:p>
    <w:p>
      <w:pPr>
        <w:pStyle w:val="Normal12a"/>
      </w:pPr>
      <w:r>
        <w:rPr>
          <w:rStyle w:val="HideTWBExt"/>
        </w:rPr>
        <w:t>&lt;DocRef&gt;</w:t>
      </w:r>
      <w:r>
        <w:t>2023/2130(DEC)</w:t>
      </w:r>
      <w:r>
        <w:rPr>
          <w:rStyle w:val="HideTWBExt"/>
        </w:rPr>
        <w:t>&lt;/DocRef&gt;</w:t>
      </w:r>
    </w:p>
    <w:p>
      <w:pPr>
        <w:pStyle w:val="NormalBold"/>
      </w:pPr>
      <w:r>
        <w:rPr>
          <w:rStyle w:val="HideTWBExt"/>
        </w:rPr>
        <w:t>&lt;DocAmend&gt;</w:t>
      </w:r>
      <w:r>
        <w:t>Motion for a resolution</w:t>
      </w:r>
      <w:r>
        <w:rPr>
          <w:rStyle w:val="HideTWBExt"/>
        </w:rPr>
        <w:t>&lt;/DocAmend&gt;</w:t>
      </w:r>
    </w:p>
    <w:p>
      <w:pPr>
        <w:pStyle w:val="NormalBold"/>
      </w:pPr>
      <w:r>
        <w:rPr>
          <w:rStyle w:val="HideTWBExt"/>
        </w:rPr>
        <w:t>&lt;Article&gt;</w:t>
      </w:r>
      <w:r>
        <w:t>Paragraph 36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Motion for a resolution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t>36.</w:t>
            </w:r>
            <w:r>
              <w:tab/>
            </w:r>
            <w:r>
              <w:t xml:space="preserve">Calls on the Commission to ensure that all Union funds are effectively traceable from the direct recipient to the final beneficiary when funds are passed on in a chain as reflected in the proposal for a recast of the Financial Regulation </w:t>
            </w:r>
            <w:r>
              <w:rPr>
                <w:b/>
                <w:i/>
              </w:rPr>
              <w:t>and as requested in the own-initiative report “Transparency and accountability of non-governmental organisations funded from the EU Budget” adopted on the 17th of January 2024</w:t>
            </w:r>
            <w:r>
              <w:rPr>
                <w:b/>
                <w:i/>
                <w:vertAlign w:val="superscript"/>
              </w:rPr>
              <w:t>3</w:t>
            </w:r>
            <w:r>
              <w:t xml:space="preserve"> ; calls for a revision of the guidelines for registration in the transparency register to disclose all incoming and outgoing funds, including the transfer of funds from one entity stakeholder to another; underlines that all registrants or entities receiving money from third parties, whose registration in the transparency register is not required, need to disclose the source of their funding;</w:t>
            </w:r>
          </w:p>
        </w:tc>
        <w:tc>
          <w:tcPr>
            <w:tcW w:w="4876" w:type="dxa"/>
          </w:tcPr>
          <w:p>
            <w:pPr>
              <w:pStyle w:val="Normal6a"/>
            </w:pPr>
            <w:r>
              <w:t>36.</w:t>
            </w:r>
            <w:r>
              <w:tab/>
            </w:r>
            <w:r>
              <w:t>Calls on the Commission to ensure that all Union funds are effectively traceable from the direct recipient to the final beneficiary when funds are passed on in a chain as reflected in the proposal for a recast of the Financial Regulation; calls for a revision of the guidelines for registration in the transparency register to disclose all incoming and outgoing funds, including the transfer of funds from one entity stakeholder to another; underlines that all registrants or entities receiving money from third parties, whose registration in the transparency register is not required, need to disclose the source of their funding;</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_________________</w:t>
            </w:r>
          </w:p>
        </w:tc>
        <w:tc>
          <w:tcPr>
            <w:tcW w:w="4876" w:type="dxa"/>
          </w:tcPr>
          <w:p/>
        </w:tc>
      </w:tr>
      <w:tr>
        <w:tblPrEx>
          <w:tblW w:w="0" w:type="auto"/>
          <w:jc w:val="center"/>
          <w:tblLayout w:type="fixed"/>
          <w:tblCellMar>
            <w:left w:w="340" w:type="dxa"/>
            <w:right w:w="340" w:type="dxa"/>
          </w:tblCellMar>
        </w:tblPrEx>
        <w:trPr>
          <w:jc w:val="center"/>
        </w:trPr>
        <w:tc>
          <w:tcPr>
            <w:tcW w:w="4876" w:type="dxa"/>
          </w:tcPr>
          <w:p>
            <w:pPr>
              <w:pStyle w:val="Normal6a"/>
            </w:pPr>
            <w:r>
              <w:rPr>
                <w:b/>
                <w:i/>
                <w:vertAlign w:val="superscript"/>
              </w:rPr>
              <w:t>3</w:t>
            </w:r>
            <w:r>
              <w:t xml:space="preserve"> </w:t>
            </w:r>
            <w:r>
              <w:rPr>
                <w:b/>
                <w:i/>
              </w:rPr>
              <w:t>P9_TA(2024)0036.</w:t>
            </w:r>
          </w:p>
        </w:tc>
        <w:tc>
          <w:tcPr>
            <w:tcW w:w="4876" w:type="dxa"/>
          </w:tcP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{04/04/2024}</w:t>
      </w:r>
      <w:r>
        <w:t>4.4.2024</w:t>
      </w:r>
      <w:r>
        <w:rPr>
          <w:rStyle w:val="HideTWBExt"/>
        </w:rPr>
        <w:t>&lt;/Date&gt;</w:t>
      </w:r>
      <w:r>
        <w:tab/>
      </w:r>
      <w:r>
        <w:rPr>
          <w:rStyle w:val="HideTWBExt"/>
        </w:rPr>
        <w:t>&lt;ANo&gt;</w:t>
      </w:r>
      <w:r>
        <w:t>A9-0067</w:t>
      </w:r>
      <w:r>
        <w:rPr>
          <w:rStyle w:val="HideTWBExt"/>
        </w:rPr>
        <w:t>&lt;/ANo&gt;</w:t>
      </w:r>
      <w:r>
        <w:t>/</w:t>
      </w:r>
      <w:r>
        <w:rPr>
          <w:rStyle w:val="HideTWBExt"/>
        </w:rPr>
        <w:t>&lt;NumAm&gt;</w:t>
      </w:r>
      <w:r>
        <w:t>54</w:t>
      </w:r>
      <w:r>
        <w:rPr>
          <w:rStyle w:val="HideTWBExt"/>
        </w:rPr>
        <w:t>&lt;/NumAm&gt;</w:t>
      </w:r>
    </w:p>
    <w:p>
      <w:pPr>
        <w:pStyle w:val="AmNumberTabs"/>
      </w:pPr>
      <w:r>
        <w:t>Amendment</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&lt;By&gt;</w:t>
      </w:r>
      <w:r>
        <w:rPr>
          <w:rStyle w:val="HideTWBExt"/>
          <w:b w:val="0"/>
        </w:rPr>
        <w:t>&lt;Members&gt;</w:t>
      </w:r>
      <w:r>
        <w:t>Daniel Freund, Patrick Breyer, Marcel Kolaja</w:t>
      </w:r>
      <w:r>
        <w:rPr>
          <w:rStyle w:val="HideTWBExt"/>
          <w:b w:val="0"/>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b w:val="0"/>
        </w:rPr>
        <w:t>&lt;/By&gt;</w:t>
      </w:r>
      <w:r>
        <w:rPr>
          <w:rStyle w:val="HideTWBExt"/>
          <w:b w:val="0"/>
        </w:rPr>
        <w:t>&lt;/RepeatBlock-By&gt;</w:t>
      </w:r>
    </w:p>
    <w:p>
      <w:pPr>
        <w:pStyle w:val="AmDocTypeTab"/>
      </w:pPr>
      <w:r>
        <w:rPr>
          <w:rStyle w:val="HideTWBExt"/>
        </w:rPr>
        <w:t>&lt;TitreType&gt;</w:t>
      </w:r>
      <w:r>
        <w:t>Report</w:t>
      </w:r>
      <w:r>
        <w:rPr>
          <w:rStyle w:val="HideTWBExt"/>
        </w:rPr>
        <w:t>&lt;/TitreType&gt;</w:t>
      </w:r>
      <w:r>
        <w:tab/>
      </w:r>
      <w:r>
        <w:t>A9-0067/2024</w:t>
      </w:r>
    </w:p>
    <w:p>
      <w:pPr>
        <w:pStyle w:val="NormalBold"/>
      </w:pPr>
      <w:r>
        <w:rPr>
          <w:rStyle w:val="HideTWBExt"/>
        </w:rPr>
        <w:t>&lt;Rapporteur&gt;</w:t>
      </w:r>
      <w:r>
        <w:t>Andrey Novakov</w:t>
      </w:r>
      <w:r>
        <w:rPr>
          <w:rStyle w:val="HideTWBExt"/>
        </w:rPr>
        <w:t>&lt;/Rapporteur&gt;</w:t>
      </w:r>
    </w:p>
    <w:p>
      <w:r>
        <w:rPr>
          <w:rStyle w:val="HideTWBExt"/>
        </w:rPr>
        <w:t>&lt;Titre&gt;</w:t>
      </w:r>
      <w:r>
        <w:t>Discharge 2022: EU general budget - European Parliament</w:t>
      </w:r>
      <w:r>
        <w:rPr>
          <w:rStyle w:val="HideTWBExt"/>
        </w:rPr>
        <w:t>&lt;/Titre&gt;</w:t>
      </w:r>
    </w:p>
    <w:p>
      <w:pPr>
        <w:pStyle w:val="Normal12a"/>
      </w:pPr>
      <w:r>
        <w:rPr>
          <w:rStyle w:val="HideTWBExt"/>
        </w:rPr>
        <w:t>&lt;DocRef&gt;</w:t>
      </w:r>
      <w:r>
        <w:t>2023/2130(DEC)</w:t>
      </w:r>
      <w:r>
        <w:rPr>
          <w:rStyle w:val="HideTWBExt"/>
        </w:rPr>
        <w:t>&lt;/DocRef&gt;</w:t>
      </w:r>
    </w:p>
    <w:p>
      <w:pPr>
        <w:pStyle w:val="NormalBold"/>
      </w:pPr>
      <w:r>
        <w:rPr>
          <w:rStyle w:val="HideTWBExt"/>
        </w:rPr>
        <w:t>&lt;DocAmend&gt;</w:t>
      </w:r>
      <w:r>
        <w:t>Motion for a resolution</w:t>
      </w:r>
      <w:r>
        <w:rPr>
          <w:rStyle w:val="HideTWBExt"/>
        </w:rPr>
        <w:t>&lt;/DocAmend&gt;</w:t>
      </w:r>
    </w:p>
    <w:p>
      <w:pPr>
        <w:pStyle w:val="NormalBold"/>
      </w:pPr>
      <w:r>
        <w:rPr>
          <w:rStyle w:val="HideTWBExt"/>
        </w:rPr>
        <w:t>&lt;Article&gt;</w:t>
      </w:r>
      <w:r>
        <w:t>Paragraph 64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Motion for a resolution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t>64.</w:t>
            </w:r>
            <w:r>
              <w:tab/>
            </w:r>
            <w:r>
              <w:t>Acknowledges that the work of APAs is an integral part of the work of Members and that they play an important role in the legislative procedures of the Union; notes that following the adoption of the APA statute in 2009, the recognition of their has increased gradually over the years; notes the efforts made by Parliament to create a framework for providing support to APAs; calls for due adherence to the rules in place; calls on Parliament’s administration to explore the feasibility of introducing a notice period within APA's contracts in the event of the unexpected departure of an MEP, whether voluntary or involuntary.</w:t>
            </w:r>
          </w:p>
        </w:tc>
        <w:tc>
          <w:tcPr>
            <w:tcW w:w="4876" w:type="dxa"/>
          </w:tcPr>
          <w:p>
            <w:pPr>
              <w:pStyle w:val="Normal6a"/>
            </w:pPr>
            <w:r>
              <w:t>64.</w:t>
            </w:r>
            <w:r>
              <w:tab/>
            </w:r>
            <w:r>
              <w:t xml:space="preserve">Acknowledges that the work of APAs is an integral part of the work of Members and that they play an important role in the legislative procedures of the Union; notes that following the adoption of the APA statute in 2009, the recognition of their </w:t>
            </w:r>
            <w:r>
              <w:rPr>
                <w:b/>
                <w:i/>
              </w:rPr>
              <w:t>work</w:t>
            </w:r>
            <w:r>
              <w:t xml:space="preserve"> has increased gradually over the years; notes the efforts made by Parliament to create a framework for providing support to </w:t>
            </w:r>
            <w:r>
              <w:rPr>
                <w:b/>
                <w:i/>
              </w:rPr>
              <w:t>APAs; calls on the Bureau of the European Parliament and the administration of the Parliament to regularly and formally consult the APA Committee on revisions and reforms that directly impact the rights of</w:t>
            </w:r>
            <w:r>
              <w:t xml:space="preserve"> APAs; calls for due adherence to the rules in place; calls on Parliament’s administration to explore the feasibility of introducing a notice period within APA's contracts in the event of the unexpected departure of an MEP, whether voluntary or involuntary.</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{04/04/2024}</w:t>
      </w:r>
      <w:r>
        <w:t>4.4.2024</w:t>
      </w:r>
      <w:r>
        <w:rPr>
          <w:rStyle w:val="HideTWBExt"/>
        </w:rPr>
        <w:t>&lt;/Date&gt;</w:t>
      </w:r>
      <w:r>
        <w:tab/>
      </w:r>
      <w:r>
        <w:rPr>
          <w:rStyle w:val="HideTWBExt"/>
        </w:rPr>
        <w:t>&lt;ANo&gt;</w:t>
      </w:r>
      <w:r>
        <w:t>A9-0067</w:t>
      </w:r>
      <w:r>
        <w:rPr>
          <w:rStyle w:val="HideTWBExt"/>
        </w:rPr>
        <w:t>&lt;/ANo&gt;</w:t>
      </w:r>
      <w:r>
        <w:t>/</w:t>
      </w:r>
      <w:r>
        <w:rPr>
          <w:rStyle w:val="HideTWBExt"/>
        </w:rPr>
        <w:t>&lt;NumAm&gt;</w:t>
      </w:r>
      <w:r>
        <w:t>55</w:t>
      </w:r>
      <w:r>
        <w:rPr>
          <w:rStyle w:val="HideTWBExt"/>
        </w:rPr>
        <w:t>&lt;/NumAm&gt;</w:t>
      </w:r>
    </w:p>
    <w:p>
      <w:pPr>
        <w:pStyle w:val="AmNumberTabs"/>
      </w:pPr>
      <w:r>
        <w:t>Amendment</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&lt;By&gt;</w:t>
      </w:r>
      <w:r>
        <w:rPr>
          <w:rStyle w:val="HideTWBExt"/>
          <w:b w:val="0"/>
        </w:rPr>
        <w:t>&lt;Members&gt;</w:t>
      </w:r>
      <w:r>
        <w:t>Daniel Freund, Patrick Breyer</w:t>
      </w:r>
      <w:r>
        <w:rPr>
          <w:rStyle w:val="HideTWBExt"/>
          <w:b w:val="0"/>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b w:val="0"/>
        </w:rPr>
        <w:t>&lt;/By&gt;</w:t>
      </w:r>
      <w:r>
        <w:rPr>
          <w:rStyle w:val="HideTWBExt"/>
          <w:b w:val="0"/>
        </w:rPr>
        <w:t>&lt;/RepeatBlock-By&gt;</w:t>
      </w:r>
    </w:p>
    <w:p>
      <w:pPr>
        <w:pStyle w:val="AmDocTypeTab"/>
      </w:pPr>
      <w:r>
        <w:rPr>
          <w:rStyle w:val="HideTWBExt"/>
        </w:rPr>
        <w:t>&lt;TitreType&gt;</w:t>
      </w:r>
      <w:r>
        <w:t>Report</w:t>
      </w:r>
      <w:r>
        <w:rPr>
          <w:rStyle w:val="HideTWBExt"/>
        </w:rPr>
        <w:t>&lt;/TitreType&gt;</w:t>
      </w:r>
      <w:r>
        <w:tab/>
      </w:r>
      <w:r>
        <w:t>A9-0067/2024</w:t>
      </w:r>
    </w:p>
    <w:p>
      <w:pPr>
        <w:pStyle w:val="NormalBold"/>
      </w:pPr>
      <w:r>
        <w:rPr>
          <w:rStyle w:val="HideTWBExt"/>
        </w:rPr>
        <w:t>&lt;Rapporteur&gt;</w:t>
      </w:r>
      <w:r>
        <w:t>Andrey Novakov</w:t>
      </w:r>
      <w:r>
        <w:rPr>
          <w:rStyle w:val="HideTWBExt"/>
        </w:rPr>
        <w:t>&lt;/Rapporteur&gt;</w:t>
      </w:r>
    </w:p>
    <w:p>
      <w:r>
        <w:rPr>
          <w:rStyle w:val="HideTWBExt"/>
        </w:rPr>
        <w:t>&lt;Titre&gt;</w:t>
      </w:r>
      <w:r>
        <w:t>Discharge 2022: EU general budget - European Parliament</w:t>
      </w:r>
      <w:r>
        <w:rPr>
          <w:rStyle w:val="HideTWBExt"/>
        </w:rPr>
        <w:t>&lt;/Titre&gt;</w:t>
      </w:r>
    </w:p>
    <w:p>
      <w:pPr>
        <w:pStyle w:val="Normal12a"/>
      </w:pPr>
      <w:r>
        <w:rPr>
          <w:rStyle w:val="HideTWBExt"/>
        </w:rPr>
        <w:t>&lt;DocRef&gt;</w:t>
      </w:r>
      <w:r>
        <w:t>2023/2130(DEC)</w:t>
      </w:r>
      <w:r>
        <w:rPr>
          <w:rStyle w:val="HideTWBExt"/>
        </w:rPr>
        <w:t>&lt;/DocRef&gt;</w:t>
      </w:r>
    </w:p>
    <w:p>
      <w:pPr>
        <w:pStyle w:val="NormalBold"/>
      </w:pPr>
      <w:r>
        <w:rPr>
          <w:rStyle w:val="HideTWBExt"/>
        </w:rPr>
        <w:t>&lt;DocAmend&gt;</w:t>
      </w:r>
      <w:r>
        <w:t>Motion for a resolution</w:t>
      </w:r>
      <w:r>
        <w:rPr>
          <w:rStyle w:val="HideTWBExt"/>
        </w:rPr>
        <w:t>&lt;/DocAmend&gt;</w:t>
      </w:r>
    </w:p>
    <w:p>
      <w:pPr>
        <w:pStyle w:val="NormalBold"/>
      </w:pPr>
      <w:r>
        <w:rPr>
          <w:rStyle w:val="HideTWBExt"/>
        </w:rPr>
        <w:t>&lt;Article&gt;</w:t>
      </w:r>
      <w:r>
        <w:t>Paragraph 86 a (new)</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Motion for a resolution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86 a.</w:t>
            </w:r>
            <w:r>
              <w:tab/>
            </w:r>
            <w:r>
              <w:rPr>
                <w:b/>
                <w:i/>
              </w:rPr>
              <w:t>Points out that a large share of the seats available in the vehicle fleet commuting between Brussels and Strasbourg for plenary sessions seats remained unoccupied in 2022. Reiterates its call on Parliament’s administration to widen the user group and allow Parliament’s staff to travel to and from Strasbourg with the service fleet without the presence of a Member, while making sure that Members’ seats are secured;</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{04/04/2024}</w:t>
      </w:r>
      <w:r>
        <w:t>4.4.2024</w:t>
      </w:r>
      <w:r>
        <w:rPr>
          <w:rStyle w:val="HideTWBExt"/>
        </w:rPr>
        <w:t>&lt;/Date&gt;</w:t>
      </w:r>
      <w:r>
        <w:tab/>
      </w:r>
      <w:r>
        <w:rPr>
          <w:rStyle w:val="HideTWBExt"/>
        </w:rPr>
        <w:t>&lt;ANo&gt;</w:t>
      </w:r>
      <w:r>
        <w:t>A9-0067</w:t>
      </w:r>
      <w:r>
        <w:rPr>
          <w:rStyle w:val="HideTWBExt"/>
        </w:rPr>
        <w:t>&lt;/ANo&gt;</w:t>
      </w:r>
      <w:r>
        <w:t>/</w:t>
      </w:r>
      <w:r>
        <w:rPr>
          <w:rStyle w:val="HideTWBExt"/>
        </w:rPr>
        <w:t>&lt;NumAm&gt;</w:t>
      </w:r>
      <w:r>
        <w:t>56</w:t>
      </w:r>
      <w:r>
        <w:rPr>
          <w:rStyle w:val="HideTWBExt"/>
        </w:rPr>
        <w:t>&lt;/NumAm&gt;</w:t>
      </w:r>
    </w:p>
    <w:p>
      <w:pPr>
        <w:pStyle w:val="AmNumberTabs"/>
      </w:pPr>
      <w:r>
        <w:t>Amendment</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&lt;By&gt;</w:t>
      </w:r>
      <w:r>
        <w:rPr>
          <w:rStyle w:val="HideTWBExt"/>
          <w:b w:val="0"/>
        </w:rPr>
        <w:t>&lt;Members&gt;</w:t>
      </w:r>
      <w:r>
        <w:t>Daniel Freund, Patrick Breyer</w:t>
      </w:r>
      <w:r>
        <w:rPr>
          <w:rStyle w:val="HideTWBExt"/>
          <w:b w:val="0"/>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b w:val="0"/>
        </w:rPr>
        <w:t>&lt;/By&gt;</w:t>
      </w:r>
      <w:r>
        <w:rPr>
          <w:rStyle w:val="HideTWBExt"/>
          <w:b w:val="0"/>
        </w:rPr>
        <w:t>&lt;/RepeatBlock-By&gt;</w:t>
      </w:r>
    </w:p>
    <w:p>
      <w:pPr>
        <w:pStyle w:val="AmDocTypeTab"/>
      </w:pPr>
      <w:r>
        <w:rPr>
          <w:rStyle w:val="HideTWBExt"/>
        </w:rPr>
        <w:t>&lt;TitreType&gt;</w:t>
      </w:r>
      <w:r>
        <w:t>Report</w:t>
      </w:r>
      <w:r>
        <w:rPr>
          <w:rStyle w:val="HideTWBExt"/>
        </w:rPr>
        <w:t>&lt;/TitreType&gt;</w:t>
      </w:r>
      <w:r>
        <w:tab/>
      </w:r>
      <w:r>
        <w:t>A9-0067/2024</w:t>
      </w:r>
    </w:p>
    <w:p>
      <w:pPr>
        <w:pStyle w:val="NormalBold"/>
      </w:pPr>
      <w:r>
        <w:rPr>
          <w:rStyle w:val="HideTWBExt"/>
        </w:rPr>
        <w:t>&lt;Rapporteur&gt;</w:t>
      </w:r>
      <w:r>
        <w:t>Andrey Novakov</w:t>
      </w:r>
      <w:r>
        <w:rPr>
          <w:rStyle w:val="HideTWBExt"/>
        </w:rPr>
        <w:t>&lt;/Rapporteur&gt;</w:t>
      </w:r>
    </w:p>
    <w:p>
      <w:r>
        <w:rPr>
          <w:rStyle w:val="HideTWBExt"/>
        </w:rPr>
        <w:t>&lt;Titre&gt;</w:t>
      </w:r>
      <w:r>
        <w:t>Discharge 2022: EU general budget - European Parliament</w:t>
      </w:r>
      <w:r>
        <w:rPr>
          <w:rStyle w:val="HideTWBExt"/>
        </w:rPr>
        <w:t>&lt;/Titre&gt;</w:t>
      </w:r>
    </w:p>
    <w:p>
      <w:pPr>
        <w:pStyle w:val="Normal12a"/>
      </w:pPr>
      <w:r>
        <w:rPr>
          <w:rStyle w:val="HideTWBExt"/>
        </w:rPr>
        <w:t>&lt;DocRef&gt;</w:t>
      </w:r>
      <w:r>
        <w:t>2023/2130(DEC)</w:t>
      </w:r>
      <w:r>
        <w:rPr>
          <w:rStyle w:val="HideTWBExt"/>
        </w:rPr>
        <w:t>&lt;/DocRef&gt;</w:t>
      </w:r>
    </w:p>
    <w:p>
      <w:pPr>
        <w:pStyle w:val="NormalBold"/>
      </w:pPr>
      <w:r>
        <w:rPr>
          <w:rStyle w:val="HideTWBExt"/>
        </w:rPr>
        <w:t>&lt;DocAmend&gt;</w:t>
      </w:r>
      <w:r>
        <w:t>Motion for a resolution</w:t>
      </w:r>
      <w:r>
        <w:rPr>
          <w:rStyle w:val="HideTWBExt"/>
        </w:rPr>
        <w:t>&lt;/DocAmend&gt;</w:t>
      </w:r>
    </w:p>
    <w:p>
      <w:pPr>
        <w:pStyle w:val="NormalBold"/>
      </w:pPr>
      <w:r>
        <w:rPr>
          <w:rStyle w:val="HideTWBExt"/>
        </w:rPr>
        <w:t>&lt;Article&gt;</w:t>
      </w:r>
      <w:r>
        <w:t>Paragraph 93 a (new)</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Motion for a resolution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93 a.</w:t>
            </w:r>
            <w:r>
              <w:tab/>
            </w:r>
            <w:r>
              <w:rPr>
                <w:b/>
                <w:i/>
              </w:rPr>
              <w:t>Reiterates its concern regarding the poor energy performance of the TREVES II building, of which the energy performance certificate indicates an annual primary energy consumption equivalent to class E, and notes that the last renovation of the building dates back to 2000; calls on the Bureau to approve the necessary renovations to improve the energy performance of the building in line with applicable energy efficiency regulations before the building is put to the use by Parliament in 2025;</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{04/04/2024}</w:t>
      </w:r>
      <w:r>
        <w:t>4.4.2024</w:t>
      </w:r>
      <w:r>
        <w:rPr>
          <w:rStyle w:val="HideTWBExt"/>
        </w:rPr>
        <w:t>&lt;/Date&gt;</w:t>
      </w:r>
      <w:r>
        <w:tab/>
      </w:r>
      <w:r>
        <w:rPr>
          <w:rStyle w:val="HideTWBExt"/>
        </w:rPr>
        <w:t>&lt;ANo&gt;</w:t>
      </w:r>
      <w:r>
        <w:t>A9-0067</w:t>
      </w:r>
      <w:r>
        <w:rPr>
          <w:rStyle w:val="HideTWBExt"/>
        </w:rPr>
        <w:t>&lt;/ANo&gt;</w:t>
      </w:r>
      <w:r>
        <w:t>/</w:t>
      </w:r>
      <w:r>
        <w:rPr>
          <w:rStyle w:val="HideTWBExt"/>
        </w:rPr>
        <w:t>&lt;NumAm&gt;</w:t>
      </w:r>
      <w:r>
        <w:t>57</w:t>
      </w:r>
      <w:r>
        <w:rPr>
          <w:rStyle w:val="HideTWBExt"/>
        </w:rPr>
        <w:t>&lt;/NumAm&gt;</w:t>
      </w:r>
    </w:p>
    <w:p>
      <w:pPr>
        <w:pStyle w:val="AmNumberTabs"/>
      </w:pPr>
      <w:r>
        <w:t>Amendment</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&lt;By&gt;</w:t>
      </w:r>
      <w:r>
        <w:rPr>
          <w:rStyle w:val="HideTWBExt"/>
          <w:b w:val="0"/>
        </w:rPr>
        <w:t>&lt;Members&gt;</w:t>
      </w:r>
      <w:r>
        <w:t>Daniel Freund, Patrick Breyer</w:t>
      </w:r>
      <w:r>
        <w:rPr>
          <w:rStyle w:val="HideTWBExt"/>
          <w:b w:val="0"/>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b w:val="0"/>
        </w:rPr>
        <w:t>&lt;/By&gt;</w:t>
      </w:r>
      <w:r>
        <w:rPr>
          <w:rStyle w:val="HideTWBExt"/>
          <w:b w:val="0"/>
        </w:rPr>
        <w:t>&lt;/RepeatBlock-By&gt;</w:t>
      </w:r>
    </w:p>
    <w:p>
      <w:pPr>
        <w:pStyle w:val="AmDocTypeTab"/>
      </w:pPr>
      <w:r>
        <w:rPr>
          <w:rStyle w:val="HideTWBExt"/>
        </w:rPr>
        <w:t>&lt;TitreType&gt;</w:t>
      </w:r>
      <w:r>
        <w:t>Report</w:t>
      </w:r>
      <w:r>
        <w:rPr>
          <w:rStyle w:val="HideTWBExt"/>
        </w:rPr>
        <w:t>&lt;/TitreType&gt;</w:t>
      </w:r>
      <w:r>
        <w:tab/>
      </w:r>
      <w:r>
        <w:t>A9-0067/2024</w:t>
      </w:r>
    </w:p>
    <w:p>
      <w:pPr>
        <w:pStyle w:val="NormalBold"/>
      </w:pPr>
      <w:r>
        <w:rPr>
          <w:rStyle w:val="HideTWBExt"/>
        </w:rPr>
        <w:t>&lt;Rapporteur&gt;</w:t>
      </w:r>
      <w:r>
        <w:t>Andrey Novakov</w:t>
      </w:r>
      <w:r>
        <w:rPr>
          <w:rStyle w:val="HideTWBExt"/>
        </w:rPr>
        <w:t>&lt;/Rapporteur&gt;</w:t>
      </w:r>
    </w:p>
    <w:p>
      <w:r>
        <w:rPr>
          <w:rStyle w:val="HideTWBExt"/>
        </w:rPr>
        <w:t>&lt;Titre&gt;</w:t>
      </w:r>
      <w:r>
        <w:t>Discharge 2022: EU general budget - European Parliament</w:t>
      </w:r>
      <w:r>
        <w:rPr>
          <w:rStyle w:val="HideTWBExt"/>
        </w:rPr>
        <w:t>&lt;/Titre&gt;</w:t>
      </w:r>
    </w:p>
    <w:p>
      <w:pPr>
        <w:pStyle w:val="Normal12a"/>
      </w:pPr>
      <w:r>
        <w:rPr>
          <w:rStyle w:val="HideTWBExt"/>
        </w:rPr>
        <w:t>&lt;DocRef&gt;</w:t>
      </w:r>
      <w:r>
        <w:t>2023/2130(DEC)</w:t>
      </w:r>
      <w:r>
        <w:rPr>
          <w:rStyle w:val="HideTWBExt"/>
        </w:rPr>
        <w:t>&lt;/DocRef&gt;</w:t>
      </w:r>
    </w:p>
    <w:p>
      <w:pPr>
        <w:pStyle w:val="NormalBold"/>
      </w:pPr>
      <w:r>
        <w:rPr>
          <w:rStyle w:val="HideTWBExt"/>
        </w:rPr>
        <w:t>&lt;DocAmend&gt;</w:t>
      </w:r>
      <w:r>
        <w:t>Motion for a resolution</w:t>
      </w:r>
      <w:r>
        <w:rPr>
          <w:rStyle w:val="HideTWBExt"/>
        </w:rPr>
        <w:t>&lt;/DocAmend&gt;</w:t>
      </w:r>
    </w:p>
    <w:p>
      <w:pPr>
        <w:pStyle w:val="NormalBold"/>
      </w:pPr>
      <w:r>
        <w:rPr>
          <w:rStyle w:val="HideTWBExt"/>
        </w:rPr>
        <w:t>&lt;Article&gt;</w:t>
      </w:r>
      <w:r>
        <w:t>Paragraph 124</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Motion for a resolution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t>124.</w:t>
            </w:r>
            <w:r>
              <w:tab/>
            </w:r>
            <w:r>
              <w:t>Notes the announcement at the Bureau meeting of 7 March 2022 regarding the setting up of an ad-hoc Bureau Working Group on the General Expenditure Allowance (GEA), which is tasked with evaluating the implementation of the Bureau decision of 2 July 2018 establishing a list of expenses which may be defrayed from the GEA on the basis of the experience gained during the 9th parliamentary term; observes that the Bureau, at its meeting of 17 October 2022, adopted a set of amendments to the Implementing Measures for the Statute for Members (IMMS)</w:t>
            </w:r>
            <w:r>
              <w:rPr>
                <w:b/>
                <w:i/>
              </w:rPr>
              <w:t>, clarifying the rules applicable to the entitlement and use of the GEA and measures aimed at increasing transparency and providing more legal certainty regarding the entitlement to the allowance</w:t>
            </w:r>
            <w:r>
              <w:t xml:space="preserve">; </w:t>
            </w:r>
            <w:r>
              <w:rPr>
                <w:b/>
                <w:i/>
              </w:rPr>
              <w:t>highlights that the ad-hoc Working Group was asked to take duly into account aspects of transparency, accountability and sound financial management of funds made available to Members, bearing in mind the principle of freedom and independence of the parliamentary mandate and the objective of not creating unnecessary administrative burdens for Members, their offices and Parliament’s services;</w:t>
            </w:r>
          </w:p>
        </w:tc>
        <w:tc>
          <w:tcPr>
            <w:tcW w:w="4876" w:type="dxa"/>
          </w:tcPr>
          <w:p>
            <w:pPr>
              <w:pStyle w:val="Normal6a"/>
            </w:pPr>
            <w:r>
              <w:t>124.</w:t>
            </w:r>
            <w:r>
              <w:tab/>
            </w:r>
            <w:r>
              <w:t>Notes the announcement at the Bureau meeting of 7 March 2022 regarding the setting up of an ad-hoc Bureau Working Group on the General Expenditure Allowance (GEA), which is tasked with evaluating the implementation of the Bureau decision of 2 July 2018 establishing a list of expenses which may be defrayed from the GEA on the basis of the experience gained during the 9th parliamentary term; observes that the Bureau, at its meeting of 17 October 2022, adopted a set of amendments to the Implementing Measures for the Statute for Members (IMMS);</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{04/04/2024}</w:t>
      </w:r>
      <w:r>
        <w:t>4.4.2024</w:t>
      </w:r>
      <w:r>
        <w:rPr>
          <w:rStyle w:val="HideTWBExt"/>
        </w:rPr>
        <w:t>&lt;/Date&gt;</w:t>
      </w:r>
      <w:r>
        <w:tab/>
      </w:r>
      <w:r>
        <w:rPr>
          <w:rStyle w:val="HideTWBExt"/>
        </w:rPr>
        <w:t>&lt;ANo&gt;</w:t>
      </w:r>
      <w:r>
        <w:t>A9-0067</w:t>
      </w:r>
      <w:r>
        <w:rPr>
          <w:rStyle w:val="HideTWBExt"/>
        </w:rPr>
        <w:t>&lt;/ANo&gt;</w:t>
      </w:r>
      <w:r>
        <w:t>/</w:t>
      </w:r>
      <w:r>
        <w:rPr>
          <w:rStyle w:val="HideTWBExt"/>
        </w:rPr>
        <w:t>&lt;NumAm&gt;</w:t>
      </w:r>
      <w:r>
        <w:t>58</w:t>
      </w:r>
      <w:r>
        <w:rPr>
          <w:rStyle w:val="HideTWBExt"/>
        </w:rPr>
        <w:t>&lt;/NumAm&gt;</w:t>
      </w:r>
    </w:p>
    <w:p>
      <w:pPr>
        <w:pStyle w:val="AmNumberTabs"/>
      </w:pPr>
      <w:r>
        <w:t>Amendment</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&lt;By&gt;</w:t>
      </w:r>
      <w:r>
        <w:rPr>
          <w:rStyle w:val="HideTWBExt"/>
          <w:b w:val="0"/>
        </w:rPr>
        <w:t>&lt;Members&gt;</w:t>
      </w:r>
      <w:r>
        <w:t>Daniel Freund, Patrick Breyer</w:t>
      </w:r>
      <w:r>
        <w:rPr>
          <w:rStyle w:val="HideTWBExt"/>
          <w:b w:val="0"/>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b w:val="0"/>
        </w:rPr>
        <w:t>&lt;Members&gt;</w:t>
      </w:r>
      <w:r>
        <w:t>Ramona Strugariu</w:t>
      </w:r>
      <w:r>
        <w:rPr>
          <w:rStyle w:val="HideTWBExt"/>
          <w:b w:val="0"/>
        </w:rPr>
        <w:t>&lt;/Members&gt;</w:t>
      </w:r>
    </w:p>
    <w:p>
      <w:pPr>
        <w:pStyle w:val="NormalBold"/>
      </w:pPr>
      <w:r>
        <w:rPr>
          <w:rStyle w:val="HideTWBExt"/>
          <w:b w:val="0"/>
        </w:rPr>
        <w:t>&lt;/By&gt;</w:t>
      </w:r>
      <w:r>
        <w:rPr>
          <w:rStyle w:val="HideTWBExt"/>
          <w:b w:val="0"/>
        </w:rPr>
        <w:t>&lt;/RepeatBlock-By&gt;</w:t>
      </w:r>
    </w:p>
    <w:p>
      <w:pPr>
        <w:pStyle w:val="AmDocTypeTab"/>
      </w:pPr>
      <w:r>
        <w:rPr>
          <w:rStyle w:val="HideTWBExt"/>
        </w:rPr>
        <w:t>&lt;TitreType&gt;</w:t>
      </w:r>
      <w:r>
        <w:t>Report</w:t>
      </w:r>
      <w:r>
        <w:rPr>
          <w:rStyle w:val="HideTWBExt"/>
        </w:rPr>
        <w:t>&lt;/TitreType&gt;</w:t>
      </w:r>
      <w:r>
        <w:tab/>
      </w:r>
      <w:r>
        <w:t>A9-0067/2024</w:t>
      </w:r>
    </w:p>
    <w:p>
      <w:pPr>
        <w:pStyle w:val="NormalBold"/>
      </w:pPr>
      <w:r>
        <w:rPr>
          <w:rStyle w:val="HideTWBExt"/>
        </w:rPr>
        <w:t>&lt;Rapporteur&gt;</w:t>
      </w:r>
      <w:r>
        <w:t>Andrey Novakov</w:t>
      </w:r>
      <w:r>
        <w:rPr>
          <w:rStyle w:val="HideTWBExt"/>
        </w:rPr>
        <w:t>&lt;/Rapporteur&gt;</w:t>
      </w:r>
    </w:p>
    <w:p>
      <w:r>
        <w:rPr>
          <w:rStyle w:val="HideTWBExt"/>
        </w:rPr>
        <w:t>&lt;Titre&gt;</w:t>
      </w:r>
      <w:r>
        <w:t>Discharge 2022: EU general budget - European Parliament</w:t>
      </w:r>
      <w:r>
        <w:rPr>
          <w:rStyle w:val="HideTWBExt"/>
        </w:rPr>
        <w:t>&lt;/Titre&gt;</w:t>
      </w:r>
    </w:p>
    <w:p>
      <w:pPr>
        <w:pStyle w:val="Normal12a"/>
      </w:pPr>
      <w:r>
        <w:rPr>
          <w:rStyle w:val="HideTWBExt"/>
        </w:rPr>
        <w:t>&lt;DocRef&gt;</w:t>
      </w:r>
      <w:r>
        <w:t>2023/2130(DEC)</w:t>
      </w:r>
      <w:r>
        <w:rPr>
          <w:rStyle w:val="HideTWBExt"/>
        </w:rPr>
        <w:t>&lt;/DocRef&gt;</w:t>
      </w:r>
    </w:p>
    <w:p>
      <w:pPr>
        <w:pStyle w:val="NormalBold"/>
      </w:pPr>
      <w:r>
        <w:rPr>
          <w:rStyle w:val="HideTWBExt"/>
        </w:rPr>
        <w:t>&lt;DocAmend&gt;</w:t>
      </w:r>
      <w:r>
        <w:t>Motion for a resolution</w:t>
      </w:r>
      <w:r>
        <w:rPr>
          <w:rStyle w:val="HideTWBExt"/>
        </w:rPr>
        <w:t>&lt;/DocAmend&gt;</w:t>
      </w:r>
    </w:p>
    <w:p>
      <w:pPr>
        <w:pStyle w:val="NormalBold"/>
      </w:pPr>
      <w:r>
        <w:rPr>
          <w:rStyle w:val="HideTWBExt"/>
        </w:rPr>
        <w:t>&lt;Article&gt;</w:t>
      </w:r>
      <w:r>
        <w:t>Paragraph 126</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Motion for a resolution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t>126.</w:t>
            </w:r>
            <w:r>
              <w:tab/>
            </w:r>
            <w:r>
              <w:rPr>
                <w:b/>
                <w:i/>
              </w:rPr>
              <w:t>Highlights</w:t>
            </w:r>
            <w:r>
              <w:t xml:space="preserve"> that Members are free to document their use of the funds under the GEA, in detail or by type of cost</w:t>
            </w:r>
            <w:r>
              <w:rPr>
                <w:b/>
                <w:i/>
              </w:rPr>
              <w:t>, on their own or with the support of an external auditor, and</w:t>
            </w:r>
            <w:r>
              <w:t xml:space="preserve"> to have this information published in whole or in part on their online page on Parliament’s website in accordance with Rule 11, paragraph 2, of the Rules of Procedure of the European Parliament; welcomes that a simplified list of types of costs is integrated into the IMMS and that an amendment clarifying the possibility for Members to use the GEA in the case of exhaustion of other allowances has also been adopted;</w:t>
            </w:r>
          </w:p>
        </w:tc>
        <w:tc>
          <w:tcPr>
            <w:tcW w:w="4876" w:type="dxa"/>
          </w:tcPr>
          <w:p>
            <w:pPr>
              <w:pStyle w:val="Normal6a"/>
            </w:pPr>
            <w:r>
              <w:t>126.</w:t>
            </w:r>
            <w:r>
              <w:tab/>
            </w:r>
            <w:r>
              <w:rPr>
                <w:b/>
                <w:i/>
              </w:rPr>
              <w:t>Notes</w:t>
            </w:r>
            <w:r>
              <w:t xml:space="preserve"> that Members are free to document their use of the funds under the GEA, in detail or by type of cost</w:t>
            </w:r>
            <w:r>
              <w:rPr>
                <w:b/>
                <w:i/>
              </w:rPr>
              <w:t>; calls on Members</w:t>
            </w:r>
            <w:r>
              <w:t xml:space="preserve"> to have this information published in whole or in part on their online page on Parliament’s website in accordance with Rule 11, paragraph 2, of the Rules of Procedure of the European Parliament; welcomes that a simplified list of types of costs is integrated into the IMMS and that an amendment clarifying the possibility for Members to use the GEA in the case of exhaustion of other allowances has also been adopted;</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
      <w:pPr>
        <w:pStyle w:val="AmDateTab"/>
      </w:pPr>
      <w:r>
        <w:rPr>
          <w:rStyle w:val="HideTWBExt"/>
        </w:rPr>
        <w:t>&lt;Amend&gt;</w:t>
      </w:r>
      <w:r>
        <w:rPr>
          <w:rStyle w:val="HideTWBExt"/>
        </w:rPr>
        <w:t>&lt;Date&gt;</w:t>
      </w:r>
      <w:r>
        <w:rPr>
          <w:rStyle w:val="HideTWBInt"/>
        </w:rPr>
        <w:t>{04/04/2024}</w:t>
      </w:r>
      <w:r>
        <w:t>4.4.2024</w:t>
      </w:r>
      <w:r>
        <w:rPr>
          <w:rStyle w:val="HideTWBExt"/>
        </w:rPr>
        <w:t>&lt;/Date&gt;</w:t>
      </w:r>
      <w:r>
        <w:tab/>
      </w:r>
      <w:r>
        <w:rPr>
          <w:rStyle w:val="HideTWBExt"/>
        </w:rPr>
        <w:t>&lt;ANo&gt;</w:t>
      </w:r>
      <w:r>
        <w:t>A9-0067</w:t>
      </w:r>
      <w:r>
        <w:rPr>
          <w:rStyle w:val="HideTWBExt"/>
        </w:rPr>
        <w:t>&lt;/ANo&gt;</w:t>
      </w:r>
      <w:r>
        <w:t>/</w:t>
      </w:r>
      <w:r>
        <w:rPr>
          <w:rStyle w:val="HideTWBExt"/>
        </w:rPr>
        <w:t>&lt;NumAm&gt;</w:t>
      </w:r>
      <w:r>
        <w:t>59</w:t>
      </w:r>
      <w:r>
        <w:rPr>
          <w:rStyle w:val="HideTWBExt"/>
        </w:rPr>
        <w:t>&lt;/NumAm&gt;</w:t>
      </w:r>
    </w:p>
    <w:p>
      <w:pPr>
        <w:pStyle w:val="AmNumberTabs"/>
      </w:pPr>
      <w:r>
        <w:t>Amendment</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&lt;By&gt;</w:t>
      </w:r>
      <w:r>
        <w:rPr>
          <w:rStyle w:val="HideTWBExt"/>
          <w:b w:val="0"/>
        </w:rPr>
        <w:t>&lt;Members&gt;</w:t>
      </w:r>
      <w:r>
        <w:t>Daniel Freund, Patrick Breyer</w:t>
      </w:r>
      <w:r>
        <w:rPr>
          <w:rStyle w:val="HideTWBExt"/>
          <w:b w:val="0"/>
        </w:rPr>
        <w:t>&lt;/Members&gt;</w:t>
      </w:r>
    </w:p>
    <w:p>
      <w:r>
        <w:rPr>
          <w:rStyle w:val="HideTWBExt"/>
        </w:rPr>
        <w:t>&lt;AuNomDe&gt;</w:t>
      </w:r>
      <w:r>
        <w:rPr>
          <w:rStyle w:val="HideTWBInt"/>
        </w:rPr>
        <w:t>{Verts/ALE}</w:t>
      </w:r>
      <w:r>
        <w:t>on behalf of the Verts/ALE Group</w:t>
      </w:r>
      <w:r>
        <w:rPr>
          <w:rStyle w:val="HideTWBExt"/>
        </w:rPr>
        <w:t>&lt;/AuNomDe&gt;</w:t>
      </w:r>
    </w:p>
    <w:p>
      <w:pPr>
        <w:pStyle w:val="NormalBold"/>
      </w:pPr>
      <w:r>
        <w:rPr>
          <w:rStyle w:val="HideTWBExt"/>
          <w:b w:val="0"/>
        </w:rPr>
        <w:t>&lt;Members&gt;</w:t>
      </w:r>
      <w:r>
        <w:t>Ramona Strugariu</w:t>
      </w:r>
      <w:r>
        <w:rPr>
          <w:rStyle w:val="HideTWBExt"/>
          <w:b w:val="0"/>
        </w:rPr>
        <w:t>&lt;/Members&gt;</w:t>
      </w:r>
    </w:p>
    <w:p>
      <w:pPr>
        <w:pStyle w:val="NormalBold"/>
      </w:pPr>
      <w:r>
        <w:rPr>
          <w:rStyle w:val="HideTWBExt"/>
          <w:b w:val="0"/>
        </w:rPr>
        <w:t>&lt;/By&gt;</w:t>
      </w:r>
      <w:r>
        <w:rPr>
          <w:rStyle w:val="HideTWBExt"/>
          <w:b w:val="0"/>
        </w:rPr>
        <w:t>&lt;/RepeatBlock-By&gt;</w:t>
      </w:r>
    </w:p>
    <w:p>
      <w:pPr>
        <w:pStyle w:val="AmDocTypeTab"/>
      </w:pPr>
      <w:r>
        <w:rPr>
          <w:rStyle w:val="HideTWBExt"/>
        </w:rPr>
        <w:t>&lt;TitreType&gt;</w:t>
      </w:r>
      <w:r>
        <w:t>Report</w:t>
      </w:r>
      <w:r>
        <w:rPr>
          <w:rStyle w:val="HideTWBExt"/>
        </w:rPr>
        <w:t>&lt;/TitreType&gt;</w:t>
      </w:r>
      <w:r>
        <w:tab/>
      </w:r>
      <w:r>
        <w:t>A9-0067/2024</w:t>
      </w:r>
    </w:p>
    <w:p>
      <w:pPr>
        <w:pStyle w:val="NormalBold"/>
      </w:pPr>
      <w:r>
        <w:rPr>
          <w:rStyle w:val="HideTWBExt"/>
        </w:rPr>
        <w:t>&lt;Rapporteur&gt;</w:t>
      </w:r>
      <w:r>
        <w:t>Andrey Novakov</w:t>
      </w:r>
      <w:r>
        <w:rPr>
          <w:rStyle w:val="HideTWBExt"/>
        </w:rPr>
        <w:t>&lt;/Rapporteur&gt;</w:t>
      </w:r>
    </w:p>
    <w:p>
      <w:r>
        <w:rPr>
          <w:rStyle w:val="HideTWBExt"/>
        </w:rPr>
        <w:t>&lt;Titre&gt;</w:t>
      </w:r>
      <w:r>
        <w:t>Discharge 2022: EU general budget - European Parliament</w:t>
      </w:r>
      <w:r>
        <w:rPr>
          <w:rStyle w:val="HideTWBExt"/>
        </w:rPr>
        <w:t>&lt;/Titre&gt;</w:t>
      </w:r>
    </w:p>
    <w:p>
      <w:pPr>
        <w:pStyle w:val="Normal12a"/>
      </w:pPr>
      <w:r>
        <w:rPr>
          <w:rStyle w:val="HideTWBExt"/>
        </w:rPr>
        <w:t>&lt;DocRef&gt;</w:t>
      </w:r>
      <w:r>
        <w:t>2023/2130(DEC)</w:t>
      </w:r>
      <w:r>
        <w:rPr>
          <w:rStyle w:val="HideTWBExt"/>
        </w:rPr>
        <w:t>&lt;/DocRef&gt;</w:t>
      </w:r>
    </w:p>
    <w:p>
      <w:pPr>
        <w:pStyle w:val="NormalBold"/>
      </w:pPr>
      <w:r>
        <w:rPr>
          <w:rStyle w:val="HideTWBExt"/>
        </w:rPr>
        <w:t>&lt;DocAmend&gt;</w:t>
      </w:r>
      <w:r>
        <w:t>Motion for a resolution</w:t>
      </w:r>
      <w:r>
        <w:rPr>
          <w:rStyle w:val="HideTWBExt"/>
        </w:rPr>
        <w:t>&lt;/DocAmend&gt;</w:t>
      </w:r>
    </w:p>
    <w:p>
      <w:pPr>
        <w:pStyle w:val="NormalBold"/>
      </w:pPr>
      <w:r>
        <w:rPr>
          <w:rStyle w:val="HideTWBExt"/>
        </w:rPr>
        <w:t>&lt;Article&gt;</w:t>
      </w:r>
      <w:r>
        <w:t>Paragraph 126 a (new)</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Motion for a resolution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126 a.</w:t>
            </w:r>
            <w:r>
              <w:tab/>
            </w:r>
            <w:r>
              <w:rPr>
                <w:b/>
                <w:i/>
              </w:rPr>
              <w:t>Repeats its call for a reform of the GEA that would oblige Members to keep all receipts pertaining to the GEA, annually publish an overview of expenditure by category as well as an independent auditor’s opinion on the Parliament’s website, return the unspent share of the GEA at the end of the mandate, which would establish annual 5% sample checks of Members’ GEA expenditure by Parliament’s services; calls for Members to be required to externally audit the GEA;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type w:val="nextPage"/>
      <w:pgSz w:w="11909" w:h="16834"/>
      <w:pgMar w:top="1134" w:right="1417" w:bottom="1417" w:left="1417" w:header="1134" w:footer="567"/>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AM\P9_AMA(2024)0067(050-059)EN.docx</w:t>
    </w:r>
    <w:r>
      <w:rPr>
        <w:rStyle w:val="HideTWBExt"/>
      </w:rPr>
      <w:t>&lt;/PathFdR&gt;</w:t>
    </w:r>
    <w:r>
      <w:tab/>
    </w:r>
    <w:r>
      <w:tab/>
    </w:r>
    <w:r>
      <w:t>PE</w:t>
    </w:r>
    <w:r>
      <w:rPr>
        <w:rStyle w:val="HideTWBExt"/>
      </w:rPr>
      <w:t>&lt;NoPE&gt;</w:t>
    </w:r>
    <w:r>
      <w:t>760.599</w:t>
    </w:r>
    <w:r>
      <w:rPr>
        <w:rStyle w:val="HideTWBExt"/>
      </w:rPr>
      <w:t>&lt;/NoPE&gt;</w:t>
    </w:r>
    <w:r>
      <w:rPr>
        <w:rStyle w:val="HideTWBExt"/>
      </w:rPr>
      <w:t>&lt;Version&gt;</w:t>
    </w:r>
    <w:r>
      <w:t>v01-00</w:t>
    </w:r>
    <w:r>
      <w:rPr>
        <w:rStyle w:val="HideTWBExt"/>
      </w:rPr>
      <w:t>&lt;/Version&gt;</w:t>
    </w:r>
  </w:p>
  <w:p>
    <w:pPr>
      <w:pStyle w:val="EPFooter2"/>
    </w:pPr>
    <w:r>
      <w:t>EN</w:t>
    </w:r>
    <w:r>
      <w:tab/>
    </w:r>
    <w:r>
      <w:rPr>
        <w:rStyle w:val="EPFooter2Motto"/>
      </w:rPr>
      <w:t>United in diversity</w:t>
    </w:r>
    <w:r>
      <w:tab/>
    </w:r>
    <w:r>
      <w:t>EN</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ideTWBExt">
    <w:name w:val="HideTWBExt"/>
    <w:rPr>
      <w:rFonts w:ascii="Arial" w:hAnsi="Arial"/>
      <w:vanish/>
      <w:color w:val="000080"/>
      <w:sz w:val="20"/>
    </w:rPr>
  </w:style>
  <w:style w:type="paragraph" w:customStyle="1" w:styleId="AmDocTypeTab">
    <w:name w:val="AmDocTypeTab"/>
    <w:basedOn w:val="Normal"/>
    <w:pPr>
      <w:widowControl w:val="0"/>
      <w:tabs>
        <w:tab w:val="right" w:pos="9070"/>
      </w:tabs>
    </w:pPr>
    <w:rPr>
      <w:b/>
    </w:rPr>
  </w:style>
  <w:style w:type="paragraph" w:customStyle="1" w:styleId="Normal12a">
    <w:name w:val="Normal12a"/>
    <w:basedOn w:val="Normal"/>
    <w:pPr>
      <w:widowControl w:val="0"/>
      <w:spacing w:after="240"/>
    </w:p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DateTab">
    <w:name w:val="AmDateTab"/>
    <w:basedOn w:val="Normal"/>
    <w:pPr>
      <w:widowControl w:val="0"/>
      <w:tabs>
        <w:tab w:val="right" w:pos="9070"/>
      </w:tabs>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FooterChar">
    <w:name w:val="Footer Char"/>
    <w:rPr>
      <w:sz w:val="24"/>
    </w:rPr>
  </w:style>
  <w:style w:type="character" w:customStyle="1" w:styleId="EPFooter2Motto">
    <w:name w:val="EPFooter2Motto"/>
    <w:rPr>
      <w:rFonts w:ascii="Arial" w:hAnsi="Arial"/>
      <w:b/>
      <w:i/>
      <w:color w:val="C0C0C0"/>
      <w:sz w:val="22"/>
    </w:rPr>
  </w:style>
  <w:style w:type="paragraph" w:customStyle="1" w:styleId="AmCrossRef">
    <w:name w:val="AmCrossRef"/>
    <w:basedOn w:val="Normal"/>
    <w:pPr>
      <w:widowControl w:val="0"/>
      <w:spacing w:before="240" w:after="240"/>
      <w:jc w:val="center"/>
    </w:pPr>
    <w:rPr>
      <w:i/>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2160</Words>
  <Characters>11511</Characters>
  <Application>Microsoft Office Word</Application>
  <DocSecurity>0</DocSecurity>
  <Lines>1</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EN</vt:lpwstr>
  </property>
  <property fmtid="{D5CDD505-2E9C-101B-9397-08002B2CF9AE}" pid="3" name="&lt;FdR&gt;">
    <vt:lpwstr>_</vt:lpwstr>
  </property>
  <property fmtid="{D5CDD505-2E9C-101B-9397-08002B2CF9AE}" pid="4" name="&lt;Model&gt;">
    <vt:lpwstr>AM_Ple_NonLegReport</vt:lpwstr>
  </property>
  <property fmtid="{D5CDD505-2E9C-101B-9397-08002B2CF9AE}" pid="5" name="&lt;Type&gt;">
    <vt:lpwstr>AM</vt:lpwstr>
  </property>
  <property fmtid="{D5CDD505-2E9C-101B-9397-08002B2CF9AE}" pid="6" name="dmxml.render.id">
    <vt:lpwstr>56782</vt:lpwstr>
  </property>
  <property fmtid="{D5CDD505-2E9C-101B-9397-08002B2CF9AE}" pid="7" name="dmxml.render.traceId">
    <vt:lpwstr>660ef3417bfc115589ba4dda2082d87b</vt:lpwstr>
  </property>
  <property fmtid="{D5CDD505-2E9C-101B-9397-08002B2CF9AE}" pid="8" name="FooterPath">
    <vt:lpwstr>AM\P9_AMA(2024)0067(050-059)EN.docx</vt:lpwstr>
  </property>
  <property fmtid="{D5CDD505-2E9C-101B-9397-08002B2CF9AE}" pid="9" name="PE Number">
    <vt:lpwstr>760.599</vt:lpwstr>
  </property>
  <property fmtid="{D5CDD505-2E9C-101B-9397-08002B2CF9AE}" pid="10" name="UID">
    <vt:lpwstr>eu.europa.europarl-DIN1-2024-0000018012_01.00-en-01.00_text-xml</vt:lpwstr>
  </property>
</Properties>
</file>