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7DA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A7DAE" w:rsidRDefault="00BA7DAE" w:rsidP="0010095E">
            <w:pPr>
              <w:pStyle w:val="EPName"/>
              <w:rPr>
                <w:lang w:val="pl-PL"/>
              </w:rPr>
            </w:pPr>
            <w:r>
              <w:rPr>
                <w:lang w:val="pl-PL"/>
              </w:rPr>
              <w:t>Parlament Europejski</w:t>
            </w:r>
          </w:p>
          <w:p w:rsidR="00751A4A" w:rsidRPr="00BA7DAE" w:rsidRDefault="00756632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pl-PL"/>
              </w:rPr>
            </w:pPr>
            <w:r w:rsidRPr="00BA7DAE">
              <w:rPr>
                <w:lang w:val="pl-PL"/>
              </w:rPr>
              <w:t>2014</w:t>
            </w:r>
            <w:r w:rsidR="00C941CB" w:rsidRPr="00BA7DAE">
              <w:rPr>
                <w:lang w:val="pl-PL"/>
              </w:rPr>
              <w:t>-2019</w:t>
            </w:r>
          </w:p>
        </w:tc>
        <w:tc>
          <w:tcPr>
            <w:tcW w:w="2268" w:type="dxa"/>
            <w:shd w:val="clear" w:color="auto" w:fill="auto"/>
          </w:tcPr>
          <w:p w:rsidR="00751A4A" w:rsidRPr="00BA7DAE" w:rsidRDefault="00134794" w:rsidP="0010095E">
            <w:pPr>
              <w:pStyle w:val="EPLogo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1pt">
                  <v:imagedata r:id="rId7" o:title="EP logo RGB_Mute"/>
                </v:shape>
              </w:pict>
            </w:r>
          </w:p>
        </w:tc>
      </w:tr>
    </w:tbl>
    <w:p w:rsidR="00D058B8" w:rsidRPr="00BA7DAE" w:rsidRDefault="00D058B8" w:rsidP="00D058B8">
      <w:pPr>
        <w:pStyle w:val="LineTop"/>
        <w:rPr>
          <w:lang w:val="pl-PL"/>
        </w:rPr>
      </w:pPr>
    </w:p>
    <w:p w:rsidR="00680577" w:rsidRPr="00BA7DAE" w:rsidRDefault="00BA7DAE" w:rsidP="00680577">
      <w:pPr>
        <w:pStyle w:val="ZSessionDoc"/>
        <w:rPr>
          <w:b/>
          <w:i w:val="0"/>
        </w:rPr>
      </w:pPr>
      <w:r>
        <w:rPr>
          <w:b/>
          <w:i w:val="0"/>
        </w:rPr>
        <w:t>TEKSTY PRZYJĘTE</w:t>
      </w:r>
    </w:p>
    <w:p w:rsidR="00D058B8" w:rsidRPr="00BA7DAE" w:rsidRDefault="00D058B8" w:rsidP="00D058B8">
      <w:pPr>
        <w:pStyle w:val="LineBottom"/>
      </w:pPr>
    </w:p>
    <w:p w:rsidR="00BA7DAE" w:rsidRPr="00FD4045" w:rsidRDefault="00134794" w:rsidP="00BA7DAE">
      <w:pPr>
        <w:pStyle w:val="ATHeading1"/>
        <w:rPr>
          <w:lang w:val="pl-PL"/>
        </w:rPr>
      </w:pPr>
      <w:bookmarkStart w:id="0" w:name="TANumber"/>
      <w:r>
        <w:rPr>
          <w:lang w:val="pl-PL"/>
        </w:rPr>
        <w:t>P8_TA</w:t>
      </w:r>
      <w:bookmarkStart w:id="1" w:name="_GoBack"/>
      <w:bookmarkEnd w:id="1"/>
      <w:r w:rsidR="00BA7DAE" w:rsidRPr="00FD4045">
        <w:rPr>
          <w:lang w:val="pl-PL"/>
        </w:rPr>
        <w:t>(2017)00</w:t>
      </w:r>
      <w:bookmarkEnd w:id="0"/>
      <w:r w:rsidR="002254E4">
        <w:rPr>
          <w:lang w:val="pl-PL"/>
        </w:rPr>
        <w:t>43</w:t>
      </w:r>
    </w:p>
    <w:p w:rsidR="00BA7DAE" w:rsidRPr="00FD4045" w:rsidRDefault="00BA7DAE" w:rsidP="00BA7DAE">
      <w:pPr>
        <w:pStyle w:val="ATHeading2"/>
        <w:rPr>
          <w:lang w:val="pl-PL"/>
        </w:rPr>
      </w:pPr>
      <w:bookmarkStart w:id="2" w:name="title"/>
      <w:r w:rsidRPr="00FD4045">
        <w:rPr>
          <w:lang w:val="pl-PL"/>
        </w:rPr>
        <w:t>Sytuacja w zakresie praw człowieka i demokracji w Nikaragui – sprawa Franciski Ramirez</w:t>
      </w:r>
      <w:bookmarkEnd w:id="2"/>
      <w:r w:rsidRPr="00FD4045">
        <w:rPr>
          <w:lang w:val="pl-PL"/>
        </w:rPr>
        <w:t xml:space="preserve"> </w:t>
      </w:r>
      <w:bookmarkStart w:id="3" w:name="Etoiles"/>
      <w:bookmarkEnd w:id="3"/>
    </w:p>
    <w:bookmarkStart w:id="4" w:name="Sujet"/>
    <w:p w:rsidR="00FD4045" w:rsidRDefault="00FD4045" w:rsidP="00FD4045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5" w:name="DocNumber"/>
      <w:r>
        <w:rPr>
          <w:i/>
        </w:rPr>
        <w:instrText>B8-0156, 0160, 0163 oraz 0168/2017</w:instrText>
      </w:r>
      <w:bookmarkEnd w:id="5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FD4045" w:rsidRDefault="00FD4045" w:rsidP="00FD4045">
      <w:pPr>
        <w:rPr>
          <w:vanish/>
        </w:rPr>
      </w:pPr>
      <w:bookmarkStart w:id="6" w:name="PE"/>
      <w:r w:rsidRPr="005222E6">
        <w:rPr>
          <w:vanish/>
        </w:rPr>
        <w:t>PE598.485</w:t>
      </w:r>
      <w:bookmarkEnd w:id="6"/>
    </w:p>
    <w:p w:rsidR="00BA7DAE" w:rsidRPr="00FD4045" w:rsidRDefault="00BA7DAE" w:rsidP="00BA7DAE">
      <w:pPr>
        <w:pStyle w:val="ATHeading3"/>
        <w:rPr>
          <w:lang w:val="pl-PL"/>
        </w:rPr>
      </w:pPr>
      <w:r w:rsidRPr="00FD4045">
        <w:rPr>
          <w:lang w:val="pl-PL"/>
        </w:rPr>
        <w:t xml:space="preserve">Rezolucja Parlamentu Europejskiego z dnia </w:t>
      </w:r>
      <w:r w:rsidR="00FD4045" w:rsidRPr="00FD4045">
        <w:rPr>
          <w:lang w:val="pl-PL"/>
        </w:rPr>
        <w:t>16</w:t>
      </w:r>
      <w:r w:rsidR="00FD4045">
        <w:rPr>
          <w:lang w:val="pl-PL"/>
        </w:rPr>
        <w:t xml:space="preserve"> lutego</w:t>
      </w:r>
      <w:r w:rsidRPr="00FD4045">
        <w:rPr>
          <w:lang w:val="pl-PL"/>
        </w:rPr>
        <w:t xml:space="preserve"> 2017 r. w sprawie sytuacji w zakresie praw człowieka i demokracji w Nikaragui – sprawa Franciski Ramirez </w:t>
      </w:r>
      <w:bookmarkEnd w:id="4"/>
      <w:r w:rsidRPr="00FD4045">
        <w:rPr>
          <w:lang w:val="pl-PL"/>
        </w:rPr>
        <w:t xml:space="preserve"> </w:t>
      </w:r>
      <w:bookmarkStart w:id="7" w:name="References"/>
      <w:r w:rsidRPr="00FD4045">
        <w:rPr>
          <w:lang w:val="pl-PL"/>
        </w:rPr>
        <w:t>(2017/2563(RSP))</w:t>
      </w:r>
      <w:bookmarkEnd w:id="7"/>
    </w:p>
    <w:p w:rsidR="00BA7DAE" w:rsidRDefault="00BA7DAE" w:rsidP="00BA7DAE"/>
    <w:p w:rsidR="00EC1BDA" w:rsidRPr="00CD1C9F" w:rsidRDefault="00EC1BDA" w:rsidP="00EC1BDA">
      <w:pPr>
        <w:pStyle w:val="Normal12"/>
      </w:pPr>
      <w:bookmarkStart w:id="8" w:name="TextBodyBegin"/>
      <w:bookmarkEnd w:id="8"/>
      <w:r>
        <w:rPr>
          <w:i/>
        </w:rPr>
        <w:t>Parlament Europejski</w:t>
      </w:r>
      <w:r>
        <w:t>,</w:t>
      </w:r>
    </w:p>
    <w:p w:rsidR="00EC1BDA" w:rsidRPr="00CD1C9F" w:rsidRDefault="00EC1BDA" w:rsidP="00EC1BDA">
      <w:pPr>
        <w:pStyle w:val="Hanging12"/>
      </w:pPr>
      <w:r>
        <w:t>–</w:t>
      </w:r>
      <w:r>
        <w:tab/>
        <w:t>uwzględniając swoje poprzednie rezolucje w sprawie Nikaragui, w szczególności rezolucję z dnia 18 grudnia 2008 r. w sprawie ataków na obrońców praw człowieka, swobód obywatelskich i demokracji w Nikaragui</w:t>
      </w:r>
      <w:r>
        <w:rPr>
          <w:rStyle w:val="FootnoteReference"/>
        </w:rPr>
        <w:footnoteReference w:id="1"/>
      </w:r>
      <w:r>
        <w:t xml:space="preserve"> oraz rezolucję z dnia 26 listopada 2009 r.</w:t>
      </w:r>
      <w:r>
        <w:rPr>
          <w:rStyle w:val="FootnoteReference"/>
        </w:rPr>
        <w:footnoteReference w:id="2"/>
      </w:r>
      <w:r>
        <w:t xml:space="preserve">, </w:t>
      </w:r>
    </w:p>
    <w:p w:rsidR="00EC1BDA" w:rsidRPr="00CD1C9F" w:rsidRDefault="00EC1BDA" w:rsidP="00EC1BDA">
      <w:pPr>
        <w:pStyle w:val="Hanging12"/>
      </w:pPr>
      <w:r>
        <w:t>–</w:t>
      </w:r>
      <w:r>
        <w:tab/>
        <w:t xml:space="preserve">uwzględniając oświadczenie rzecznika wiceprzewodniczącej Komisji / wysokiej przedstawiciel Unii do spraw zagranicznych i polityki bezpieczeństwa </w:t>
      </w:r>
      <w:proofErr w:type="spellStart"/>
      <w:r>
        <w:t>Federiki</w:t>
      </w:r>
      <w:proofErr w:type="spellEnd"/>
      <w:r>
        <w:t xml:space="preserve"> </w:t>
      </w:r>
      <w:proofErr w:type="spellStart"/>
      <w:r>
        <w:t>Mogherini</w:t>
      </w:r>
      <w:proofErr w:type="spellEnd"/>
      <w:r>
        <w:t xml:space="preserve"> z dnia 16 sierpnia 2016 r. w sprawie niedawnego wyroku sądowego o odwołaniu posłów do parlamentu, a także oświadczenie wiceprzewodniczącej Komisji / wysokiej przedstawiciel z dnia 19 listopada 2016 r. w sprawie ostatecznych wyników wyborów w Nikaragui, </w:t>
      </w:r>
    </w:p>
    <w:p w:rsidR="00EC1BDA" w:rsidRPr="00CD1C9F" w:rsidRDefault="00EC1BDA" w:rsidP="00EC1BDA">
      <w:pPr>
        <w:pStyle w:val="Hanging12"/>
      </w:pPr>
      <w:r>
        <w:t>–</w:t>
      </w:r>
      <w:r>
        <w:tab/>
        <w:t xml:space="preserve">uwzględniając sprawozdanie unijnej misji obserwacji wyborów w Nikaragui z obserwacji wyborów parlamentarnych i prezydenckich przeprowadzonych w dniu 6 listopada 2011 r., </w:t>
      </w:r>
    </w:p>
    <w:p w:rsidR="00EC1BDA" w:rsidRPr="00CD1C9F" w:rsidRDefault="00EC1BDA" w:rsidP="00EC1BDA">
      <w:pPr>
        <w:pStyle w:val="Hanging12"/>
      </w:pPr>
      <w:r>
        <w:t>–</w:t>
      </w:r>
      <w:r>
        <w:tab/>
        <w:t xml:space="preserve">uwzględniając oświadczenie Sekretariatu Generalnego Organizacji Państw Amerykańskich (OPA) z dnia 16 października 2016 r. w sprawie procesu wyborczego w Nikaragui, </w:t>
      </w:r>
    </w:p>
    <w:p w:rsidR="00EC1BDA" w:rsidRPr="00CD1C9F" w:rsidRDefault="00EC1BDA" w:rsidP="00EC1BDA">
      <w:pPr>
        <w:pStyle w:val="Hanging12"/>
      </w:pPr>
      <w:r>
        <w:t>–</w:t>
      </w:r>
      <w:r>
        <w:tab/>
        <w:t xml:space="preserve">uwzględniając sprawozdanie Sekretariatu Generalnego Organizacji Państw Amerykańskich oraz Nikaragui z dnia 20 stycznia 2017 r., </w:t>
      </w:r>
    </w:p>
    <w:p w:rsidR="00EC1BDA" w:rsidRPr="00CD1C9F" w:rsidRDefault="00EC1BDA" w:rsidP="00EC1BDA">
      <w:pPr>
        <w:pStyle w:val="Hanging12"/>
      </w:pPr>
      <w:r>
        <w:t>–</w:t>
      </w:r>
      <w:r>
        <w:tab/>
        <w:t xml:space="preserve">uwzględniając zawarty w 2012 r. układ o stowarzyszeniu między Unią Europejską a krajami Ameryki Środkowej, który wszedł w życie w sierpniu 2013 r. i zawiera klauzule </w:t>
      </w:r>
      <w:r>
        <w:lastRenderedPageBreak/>
        <w:t xml:space="preserve">dotyczące praw człowieka, </w:t>
      </w:r>
    </w:p>
    <w:p w:rsidR="00EC1BDA" w:rsidRPr="00CD1C9F" w:rsidRDefault="00EC1BDA" w:rsidP="00EC1BDA">
      <w:pPr>
        <w:pStyle w:val="Hanging12"/>
      </w:pPr>
      <w:r>
        <w:t>–</w:t>
      </w:r>
      <w:r>
        <w:tab/>
        <w:t xml:space="preserve">uwzględniając wytyczne UE w sprawie obrońców praw człowieka z czerwca 2004 r., </w:t>
      </w:r>
    </w:p>
    <w:p w:rsidR="00EC1BDA" w:rsidRPr="00CD1C9F" w:rsidRDefault="00EC1BDA" w:rsidP="00EC1BDA">
      <w:pPr>
        <w:pStyle w:val="Hanging12"/>
      </w:pPr>
      <w:r>
        <w:t>–</w:t>
      </w:r>
      <w:r>
        <w:tab/>
        <w:t xml:space="preserve">uwzględniając wytyczne UE z 2004 r. w sprawie polityki gruntowej, zawierające wskazówki dotyczące kształtowania i planowania polityki gruntowej w krajach rozwijających się; </w:t>
      </w:r>
    </w:p>
    <w:p w:rsidR="00EC1BDA" w:rsidRPr="00CD1C9F" w:rsidRDefault="00EC1BDA" w:rsidP="00EC1BDA">
      <w:pPr>
        <w:pStyle w:val="Hanging12"/>
      </w:pPr>
      <w:r>
        <w:t>–</w:t>
      </w:r>
      <w:r>
        <w:tab/>
        <w:t xml:space="preserve">uwzględniając Deklarację ONZ w sprawie obrońców praw człowieka z grudnia 1998 r., </w:t>
      </w:r>
    </w:p>
    <w:p w:rsidR="00EC1BDA" w:rsidRPr="00CD1C9F" w:rsidRDefault="00EC1BDA" w:rsidP="00EC1BDA">
      <w:pPr>
        <w:pStyle w:val="Hanging12"/>
      </w:pPr>
      <w:r>
        <w:t>–</w:t>
      </w:r>
      <w:r>
        <w:tab/>
        <w:t>uwzględniając Deklarację praw ludów tubylczych ONZ,</w:t>
      </w:r>
    </w:p>
    <w:p w:rsidR="00EC1BDA" w:rsidRPr="00CD1C9F" w:rsidRDefault="00EC1BDA" w:rsidP="00EC1BDA">
      <w:pPr>
        <w:pStyle w:val="Hanging12"/>
      </w:pPr>
      <w:r>
        <w:t>–</w:t>
      </w:r>
      <w:r>
        <w:tab/>
        <w:t xml:space="preserve">uwzględniając ratyfikowaną przez Nikaraguę konwencję Międzynarodowej Organizacji Pracy (MOP) z 1989 r. dotyczącą ludności tubylczej i plemiennej (konwencja nr 169), </w:t>
      </w:r>
    </w:p>
    <w:p w:rsidR="00EC1BDA" w:rsidRPr="00CD1C9F" w:rsidRDefault="00EC1BDA" w:rsidP="00EC1BDA">
      <w:pPr>
        <w:pStyle w:val="Hanging12"/>
      </w:pPr>
      <w:r>
        <w:t>–</w:t>
      </w:r>
      <w:r>
        <w:tab/>
        <w:t xml:space="preserve">uwzględniając Międzynarodowy pakt praw obywatelskich i politycznych z 1966 r., </w:t>
      </w:r>
    </w:p>
    <w:p w:rsidR="00EC1BDA" w:rsidRPr="00CD1C9F" w:rsidRDefault="00EC1BDA" w:rsidP="00EC1BDA">
      <w:pPr>
        <w:pStyle w:val="Hanging12"/>
      </w:pPr>
      <w:r>
        <w:t>–</w:t>
      </w:r>
      <w:r>
        <w:tab/>
        <w:t>uwzględniając Powszechną deklarację praw człowieka z 1948 r.,</w:t>
      </w:r>
    </w:p>
    <w:p w:rsidR="00EC1BDA" w:rsidRPr="00CD1C9F" w:rsidRDefault="00EC1BDA" w:rsidP="00EC1BDA">
      <w:pPr>
        <w:pStyle w:val="Hanging12"/>
      </w:pPr>
      <w:r>
        <w:t>–</w:t>
      </w:r>
      <w:r>
        <w:tab/>
        <w:t>uwzględniając art. 135 ust. 5 i art. 123 ust. 4 Regulaminu,</w:t>
      </w:r>
    </w:p>
    <w:p w:rsidR="00EC1BDA" w:rsidRPr="00CD1C9F" w:rsidRDefault="00EC1BDA" w:rsidP="00EC1BDA">
      <w:pPr>
        <w:pStyle w:val="Hanging12"/>
      </w:pPr>
      <w:r>
        <w:t>A.</w:t>
      </w:r>
      <w:r>
        <w:tab/>
      </w:r>
      <w:proofErr w:type="gramStart"/>
      <w:r>
        <w:t>mając</w:t>
      </w:r>
      <w:proofErr w:type="gramEnd"/>
      <w:r>
        <w:t xml:space="preserve"> na uwadze, że rozwój i umacnianie demokracji i praworządności oraz poszanowanie praw człowieka i podstawowych wolności musi być nieodłącznym elementem polityki zewnętrznej UE, w tym układu o stowarzyszeniu między Unią Europejską a krajami Ameryki Środkowej z 2012 r.; </w:t>
      </w:r>
    </w:p>
    <w:p w:rsidR="00EC1BDA" w:rsidRPr="00CD1C9F" w:rsidRDefault="00EC1BDA" w:rsidP="00EC1BDA">
      <w:pPr>
        <w:pStyle w:val="Hanging12"/>
      </w:pPr>
      <w:r>
        <w:t>B.</w:t>
      </w:r>
      <w:r>
        <w:tab/>
        <w:t xml:space="preserve">mając na uwadze, że w ostatnich latach w Nikaragui pogorszył się stan demokracji i praworządności; </w:t>
      </w:r>
    </w:p>
    <w:p w:rsidR="00EC1BDA" w:rsidRPr="00CD1C9F" w:rsidRDefault="00EC1BDA" w:rsidP="00EC1BDA">
      <w:pPr>
        <w:pStyle w:val="Hanging12"/>
      </w:pPr>
      <w:r>
        <w:t>C.</w:t>
      </w:r>
      <w:r>
        <w:tab/>
      </w:r>
      <w:proofErr w:type="gramStart"/>
      <w:r>
        <w:t>mając</w:t>
      </w:r>
      <w:proofErr w:type="gramEnd"/>
      <w:r>
        <w:t xml:space="preserve"> na uwadze, że w 2013 r. przyjęto w Nikaragui ustawę nr 840, w której chińskiemu prywatnemu przedsiębiorstwu HK </w:t>
      </w:r>
      <w:proofErr w:type="spellStart"/>
      <w:r>
        <w:t>Nicaragua</w:t>
      </w:r>
      <w:proofErr w:type="spellEnd"/>
      <w:r>
        <w:t xml:space="preserve"> Canal Development Investment Company </w:t>
      </w:r>
      <w:proofErr w:type="spellStart"/>
      <w:r>
        <w:t>Ltd</w:t>
      </w:r>
      <w:proofErr w:type="spellEnd"/>
      <w:r>
        <w:t xml:space="preserve"> (HKND) przyznano na okres 100 lat koncesję na budowę i obsługę przecinającego Nikaraguę kanału łączącego dwa oceany; </w:t>
      </w:r>
    </w:p>
    <w:p w:rsidR="00EC1BDA" w:rsidRPr="00CD1C9F" w:rsidRDefault="00EC1BDA" w:rsidP="00EC1BDA">
      <w:pPr>
        <w:pStyle w:val="Hanging12"/>
      </w:pPr>
      <w:r>
        <w:t>D.</w:t>
      </w:r>
      <w:r>
        <w:tab/>
      </w:r>
      <w:proofErr w:type="gramStart"/>
      <w:r>
        <w:t>mając</w:t>
      </w:r>
      <w:proofErr w:type="gramEnd"/>
      <w:r>
        <w:t xml:space="preserve"> na uwadze, że w ustawie tej przyznano HKND prawo do wywłaszczania gruntów oraz zwolniono to przedsiębiorstwo z miejscowych podatków i z obowiązku przestrzegania regulacji handlowych; mając na uwadze, że HKND zagwarantowano również nienakładanie sankcji karnych za naruszenie postanowień umowy; </w:t>
      </w:r>
    </w:p>
    <w:p w:rsidR="00EC1BDA" w:rsidRPr="00CD1C9F" w:rsidRDefault="00EC1BDA" w:rsidP="00EC1BDA">
      <w:pPr>
        <w:pStyle w:val="Hanging12"/>
      </w:pPr>
      <w:r>
        <w:t>E.</w:t>
      </w:r>
      <w:r>
        <w:tab/>
      </w:r>
      <w:proofErr w:type="gramStart"/>
      <w:r>
        <w:t>mając</w:t>
      </w:r>
      <w:proofErr w:type="gramEnd"/>
      <w:r>
        <w:t xml:space="preserve"> na uwadze, że w okresie od 27 listopada do 1 grudnia 2016 r. w stolicy Nikaragui gromadzili się demonstranci z całego kraju, żądając zarzucenia idei budowy kanału, gdyż to gigantyczne przedsięwzięcie może spowodować wysiedlenie tysięcy drobnych rolników i ludności tubylczej na obszarach wokół planowanego kanału, a także potępiając brak przejrzystości w wyborach prezydenckich przeprowadzonych w dniu 6 listopada 2016 r.; mając na uwadze, że według doniesień obrońców praw człowieka policja użyła wobec protestujących gazu łzawiącego, pocisków gumowych i ostrej amunicji; </w:t>
      </w:r>
    </w:p>
    <w:p w:rsidR="00EC1BDA" w:rsidRPr="00CD1C9F" w:rsidRDefault="00EC1BDA" w:rsidP="00EC1BDA">
      <w:pPr>
        <w:pStyle w:val="Hanging12"/>
      </w:pPr>
      <w:r>
        <w:t>F.</w:t>
      </w:r>
      <w:r>
        <w:tab/>
      </w:r>
      <w:proofErr w:type="gramStart"/>
      <w:r>
        <w:t>mając</w:t>
      </w:r>
      <w:proofErr w:type="gramEnd"/>
      <w:r>
        <w:t xml:space="preserve"> na uwadze, że nie przeprowadzono oceny oddziaływania na środowisko ani uprzedniej konsultacji z ludami tubylczymi, co stanowi naruszenie konwencji MOP nr 169; mając na uwadze, że planowany przebieg kanału przecina ziemie ludów tubylczych i spowoduje wysiedlenie od 30 000 do 120 000 osób należących do tych ludów; </w:t>
      </w:r>
    </w:p>
    <w:p w:rsidR="00EC1BDA" w:rsidRPr="00CD1C9F" w:rsidRDefault="00EC1BDA" w:rsidP="00EC1BDA">
      <w:pPr>
        <w:pStyle w:val="Hanging12"/>
      </w:pPr>
      <w:r>
        <w:lastRenderedPageBreak/>
        <w:t>G.</w:t>
      </w:r>
      <w:r>
        <w:tab/>
        <w:t xml:space="preserve">mając na uwadze, że organizacje naukowe podniosły alarm, gdyż kanał przetnie jezioro Nikaragua, co stanowi zagrożenie dla tego największego źródła słodkiej wody w Ameryce Środkowej; mając na uwadze, że organizacje naukowe zwróciły się do rządu Nikaragui o zawieszenie projektu do czasu ukończenia niezależnych badań i przeprowadzenia na ich podstawie debaty publicznej; </w:t>
      </w:r>
    </w:p>
    <w:p w:rsidR="00EC1BDA" w:rsidRPr="00CD1C9F" w:rsidRDefault="00EC1BDA" w:rsidP="00EC1BDA">
      <w:pPr>
        <w:pStyle w:val="Hanging12"/>
      </w:pPr>
      <w:r>
        <w:t>H.</w:t>
      </w:r>
      <w:r>
        <w:tab/>
      </w:r>
      <w:proofErr w:type="gramStart"/>
      <w:r>
        <w:t>mając</w:t>
      </w:r>
      <w:proofErr w:type="gramEnd"/>
      <w:r>
        <w:t xml:space="preserve"> na uwadze, że Francisca Ramirez, koordynator Narodowej Rady Obrony Ziemi, Jeziora i Suwerenności, przedstawiła w grudniu 2016 r. formalną skargę dotyczącą represji i ataków, jakich dopuszczono się w miejscowości </w:t>
      </w:r>
      <w:proofErr w:type="spellStart"/>
      <w:r>
        <w:t>Nueva</w:t>
      </w:r>
      <w:proofErr w:type="spellEnd"/>
      <w:r>
        <w:t xml:space="preserve"> </w:t>
      </w:r>
      <w:proofErr w:type="spellStart"/>
      <w:r>
        <w:t>Guinea</w:t>
      </w:r>
      <w:proofErr w:type="spellEnd"/>
      <w:r>
        <w:t xml:space="preserve">; mając na uwadze, że </w:t>
      </w:r>
      <w:proofErr w:type="spellStart"/>
      <w:r>
        <w:t>Franciskę</w:t>
      </w:r>
      <w:proofErr w:type="spellEnd"/>
      <w:r>
        <w:t xml:space="preserve"> Ramirez zastraszano i arbitralnie przetrzymywano, a członków jej rodziny brutalnie atakowano w odwecie za prowadzoną przez nią działalność; </w:t>
      </w:r>
    </w:p>
    <w:p w:rsidR="00EC1BDA" w:rsidRPr="00CD1C9F" w:rsidRDefault="00EC1BDA" w:rsidP="00EC1BDA">
      <w:pPr>
        <w:pStyle w:val="Hanging12"/>
      </w:pPr>
      <w:r>
        <w:t>I.</w:t>
      </w:r>
      <w:r>
        <w:tab/>
      </w:r>
      <w:proofErr w:type="gramStart"/>
      <w:r>
        <w:t>mając</w:t>
      </w:r>
      <w:proofErr w:type="gramEnd"/>
      <w:r>
        <w:t xml:space="preserve"> na uwadze, że dziennikarze w Nikaragui są prześladowani, zastraszani i przetrzymywani, dostają także groźby śmierci;</w:t>
      </w:r>
    </w:p>
    <w:p w:rsidR="00EC1BDA" w:rsidRPr="00CD1C9F" w:rsidRDefault="00EC1BDA" w:rsidP="00EC1BDA">
      <w:pPr>
        <w:pStyle w:val="Hanging12"/>
      </w:pPr>
      <w:r>
        <w:t>J.</w:t>
      </w:r>
      <w:r>
        <w:tab/>
        <w:t xml:space="preserve">mając na uwadze, że w sierpniu 2016 r. ze względu na przeszkody narzucone przez rząd Nikaragui odwołano wizytę Michela </w:t>
      </w:r>
      <w:proofErr w:type="spellStart"/>
      <w:r>
        <w:t>Forsta</w:t>
      </w:r>
      <w:proofErr w:type="spellEnd"/>
      <w:r>
        <w:t xml:space="preserve">, specjalnego sprawozdawcy ONZ ds. sytuacji obrońców praw człowieka, w tym kraju; </w:t>
      </w:r>
    </w:p>
    <w:p w:rsidR="00EC1BDA" w:rsidRPr="00CD1C9F" w:rsidRDefault="00EC1BDA" w:rsidP="00EC1BDA">
      <w:pPr>
        <w:pStyle w:val="Hanging12"/>
      </w:pPr>
      <w:r>
        <w:t>K.</w:t>
      </w:r>
      <w:r>
        <w:tab/>
        <w:t xml:space="preserve">mając na uwadze, że rygorystyczne wykluczanie kandydatów opozycji jednoznacznie świadczy o braku warunków do przeprowadzenia wolnych i uczciwych wyborów oraz o poważnym naruszaniu wolności zrzeszania się i rywalizacji politycznej oraz pluralizmu; </w:t>
      </w:r>
    </w:p>
    <w:p w:rsidR="00EC1BDA" w:rsidRPr="00CD1C9F" w:rsidRDefault="00EC1BDA" w:rsidP="00EC1BDA">
      <w:pPr>
        <w:pStyle w:val="Hanging12"/>
      </w:pPr>
      <w:r>
        <w:t>L.</w:t>
      </w:r>
      <w:r>
        <w:tab/>
      </w:r>
      <w:proofErr w:type="gramStart"/>
      <w:r>
        <w:t>mając</w:t>
      </w:r>
      <w:proofErr w:type="gramEnd"/>
      <w:r>
        <w:t xml:space="preserve"> na uwadze, że Specjalny Sprawozdawca ONZ ds. Niezawisłości Sędziów i Prawników w powszechnym okresowym przeglądzie praw człowieka z 2014 r. zwrócił uwagę na procedury mianowania sędziów Sądu Najwyższego, w ogromnym stopniu upolitycznione; mając na uwadze, że w 2013 r. wprowadzono zmiany w konstytucji służące ponownemu wyborowi prezydenta, obchodząc przepisy i nie zachowując przejrzystości; mając na uwadze, że art. 147 konstytucji Nikaragui zakazuje krewnym i powinowatym prezydenta kandydowania na urząd prezydenta lub wiceprezydenta; </w:t>
      </w:r>
    </w:p>
    <w:p w:rsidR="00EC1BDA" w:rsidRPr="00CD1C9F" w:rsidRDefault="00EC1BDA" w:rsidP="00EC1BDA">
      <w:pPr>
        <w:pStyle w:val="Hanging12"/>
      </w:pPr>
      <w:r>
        <w:t>M.</w:t>
      </w:r>
      <w:r>
        <w:tab/>
        <w:t xml:space="preserve">mając na uwadze, że jednym z największych wyzwań jest nadal korupcja w sektorze publicznym, w tym wśród członków rodziny prezydenta; mając na uwadze powszechne przekupywanie urzędników publicznych, bezprawne zajmowanie majątku i arbitralne szacowanie wartości mienia przez organy celne i podatkowe; </w:t>
      </w:r>
    </w:p>
    <w:p w:rsidR="00EC1BDA" w:rsidRPr="00CD1C9F" w:rsidRDefault="00EC1BDA" w:rsidP="00EC1BDA">
      <w:pPr>
        <w:pStyle w:val="Hanging12"/>
      </w:pPr>
      <w:r>
        <w:t>1.</w:t>
      </w:r>
      <w:r>
        <w:tab/>
      </w:r>
      <w:proofErr w:type="gramStart"/>
      <w:r>
        <w:t>wyraża</w:t>
      </w:r>
      <w:proofErr w:type="gramEnd"/>
      <w:r>
        <w:t xml:space="preserve"> zaniepokojenie z powodu stale pogarszającej się sytuacji praw człowieka w Nikaragui i ubolewa z powodu ataków i prześladowań wymierzonych w organizacje obrońców praw człowieka i ich członków oraz w niezależnych dziennikarzy, a dokonywanych przez osoby, siły polityczne i organy powiązane z władzami państwa; </w:t>
      </w:r>
    </w:p>
    <w:p w:rsidR="00EC1BDA" w:rsidRPr="00CD1C9F" w:rsidRDefault="00EC1BDA" w:rsidP="00EC1BDA">
      <w:pPr>
        <w:pStyle w:val="Hanging12"/>
      </w:pPr>
      <w:r>
        <w:t>2.</w:t>
      </w:r>
      <w:r>
        <w:tab/>
      </w:r>
      <w:proofErr w:type="gramStart"/>
      <w:r>
        <w:t>wzywa</w:t>
      </w:r>
      <w:proofErr w:type="gramEnd"/>
      <w:r>
        <w:t xml:space="preserve"> rząd, by powstrzymał się od prześladowania i represjonowania Franciski Ramirez i innych obrońców praw człowieka za prowadzoną przez nich uprawnioną działalność; zwraca się do władz Nikaragui, by położyły kres bezkarności sprawców przestępstw skierowanych przeciwko obrońcom praw człowieka; popiera prawo ekologów i obrońców praw człowieka do wyrażania protestu bez obawy, że narażą się na działania odwetowe; zwraca się do Nikaragui, by przed podjęciem dalszych działań faktycznie zainicjowano niezależną ocenę oddziaływania na środowisko i ujawniono wszystkie elementy tego procesu; </w:t>
      </w:r>
    </w:p>
    <w:p w:rsidR="00EC1BDA" w:rsidRPr="00CD1C9F" w:rsidRDefault="00EC1BDA" w:rsidP="00EC1BDA">
      <w:pPr>
        <w:pStyle w:val="Hanging12"/>
      </w:pPr>
      <w:r>
        <w:t>3.</w:t>
      </w:r>
      <w:r>
        <w:tab/>
      </w:r>
      <w:proofErr w:type="gramStart"/>
      <w:r>
        <w:t>apeluje</w:t>
      </w:r>
      <w:proofErr w:type="gramEnd"/>
      <w:r>
        <w:t xml:space="preserve"> do rządu Nikaragui o wywiązanie się z międzynarodowych zobowiązań w </w:t>
      </w:r>
      <w:r>
        <w:lastRenderedPageBreak/>
        <w:t xml:space="preserve">zakresie praw człowieka, zwłaszcza tych, które wynikają z Deklaracji praw ludów tubylczych ONZ podpisanej w 2008 r. oraz z konwencji MOP nr 169; </w:t>
      </w:r>
    </w:p>
    <w:p w:rsidR="00EC1BDA" w:rsidRPr="00CD1C9F" w:rsidRDefault="00EC1BDA" w:rsidP="00EC1BDA">
      <w:pPr>
        <w:pStyle w:val="Hanging12"/>
      </w:pPr>
      <w:r>
        <w:t>4.</w:t>
      </w:r>
      <w:r>
        <w:tab/>
      </w:r>
      <w:proofErr w:type="gramStart"/>
      <w:r>
        <w:t>zwraca</w:t>
      </w:r>
      <w:proofErr w:type="gramEnd"/>
      <w:r>
        <w:t xml:space="preserve"> się do rządu Nikaragui o ochronę ziemi ludności tubylczej przed wpływem gigantycznych projektów naruszających możliwość przeżycia na jej terytoriach, wciągających ją w konflikty i narażających je na przemoc; </w:t>
      </w:r>
    </w:p>
    <w:p w:rsidR="00EC1BDA" w:rsidRPr="00CD1C9F" w:rsidRDefault="00EC1BDA" w:rsidP="00EC1BDA">
      <w:pPr>
        <w:pStyle w:val="Hanging12"/>
      </w:pPr>
      <w:r>
        <w:t>5.</w:t>
      </w:r>
      <w:r>
        <w:tab/>
      </w:r>
      <w:proofErr w:type="gramStart"/>
      <w:r>
        <w:t>wyraża</w:t>
      </w:r>
      <w:proofErr w:type="gramEnd"/>
      <w:r>
        <w:t xml:space="preserve"> głębokie zaniepokojenie z powodu odwołania posłów opozycji ze Zgromadzenia Narodowego Nikaragui oraz z powodu wyroku, który zmienił strukturę kierownictwa partii opozycyjnej;</w:t>
      </w:r>
    </w:p>
    <w:p w:rsidR="00EC1BDA" w:rsidRPr="00CD1C9F" w:rsidRDefault="00EC1BDA" w:rsidP="00EC1BDA">
      <w:pPr>
        <w:pStyle w:val="Hanging12"/>
      </w:pPr>
      <w:r>
        <w:t>6.</w:t>
      </w:r>
      <w:r>
        <w:tab/>
      </w:r>
      <w:proofErr w:type="gramStart"/>
      <w:r>
        <w:t>apeluje</w:t>
      </w:r>
      <w:proofErr w:type="gramEnd"/>
      <w:r>
        <w:t xml:space="preserve"> do Nikaragui o pełne poszanowanie wartości demokratycznych, w tym podziału władzy, oraz o przywrócenie odpowiedniego miejsca wszystkim partiom opozycyjnym przez umożliwienie wyrażania krytyki w systemie politycznym i w całym społeczeństwie; przypomina, że nieograniczony udział opozycji, depolaryzacja wymiaru sprawiedliwości, położenie kresu bezkarności i niezależne społeczeństwo obywatelskie to podstawowe czynniki sukcesu każdej demokracji;</w:t>
      </w:r>
    </w:p>
    <w:p w:rsidR="00EC1BDA" w:rsidRPr="00CD1C9F" w:rsidRDefault="00EC1BDA" w:rsidP="00EC1BDA">
      <w:pPr>
        <w:pStyle w:val="Hanging12"/>
      </w:pPr>
      <w:r>
        <w:t>7.</w:t>
      </w:r>
      <w:r>
        <w:tab/>
      </w:r>
      <w:proofErr w:type="gramStart"/>
      <w:r>
        <w:t>przypomina</w:t>
      </w:r>
      <w:proofErr w:type="gramEnd"/>
      <w:r>
        <w:t xml:space="preserve"> o nielegalnych działaniach podjętych z naruszeniem zasad regulujących system sądowy, które doprowadziły do zmiany konstytucji w celu zniesienia limitu liczby kadencji prezydenckich, co umożliwia Danielowi Ortedze pozostanie przy władzy przez całe lata; </w:t>
      </w:r>
    </w:p>
    <w:p w:rsidR="00EC1BDA" w:rsidRPr="00CD1C9F" w:rsidRDefault="00EC1BDA" w:rsidP="00EC1BDA">
      <w:pPr>
        <w:pStyle w:val="Hanging12"/>
      </w:pPr>
      <w:r>
        <w:t>8.</w:t>
      </w:r>
      <w:r>
        <w:tab/>
      </w:r>
      <w:proofErr w:type="gramStart"/>
      <w:r>
        <w:t>zwraca</w:t>
      </w:r>
      <w:proofErr w:type="gramEnd"/>
      <w:r>
        <w:t xml:space="preserve"> uwagę, że instytucje UE i OPA ostro skrytykowały nieprawidłowości, do jakich doszło w czasie wyborów w 2011 r. i 2016 r.; zauważa, że obecnie prowadzony jest dialog z OPA, a do dnia 28 lutego 2017 r. powinien zostać podpisany protokół ustaleń, który może przynieść poprawę sytuacji;</w:t>
      </w:r>
    </w:p>
    <w:p w:rsidR="00EC1BDA" w:rsidRPr="00CD1C9F" w:rsidRDefault="00EC1BDA" w:rsidP="00EC1BDA">
      <w:pPr>
        <w:pStyle w:val="Hanging12"/>
      </w:pPr>
      <w:r>
        <w:t>9.</w:t>
      </w:r>
      <w:r>
        <w:tab/>
      </w:r>
      <w:proofErr w:type="gramStart"/>
      <w:r>
        <w:t>ponownie</w:t>
      </w:r>
      <w:proofErr w:type="gramEnd"/>
      <w:r>
        <w:t xml:space="preserve"> podkreśla, że wolność prasy i mediów to kluczowy element demokracji i otwartego społeczeństwa; zwraca się do władz Nikaragui o przywrócenie pluralizmu mediów; </w:t>
      </w:r>
    </w:p>
    <w:p w:rsidR="00EC1BDA" w:rsidRPr="00CD1C9F" w:rsidRDefault="00EC1BDA" w:rsidP="00EC1BDA">
      <w:pPr>
        <w:pStyle w:val="Hanging12"/>
      </w:pPr>
      <w:r>
        <w:t>10.</w:t>
      </w:r>
      <w:r>
        <w:tab/>
      </w:r>
      <w:proofErr w:type="gramStart"/>
      <w:r>
        <w:t>zauważa</w:t>
      </w:r>
      <w:proofErr w:type="gramEnd"/>
      <w:r>
        <w:t>, że w świetle układu o stowarzyszeniu między Unią Europejską a krajami Ameryki Środkowej należy przypomnieć Nikaragui o konieczności przestrzegania zasad praworządności i demokracji oraz praw człowieka, których broni i które wspiera UE; apeluje do UE o monitorowanie sytuacji, a w razie potrzeby o przeanalizowanie potencjalnie niezbędnych działań;</w:t>
      </w:r>
    </w:p>
    <w:p w:rsidR="00EC1BDA" w:rsidRDefault="00EC1BDA" w:rsidP="00041E79">
      <w:pPr>
        <w:pStyle w:val="Hanging12"/>
      </w:pPr>
      <w:r>
        <w:t>11.</w:t>
      </w:r>
      <w:r>
        <w:tab/>
      </w:r>
      <w:proofErr w:type="gramStart"/>
      <w:r>
        <w:t>zobowiązuje</w:t>
      </w:r>
      <w:proofErr w:type="gramEnd"/>
      <w:r>
        <w:t xml:space="preserve"> swojego przewodniczącego do przekazania niniejszej rezolucji Radzie, Komisji, rządom i parlamentom państw członkowskich, Sekretarzowi Generalnemu Organizacji Państw Amerykańskich, Europejsko-Latynoamerykańskiemu Zgromadzeniu Parlamentarnemu, Parlamentowi Środkowoamerykańskiemu, a także rządowi i parlamentowi Republiki Nikaragui. </w:t>
      </w:r>
    </w:p>
    <w:sectPr w:rsidR="00EC1BDA" w:rsidSect="00A311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DAE" w:rsidRPr="00BA7DAE" w:rsidRDefault="00BA7DAE">
      <w:r w:rsidRPr="00BA7DAE">
        <w:separator/>
      </w:r>
    </w:p>
  </w:endnote>
  <w:endnote w:type="continuationSeparator" w:id="0">
    <w:p w:rsidR="00BA7DAE" w:rsidRPr="00BA7DAE" w:rsidRDefault="00BA7DAE">
      <w:r w:rsidRPr="00BA7D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167" w:rsidRDefault="00A3116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167" w:rsidRDefault="00A3116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167" w:rsidRDefault="00A311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DAE" w:rsidRPr="00BA7DAE" w:rsidRDefault="00BA7DAE">
      <w:r w:rsidRPr="00BA7DAE">
        <w:separator/>
      </w:r>
    </w:p>
  </w:footnote>
  <w:footnote w:type="continuationSeparator" w:id="0">
    <w:p w:rsidR="00BA7DAE" w:rsidRPr="00BA7DAE" w:rsidRDefault="00BA7DAE">
      <w:r w:rsidRPr="00BA7DAE">
        <w:continuationSeparator/>
      </w:r>
    </w:p>
  </w:footnote>
  <w:footnote w:id="1">
    <w:p w:rsidR="00EC1BDA" w:rsidRPr="00041E79" w:rsidRDefault="00EC1BDA" w:rsidP="00EC1BDA">
      <w:pPr>
        <w:pStyle w:val="FootnoteText"/>
        <w:rPr>
          <w:sz w:val="24"/>
          <w:szCs w:val="24"/>
          <w:lang w:val="pl-PL"/>
        </w:rPr>
      </w:pPr>
      <w:r>
        <w:rPr>
          <w:rStyle w:val="FootnoteReference"/>
        </w:rPr>
        <w:footnoteRef/>
      </w:r>
      <w:r w:rsidRPr="00FD4045">
        <w:rPr>
          <w:lang w:val="pl-PL"/>
        </w:rPr>
        <w:t xml:space="preserve"> </w:t>
      </w:r>
      <w:r w:rsidR="00041E79">
        <w:rPr>
          <w:lang w:val="pl-PL"/>
        </w:rPr>
        <w:tab/>
      </w:r>
      <w:proofErr w:type="spellStart"/>
      <w:r w:rsidRPr="00041E79">
        <w:rPr>
          <w:sz w:val="24"/>
          <w:szCs w:val="24"/>
          <w:lang w:val="pl-PL"/>
        </w:rPr>
        <w:t>Dz.U</w:t>
      </w:r>
      <w:proofErr w:type="spellEnd"/>
      <w:r w:rsidRPr="00041E79">
        <w:rPr>
          <w:sz w:val="24"/>
          <w:szCs w:val="24"/>
          <w:lang w:val="pl-PL"/>
        </w:rPr>
        <w:t>. C 45</w:t>
      </w:r>
      <w:r w:rsidR="006867BB" w:rsidRPr="00041E79">
        <w:rPr>
          <w:sz w:val="24"/>
          <w:szCs w:val="24"/>
          <w:lang w:val="pl-PL"/>
        </w:rPr>
        <w:t xml:space="preserve"> </w:t>
      </w:r>
      <w:r w:rsidRPr="00041E79">
        <w:rPr>
          <w:sz w:val="24"/>
          <w:szCs w:val="24"/>
          <w:lang w:val="pl-PL"/>
        </w:rPr>
        <w:t xml:space="preserve">E z 23.2.2010, </w:t>
      </w:r>
      <w:proofErr w:type="gramStart"/>
      <w:r w:rsidRPr="00041E79">
        <w:rPr>
          <w:sz w:val="24"/>
          <w:szCs w:val="24"/>
          <w:lang w:val="pl-PL"/>
        </w:rPr>
        <w:t>s</w:t>
      </w:r>
      <w:proofErr w:type="gramEnd"/>
      <w:r w:rsidRPr="00041E79">
        <w:rPr>
          <w:sz w:val="24"/>
          <w:szCs w:val="24"/>
          <w:lang w:val="pl-PL"/>
        </w:rPr>
        <w:t>. 89.</w:t>
      </w:r>
    </w:p>
  </w:footnote>
  <w:footnote w:id="2">
    <w:p w:rsidR="00EC1BDA" w:rsidRPr="00041E79" w:rsidRDefault="00EC1BDA" w:rsidP="00EC1BDA">
      <w:pPr>
        <w:pStyle w:val="FootnoteText"/>
        <w:rPr>
          <w:sz w:val="24"/>
          <w:szCs w:val="24"/>
          <w:lang w:val="pl-PL"/>
        </w:rPr>
      </w:pPr>
      <w:r w:rsidRPr="00041E79">
        <w:rPr>
          <w:rStyle w:val="FootnoteReference"/>
          <w:sz w:val="24"/>
          <w:szCs w:val="24"/>
        </w:rPr>
        <w:footnoteRef/>
      </w:r>
      <w:r w:rsidRPr="00041E79">
        <w:rPr>
          <w:sz w:val="24"/>
          <w:szCs w:val="24"/>
          <w:lang w:val="pl-PL"/>
        </w:rPr>
        <w:t xml:space="preserve"> </w:t>
      </w:r>
      <w:r w:rsidR="00041E79">
        <w:rPr>
          <w:sz w:val="24"/>
          <w:szCs w:val="24"/>
          <w:lang w:val="pl-PL"/>
        </w:rPr>
        <w:tab/>
      </w:r>
      <w:r w:rsidRPr="00041E79">
        <w:rPr>
          <w:sz w:val="24"/>
          <w:szCs w:val="24"/>
          <w:lang w:val="pl-PL"/>
        </w:rPr>
        <w:t>Dz.U. C 285</w:t>
      </w:r>
      <w:r w:rsidR="006867BB" w:rsidRPr="00041E79">
        <w:rPr>
          <w:sz w:val="24"/>
          <w:szCs w:val="24"/>
          <w:lang w:val="pl-PL"/>
        </w:rPr>
        <w:t xml:space="preserve"> </w:t>
      </w:r>
      <w:r w:rsidRPr="00041E79">
        <w:rPr>
          <w:sz w:val="24"/>
          <w:szCs w:val="24"/>
          <w:lang w:val="pl-PL"/>
        </w:rPr>
        <w:t xml:space="preserve">E z 21.10.2010, </w:t>
      </w:r>
      <w:proofErr w:type="gramStart"/>
      <w:r w:rsidRPr="00041E79">
        <w:rPr>
          <w:sz w:val="24"/>
          <w:szCs w:val="24"/>
          <w:lang w:val="pl-PL"/>
        </w:rPr>
        <w:t>s</w:t>
      </w:r>
      <w:proofErr w:type="gramEnd"/>
      <w:r w:rsidRPr="00041E79">
        <w:rPr>
          <w:sz w:val="24"/>
          <w:szCs w:val="24"/>
          <w:lang w:val="pl-PL"/>
        </w:rPr>
        <w:t>. 74.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167" w:rsidRDefault="00A3116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167" w:rsidRDefault="00A3116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167" w:rsidRDefault="00A311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dvdocse" w:val="B8-0156/2017"/>
    <w:docVar w:name="dvlangue" w:val="PL"/>
    <w:docVar w:name="dvnumam" w:val="0"/>
    <w:docVar w:name="dvpe" w:val="598.485"/>
    <w:docVar w:name="dvtitre" w:val="Rezolucja Parlamentu Europejskiego z dnia  2017 r. w sprawie sytuacji w zakresie praw człowieka i demokracji w Nikaragui – sprawa Franciski Ramirez (2017/2563(RSP))"/>
  </w:docVars>
  <w:rsids>
    <w:rsidRoot w:val="00BA7DAE"/>
    <w:rsid w:val="00002272"/>
    <w:rsid w:val="00041E79"/>
    <w:rsid w:val="000677B9"/>
    <w:rsid w:val="000E7DD9"/>
    <w:rsid w:val="0010095E"/>
    <w:rsid w:val="00125B37"/>
    <w:rsid w:val="00134794"/>
    <w:rsid w:val="002254E4"/>
    <w:rsid w:val="002767FF"/>
    <w:rsid w:val="002B5493"/>
    <w:rsid w:val="00361C00"/>
    <w:rsid w:val="00395FA1"/>
    <w:rsid w:val="003E15D4"/>
    <w:rsid w:val="00411CCE"/>
    <w:rsid w:val="0041666E"/>
    <w:rsid w:val="00421060"/>
    <w:rsid w:val="00494A28"/>
    <w:rsid w:val="0050519A"/>
    <w:rsid w:val="005072A1"/>
    <w:rsid w:val="00514517"/>
    <w:rsid w:val="006037C0"/>
    <w:rsid w:val="00680577"/>
    <w:rsid w:val="006867BB"/>
    <w:rsid w:val="006F74FA"/>
    <w:rsid w:val="00731ADD"/>
    <w:rsid w:val="00734777"/>
    <w:rsid w:val="00751A4A"/>
    <w:rsid w:val="00756632"/>
    <w:rsid w:val="007D1690"/>
    <w:rsid w:val="00865F67"/>
    <w:rsid w:val="00881A7B"/>
    <w:rsid w:val="008840E5"/>
    <w:rsid w:val="008C2AC6"/>
    <w:rsid w:val="009509D8"/>
    <w:rsid w:val="00981893"/>
    <w:rsid w:val="00A31167"/>
    <w:rsid w:val="00A4678D"/>
    <w:rsid w:val="00AF3B82"/>
    <w:rsid w:val="00B558F0"/>
    <w:rsid w:val="00BA7DAE"/>
    <w:rsid w:val="00BD7BD8"/>
    <w:rsid w:val="00C05BFE"/>
    <w:rsid w:val="00C23CD4"/>
    <w:rsid w:val="00C941CB"/>
    <w:rsid w:val="00CC2357"/>
    <w:rsid w:val="00D058B8"/>
    <w:rsid w:val="00D834A0"/>
    <w:rsid w:val="00D91E21"/>
    <w:rsid w:val="00E365E1"/>
    <w:rsid w:val="00EC1BDA"/>
    <w:rsid w:val="00ED4235"/>
    <w:rsid w:val="00F04346"/>
    <w:rsid w:val="00F075DC"/>
    <w:rsid w:val="00F5134D"/>
    <w:rsid w:val="00FD0C70"/>
    <w:rsid w:val="00FD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988BF89-7B94-4F18-867F-B0719CFD6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Footer">
    <w:name w:val="footer"/>
    <w:basedOn w:val="Normal"/>
    <w:rsid w:val="00395FA1"/>
    <w:pPr>
      <w:widowControl/>
      <w:tabs>
        <w:tab w:val="right" w:pos="9639"/>
      </w:tabs>
    </w:pPr>
    <w:rPr>
      <w:sz w:val="22"/>
      <w:lang w:val="fr-FR" w:eastAsia="fr-FR"/>
    </w:rPr>
  </w:style>
  <w:style w:type="paragraph" w:customStyle="1" w:styleId="Normal12a12b">
    <w:name w:val="Normal12a12b"/>
    <w:basedOn w:val="Normal"/>
    <w:pPr>
      <w:spacing w:before="240" w:after="240"/>
    </w:pPr>
  </w:style>
  <w:style w:type="paragraph" w:customStyle="1" w:styleId="Footer2">
    <w:name w:val="Footer2"/>
    <w:basedOn w:val="Normal"/>
    <w:pPr>
      <w:widowControl/>
      <w:tabs>
        <w:tab w:val="right" w:pos="9921"/>
      </w:tabs>
      <w:spacing w:after="240"/>
      <w:ind w:left="-850" w:right="-850"/>
    </w:pPr>
    <w:rPr>
      <w:rFonts w:ascii="Arial" w:hAnsi="Arial" w:cs="Arial"/>
      <w:b/>
      <w:sz w:val="48"/>
    </w:rPr>
  </w:style>
  <w:style w:type="paragraph" w:customStyle="1" w:styleId="Normal12">
    <w:name w:val="Normal12"/>
    <w:basedOn w:val="Normal"/>
    <w:pPr>
      <w:spacing w:after="240"/>
    </w:p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paragraph" w:styleId="TOCHeading">
    <w:name w:val="TOC Heading"/>
    <w:basedOn w:val="Normal12"/>
    <w:next w:val="Normal12"/>
    <w:qFormat/>
    <w:pPr>
      <w:keepNext/>
      <w:spacing w:before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12"/>
    <w:next w:val="TOC1"/>
    <w:pPr>
      <w:keepNext/>
      <w:jc w:val="right"/>
    </w:pPr>
    <w:rPr>
      <w:rFonts w:ascii="Arial" w:hAnsi="Arial"/>
      <w:b/>
    </w:rPr>
  </w:style>
  <w:style w:type="character" w:customStyle="1" w:styleId="HideTWBInt">
    <w:name w:val="HideTWBInt"/>
    <w:rPr>
      <w:vanish/>
      <w:color w:val="808080"/>
    </w:rPr>
  </w:style>
  <w:style w:type="paragraph" w:customStyle="1" w:styleId="TableofEntries">
    <w:name w:val="Table of Entries"/>
    <w:basedOn w:val="Normal12"/>
    <w:pPr>
      <w:widowControl/>
      <w:tabs>
        <w:tab w:val="right" w:leader="dot" w:pos="9072"/>
      </w:tabs>
      <w:jc w:val="both"/>
    </w:pPr>
  </w:style>
  <w:style w:type="paragraph" w:customStyle="1" w:styleId="Normal6">
    <w:name w:val="Normal6"/>
    <w:basedOn w:val="Normal"/>
    <w:pPr>
      <w:spacing w:after="120"/>
    </w:pPr>
  </w:style>
  <w:style w:type="paragraph" w:customStyle="1" w:styleId="PageHeading">
    <w:name w:val="PageHeading"/>
    <w:basedOn w:val="Normal12a12b"/>
    <w:pPr>
      <w:keepNext/>
      <w:jc w:val="center"/>
    </w:pPr>
    <w:rPr>
      <w:rFonts w:ascii="Arial" w:hAnsi="Arial"/>
      <w:b/>
    </w:rPr>
  </w:style>
  <w:style w:type="paragraph" w:customStyle="1" w:styleId="Normal12Bold">
    <w:name w:val="Normal12Bold"/>
    <w:basedOn w:val="Normal12"/>
    <w:rPr>
      <w:b/>
    </w:rPr>
  </w:style>
  <w:style w:type="paragraph" w:customStyle="1" w:styleId="Normal12Hanging">
    <w:name w:val="Normal12Hanging"/>
    <w:basedOn w:val="Normal12"/>
    <w:pPr>
      <w:ind w:left="567" w:hanging="567"/>
    </w:pPr>
  </w:style>
  <w:style w:type="paragraph" w:customStyle="1" w:styleId="CoverBold">
    <w:name w:val="CoverBold"/>
    <w:basedOn w:val="CoverNormal"/>
    <w:rsid w:val="00F04346"/>
    <w:rPr>
      <w:b/>
    </w:rPr>
  </w:style>
  <w:style w:type="paragraph" w:customStyle="1" w:styleId="Normal24">
    <w:name w:val="Normal24"/>
    <w:basedOn w:val="Normal"/>
    <w:pPr>
      <w:spacing w:after="480"/>
    </w:pPr>
  </w:style>
  <w:style w:type="paragraph" w:customStyle="1" w:styleId="Cover12">
    <w:name w:val="Cover12"/>
    <w:basedOn w:val="Normal12"/>
    <w:pPr>
      <w:ind w:left="1418"/>
    </w:pPr>
  </w:style>
  <w:style w:type="paragraph" w:customStyle="1" w:styleId="Cover24">
    <w:name w:val="Cover24"/>
    <w:basedOn w:val="Normal24"/>
    <w:pPr>
      <w:ind w:left="1418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ntPE">
    <w:name w:val="EntPE"/>
    <w:basedOn w:val="Normal12"/>
    <w:pPr>
      <w:jc w:val="center"/>
    </w:pPr>
    <w:rPr>
      <w:sz w:val="56"/>
    </w:rPr>
  </w:style>
  <w:style w:type="paragraph" w:customStyle="1" w:styleId="Normal36Bold">
    <w:name w:val="Normal36Bold"/>
    <w:basedOn w:val="Normal"/>
    <w:pPr>
      <w:spacing w:after="720"/>
    </w:pPr>
    <w:rPr>
      <w:b/>
    </w:rPr>
  </w:style>
  <w:style w:type="paragraph" w:customStyle="1" w:styleId="RefProc">
    <w:name w:val="RefProc"/>
    <w:basedOn w:val="Normal"/>
    <w:pPr>
      <w:jc w:val="right"/>
    </w:pPr>
    <w:rPr>
      <w:rFonts w:ascii="Arial" w:hAnsi="Arial"/>
      <w:b/>
      <w:caps/>
    </w:rPr>
  </w:style>
  <w:style w:type="paragraph" w:customStyle="1" w:styleId="RefStatus">
    <w:name w:val="RefStatus"/>
    <w:basedOn w:val="Normal"/>
    <w:pPr>
      <w:jc w:val="right"/>
    </w:pPr>
    <w:rPr>
      <w:rFonts w:ascii="Arial" w:hAnsi="Arial"/>
      <w:caps/>
    </w:rPr>
  </w:style>
  <w:style w:type="paragraph" w:customStyle="1" w:styleId="RefVer">
    <w:name w:val="RefVer"/>
    <w:basedOn w:val="Normal12"/>
    <w:pPr>
      <w:jc w:val="right"/>
    </w:pPr>
    <w:rPr>
      <w:rFonts w:ascii="Arial" w:hAnsi="Arial"/>
    </w:rPr>
  </w:style>
  <w:style w:type="paragraph" w:customStyle="1" w:styleId="Term">
    <w:name w:val="Term"/>
    <w:basedOn w:val="Normal"/>
    <w:pPr>
      <w:jc w:val="center"/>
    </w:pPr>
    <w:rPr>
      <w:i/>
      <w:sz w:val="28"/>
    </w:rPr>
  </w:style>
  <w:style w:type="paragraph" w:customStyle="1" w:styleId="Hanging12">
    <w:name w:val="Hanging12"/>
    <w:basedOn w:val="Normal12"/>
    <w:rsid w:val="00EC1BDA"/>
    <w:pPr>
      <w:tabs>
        <w:tab w:val="left" w:pos="357"/>
      </w:tabs>
      <w:ind w:left="357" w:hanging="357"/>
    </w:pPr>
    <w:rPr>
      <w:lang w:eastAsia="pl-PL" w:bidi="pl-PL"/>
    </w:rPr>
  </w:style>
  <w:style w:type="paragraph" w:customStyle="1" w:styleId="ZDateRes">
    <w:name w:val="ZDateRes"/>
    <w:basedOn w:val="Normal"/>
    <w:pPr>
      <w:tabs>
        <w:tab w:val="right" w:pos="9072"/>
      </w:tabs>
      <w:spacing w:before="1920" w:after="1200"/>
    </w:pPr>
  </w:style>
  <w:style w:type="paragraph" w:styleId="Header">
    <w:name w:val="header"/>
    <w:basedOn w:val="Normal"/>
    <w:rsid w:val="00395FA1"/>
    <w:pPr>
      <w:widowControl/>
      <w:tabs>
        <w:tab w:val="right" w:pos="9639"/>
      </w:tabs>
    </w:pPr>
    <w:rPr>
      <w:lang w:val="fr-FR" w:eastAsia="fr-FR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SessionDoc">
    <w:name w:val="ZSessionDoc"/>
    <w:basedOn w:val="Normal"/>
    <w:next w:val="Normal"/>
    <w:rsid w:val="00D058B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ZSessionDoc"/>
    <w:rsid w:val="00D058B8"/>
    <w:pPr>
      <w:pBdr>
        <w:top w:val="single" w:sz="4" w:space="1" w:color="auto"/>
      </w:pBdr>
      <w:jc w:val="center"/>
    </w:pPr>
    <w:rPr>
      <w:rFonts w:ascii="Arial" w:hAnsi="Arial"/>
      <w:sz w:val="16"/>
      <w:szCs w:val="16"/>
      <w:lang w:val="fr-FR"/>
    </w:rPr>
  </w:style>
  <w:style w:type="paragraph" w:customStyle="1" w:styleId="LineBottom">
    <w:name w:val="LineBottom"/>
    <w:basedOn w:val="Normal"/>
    <w:next w:val="Normal"/>
    <w:rsid w:val="00D058B8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PELeft">
    <w:name w:val="PELeft"/>
    <w:basedOn w:val="Normal"/>
    <w:rsid w:val="00D058B8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D058B8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Bold">
    <w:name w:val="NormalBold"/>
    <w:basedOn w:val="Normal"/>
    <w:rsid w:val="006037C0"/>
    <w:rPr>
      <w:b/>
    </w:rPr>
  </w:style>
  <w:style w:type="paragraph" w:customStyle="1" w:styleId="Normal24Bold">
    <w:name w:val="Normal24Bold"/>
    <w:basedOn w:val="Normal"/>
    <w:rsid w:val="006037C0"/>
    <w:pPr>
      <w:spacing w:after="480"/>
    </w:pPr>
    <w:rPr>
      <w:b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noProof/>
      <w:sz w:val="28"/>
      <w:lang w:val="fr-FR"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noProof/>
      <w:sz w:val="28"/>
      <w:lang w:val="fr-FR"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noProof/>
      <w:lang w:val="fr-FR" w:eastAsia="fr-FR"/>
    </w:rPr>
  </w:style>
  <w:style w:type="paragraph" w:customStyle="1" w:styleId="ATHeading4">
    <w:name w:val="AT Heading 4"/>
    <w:basedOn w:val="Normal"/>
    <w:next w:val="Normal"/>
    <w:rsid w:val="00395FA1"/>
    <w:pPr>
      <w:keepNext/>
      <w:keepLines/>
      <w:widowControl/>
      <w:spacing w:before="120" w:after="120"/>
    </w:pPr>
    <w:rPr>
      <w:b/>
      <w:i/>
      <w:noProof/>
      <w:lang w:val="fr-FR" w:eastAsia="fr-FR"/>
    </w:rPr>
  </w:style>
  <w:style w:type="paragraph" w:customStyle="1" w:styleId="ATHeading5">
    <w:name w:val="AT Heading 5"/>
    <w:basedOn w:val="Normal"/>
    <w:next w:val="Normal"/>
    <w:rsid w:val="00395FA1"/>
    <w:pPr>
      <w:keepNext/>
      <w:keepLines/>
      <w:widowControl/>
      <w:spacing w:before="120" w:after="120"/>
    </w:pPr>
    <w:rPr>
      <w:i/>
      <w:noProof/>
      <w:lang w:val="fr-FR" w:eastAsia="fr-FR"/>
    </w:rPr>
  </w:style>
  <w:style w:type="paragraph" w:customStyle="1" w:styleId="ATHeading6">
    <w:name w:val="AT Heading 6"/>
    <w:basedOn w:val="Normal"/>
    <w:next w:val="Normal"/>
    <w:rsid w:val="00395FA1"/>
    <w:pPr>
      <w:keepNext/>
      <w:keepLines/>
      <w:widowControl/>
      <w:spacing w:before="120" w:after="120"/>
    </w:pPr>
    <w:rPr>
      <w:smallCaps/>
      <w:noProof/>
      <w:lang w:val="fr-FR"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val="fr-FR" w:eastAsia="fr-FR"/>
    </w:rPr>
  </w:style>
  <w:style w:type="paragraph" w:customStyle="1" w:styleId="ATTOCTitle">
    <w:name w:val="AT TOC Title"/>
    <w:basedOn w:val="Normal"/>
    <w:rsid w:val="00395FA1"/>
    <w:pPr>
      <w:keepNext/>
      <w:keepLines/>
      <w:widowControl/>
      <w:spacing w:after="240"/>
      <w:jc w:val="center"/>
    </w:pPr>
    <w:rPr>
      <w:b/>
      <w:caps/>
      <w:sz w:val="28"/>
      <w:lang w:val="fr-FR"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395FA1"/>
    <w:rPr>
      <w:sz w:val="22"/>
    </w:rPr>
  </w:style>
  <w:style w:type="paragraph" w:customStyle="1" w:styleId="Numroamendement">
    <w:name w:val="Numéro amendement"/>
    <w:basedOn w:val="Normal"/>
    <w:next w:val="Normal"/>
    <w:rsid w:val="00395FA1"/>
    <w:pPr>
      <w:jc w:val="center"/>
    </w:pPr>
    <w:rPr>
      <w:snapToGrid w:val="0"/>
      <w:lang w:val="fr-FR" w:eastAsia="en-US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color w:val="000000"/>
      <w:sz w:val="32"/>
      <w:szCs w:val="22"/>
      <w:lang w:val="fr-FR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  <w:lang w:val="fr-FR"/>
    </w:rPr>
  </w:style>
  <w:style w:type="paragraph" w:customStyle="1" w:styleId="EPLogo">
    <w:name w:val="EPLogo"/>
    <w:basedOn w:val="Normal"/>
    <w:qFormat/>
    <w:rsid w:val="00751A4A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3E44896F</Template>
  <TotalTime>0</TotalTime>
  <Pages>4</Pages>
  <Words>1349</Words>
  <Characters>8736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>European Parliament</Company>
  <LinksUpToDate>false</LinksUpToDate>
  <CharactersWithSpaces>10065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IRONS Sara</cp:lastModifiedBy>
  <cp:revision>2</cp:revision>
  <cp:lastPrinted>2004-11-19T15:42:00Z</cp:lastPrinted>
  <dcterms:created xsi:type="dcterms:W3CDTF">2017-07-13T08:17:00Z</dcterms:created>
  <dcterms:modified xsi:type="dcterms:W3CDTF">2017-07-13T08:17:00Z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B8-0156/2017</vt:lpwstr>
  </property>
  <property fmtid="{D5CDD505-2E9C-101B-9397-08002B2CF9AE}" pid="4" name="&lt;Type&gt;">
    <vt:lpwstr>RR</vt:lpwstr>
  </property>
</Properties>
</file>