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2" w:type="dxa"/>
        <w:tblCellMar>
          <w:left w:w="0" w:type="dxa"/>
          <w:right w:w="0" w:type="dxa"/>
        </w:tblCellMar>
        <w:tblLook w:val="01E0" w:firstRow="1" w:lastRow="1" w:firstColumn="1" w:lastColumn="1" w:noHBand="0" w:noVBand="0"/>
      </w:tblPr>
      <w:tblGrid>
        <w:gridCol w:w="6804"/>
        <w:gridCol w:w="2268"/>
      </w:tblGrid>
      <w:tr w:rsidR="00751A4A" w:rsidRPr="00C813FE" w:rsidTr="0010095E">
        <w:trPr>
          <w:trHeight w:hRule="exact" w:val="1418"/>
        </w:trPr>
        <w:tc>
          <w:tcPr>
            <w:tcW w:w="6804" w:type="dxa"/>
            <w:shd w:val="clear" w:color="auto" w:fill="auto"/>
            <w:vAlign w:val="center"/>
          </w:tcPr>
          <w:p w:rsidR="00751A4A" w:rsidRPr="00C813FE" w:rsidRDefault="00AA03E8" w:rsidP="0010095E">
            <w:pPr>
              <w:pStyle w:val="EPName"/>
            </w:pPr>
            <w:r w:rsidRPr="00C813FE">
              <w:t>Evropský parlament</w:t>
            </w:r>
          </w:p>
          <w:p w:rsidR="00751A4A" w:rsidRPr="00C813FE" w:rsidRDefault="00817416" w:rsidP="00756632">
            <w:pPr>
              <w:pStyle w:val="EPTerm"/>
              <w:rPr>
                <w:rStyle w:val="HideTWBExt"/>
                <w:noProof w:val="0"/>
                <w:vanish w:val="0"/>
                <w:color w:val="auto"/>
              </w:rPr>
            </w:pPr>
            <w:r w:rsidRPr="00C813FE">
              <w:t>2019-2024</w:t>
            </w:r>
          </w:p>
        </w:tc>
        <w:tc>
          <w:tcPr>
            <w:tcW w:w="2268" w:type="dxa"/>
            <w:shd w:val="clear" w:color="auto" w:fill="auto"/>
          </w:tcPr>
          <w:p w:rsidR="00751A4A" w:rsidRPr="00C813FE" w:rsidRDefault="00187494" w:rsidP="0010095E">
            <w:pPr>
              <w:pStyle w:val="EPLogo"/>
            </w:pPr>
            <w:r w:rsidRPr="00C813FE">
              <w:rPr>
                <w:noProof/>
                <w:lang w:val="en-GB"/>
              </w:rPr>
              <w:drawing>
                <wp:inline distT="0" distB="0" distL="0" distR="0">
                  <wp:extent cx="1158875" cy="652145"/>
                  <wp:effectExtent l="0" t="0" r="0" b="0"/>
                  <wp:docPr id="1" name="Picture 1" descr="EP logo RGB_Mu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P logo RGB_Mu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58875" cy="652145"/>
                          </a:xfrm>
                          <a:prstGeom prst="rect">
                            <a:avLst/>
                          </a:prstGeom>
                          <a:noFill/>
                          <a:ln>
                            <a:noFill/>
                          </a:ln>
                        </pic:spPr>
                      </pic:pic>
                    </a:graphicData>
                  </a:graphic>
                </wp:inline>
              </w:drawing>
            </w:r>
          </w:p>
        </w:tc>
      </w:tr>
    </w:tbl>
    <w:p w:rsidR="00D058B8" w:rsidRPr="00C813FE" w:rsidRDefault="00D058B8" w:rsidP="004C5D52">
      <w:pPr>
        <w:pStyle w:val="LineTop"/>
      </w:pPr>
    </w:p>
    <w:p w:rsidR="00680577" w:rsidRPr="00C813FE" w:rsidRDefault="00AA03E8" w:rsidP="00680577">
      <w:pPr>
        <w:pStyle w:val="EPBodyTA1"/>
      </w:pPr>
      <w:r w:rsidRPr="00C813FE">
        <w:t>PŘIJATÉ TEXTY</w:t>
      </w:r>
    </w:p>
    <w:p w:rsidR="00D058B8" w:rsidRPr="00C813FE" w:rsidRDefault="00D058B8" w:rsidP="00D058B8">
      <w:pPr>
        <w:pStyle w:val="LineBottom"/>
      </w:pPr>
    </w:p>
    <w:p w:rsidR="00AA03E8" w:rsidRPr="00C813FE" w:rsidRDefault="00AA03E8" w:rsidP="00AA03E8">
      <w:pPr>
        <w:pStyle w:val="ATHeading1"/>
      </w:pPr>
      <w:bookmarkStart w:id="0" w:name="TANumber"/>
      <w:r w:rsidRPr="00C813FE">
        <w:t>P9_TA(2023)0</w:t>
      </w:r>
      <w:r w:rsidR="00B74A9E" w:rsidRPr="00C813FE">
        <w:t>239</w:t>
      </w:r>
      <w:bookmarkEnd w:id="0"/>
    </w:p>
    <w:p w:rsidR="00AA03E8" w:rsidRPr="00C813FE" w:rsidRDefault="00AA03E8" w:rsidP="00AA03E8">
      <w:pPr>
        <w:pStyle w:val="ATHeading2"/>
      </w:pPr>
      <w:bookmarkStart w:id="1" w:name="title"/>
      <w:r w:rsidRPr="00C813FE">
        <w:t>Kvalitní stáže v Unii</w:t>
      </w:r>
      <w:bookmarkEnd w:id="1"/>
    </w:p>
    <w:p w:rsidR="00AA03E8" w:rsidRPr="00C813FE" w:rsidRDefault="00AA03E8" w:rsidP="00AA03E8">
      <w:pPr>
        <w:rPr>
          <w:i/>
          <w:vanish/>
        </w:rPr>
      </w:pPr>
      <w:r w:rsidRPr="00C813FE">
        <w:rPr>
          <w:i/>
        </w:rPr>
        <w:fldChar w:fldCharType="begin"/>
      </w:r>
      <w:r w:rsidRPr="00C813FE">
        <w:rPr>
          <w:i/>
        </w:rPr>
        <w:instrText xml:space="preserve"> TC"(</w:instrText>
      </w:r>
      <w:bookmarkStart w:id="2" w:name="DocNumber"/>
      <w:r w:rsidRPr="00C813FE">
        <w:rPr>
          <w:i/>
        </w:rPr>
        <w:instrText>A9-0186/2023</w:instrText>
      </w:r>
      <w:bookmarkEnd w:id="2"/>
      <w:r w:rsidRPr="00C813FE">
        <w:rPr>
          <w:i/>
        </w:rPr>
        <w:instrText xml:space="preserve"> - Zpravodajka: Monica Semedo)"\l3 \n&gt; \* MERGEFORMAT </w:instrText>
      </w:r>
      <w:r w:rsidRPr="00C813FE">
        <w:rPr>
          <w:i/>
        </w:rPr>
        <w:fldChar w:fldCharType="end"/>
      </w:r>
    </w:p>
    <w:p w:rsidR="00AA03E8" w:rsidRPr="00C813FE" w:rsidRDefault="00AA03E8" w:rsidP="00AA03E8">
      <w:pPr>
        <w:rPr>
          <w:vanish/>
        </w:rPr>
      </w:pPr>
      <w:bookmarkStart w:id="3" w:name="Commission"/>
      <w:r w:rsidRPr="00C813FE">
        <w:rPr>
          <w:vanish/>
        </w:rPr>
        <w:t>Výbor pro zaměstnanost a sociální věci</w:t>
      </w:r>
      <w:bookmarkEnd w:id="3"/>
    </w:p>
    <w:p w:rsidR="00AA03E8" w:rsidRPr="00C813FE" w:rsidRDefault="00AA03E8" w:rsidP="00AA03E8">
      <w:pPr>
        <w:rPr>
          <w:vanish/>
        </w:rPr>
      </w:pPr>
      <w:bookmarkStart w:id="4" w:name="PE"/>
      <w:r w:rsidRPr="00C813FE">
        <w:rPr>
          <w:vanish/>
        </w:rPr>
        <w:t>PE739.586</w:t>
      </w:r>
      <w:bookmarkEnd w:id="4"/>
    </w:p>
    <w:p w:rsidR="00AA03E8" w:rsidRPr="00C813FE" w:rsidRDefault="00AA03E8" w:rsidP="00AA03E8">
      <w:pPr>
        <w:pStyle w:val="ATHeading3"/>
      </w:pPr>
      <w:bookmarkStart w:id="5" w:name="Sujet"/>
      <w:r w:rsidRPr="00C813FE">
        <w:t xml:space="preserve">Usnesení </w:t>
      </w:r>
      <w:r w:rsidR="00DD020E" w:rsidRPr="00C813FE">
        <w:t xml:space="preserve">Evropského parlamentu ze dne </w:t>
      </w:r>
      <w:r w:rsidR="00AE4EE0" w:rsidRPr="00C813FE">
        <w:t>14</w:t>
      </w:r>
      <w:r w:rsidR="00DD020E" w:rsidRPr="00C813FE">
        <w:t>. června</w:t>
      </w:r>
      <w:r w:rsidRPr="00C813FE">
        <w:t xml:space="preserve"> 2023 obsahující doporučení Komisi o kvalitních stážích v Unii</w:t>
      </w:r>
      <w:bookmarkEnd w:id="5"/>
      <w:r w:rsidRPr="00C813FE">
        <w:t xml:space="preserve"> </w:t>
      </w:r>
      <w:bookmarkStart w:id="6" w:name="References"/>
      <w:r w:rsidRPr="00C813FE">
        <w:t>(2020/2005(INL))</w:t>
      </w:r>
      <w:bookmarkEnd w:id="6"/>
    </w:p>
    <w:p w:rsidR="00DF4529" w:rsidRPr="00C813FE" w:rsidRDefault="00DF4529" w:rsidP="00DF4529">
      <w:pPr>
        <w:pStyle w:val="EPComma"/>
      </w:pPr>
      <w:bookmarkStart w:id="7" w:name="TextBodyBegin"/>
      <w:bookmarkEnd w:id="7"/>
      <w:r w:rsidRPr="00C813FE">
        <w:rPr>
          <w:i/>
        </w:rPr>
        <w:t>Evropský parlament</w:t>
      </w:r>
      <w:r w:rsidRPr="00C813FE">
        <w:t>,</w:t>
      </w:r>
    </w:p>
    <w:p w:rsidR="00DF4529" w:rsidRPr="00C813FE" w:rsidRDefault="00DF4529" w:rsidP="00DF4529">
      <w:pPr>
        <w:pStyle w:val="NormalHanging12a"/>
      </w:pPr>
      <w:bookmarkStart w:id="8" w:name="_Toc135813240"/>
      <w:r w:rsidRPr="00C813FE">
        <w:t>–</w:t>
      </w:r>
      <w:r w:rsidRPr="00C813FE">
        <w:tab/>
        <w:t>s ohledem na článek 225 Smlouvy o fungování Evropské unie</w:t>
      </w:r>
      <w:r w:rsidR="004807E5" w:rsidRPr="00C813FE">
        <w:t xml:space="preserve"> </w:t>
      </w:r>
      <w:r w:rsidR="00AE4EE0" w:rsidRPr="00C813FE">
        <w:t>(dále jen „</w:t>
      </w:r>
      <w:r w:rsidR="00AE4EE0" w:rsidRPr="00C813FE">
        <w:rPr>
          <w:snapToGrid w:val="0"/>
        </w:rPr>
        <w:t>Smlouva o fungování EU“</w:t>
      </w:r>
      <w:r w:rsidR="00AE4EE0" w:rsidRPr="00C813FE">
        <w:t>)</w:t>
      </w:r>
      <w:r w:rsidRPr="00C813FE">
        <w:t>,</w:t>
      </w:r>
    </w:p>
    <w:p w:rsidR="00DF4529" w:rsidRPr="00C813FE" w:rsidRDefault="00DF4529" w:rsidP="00DF4529">
      <w:pPr>
        <w:pStyle w:val="NormalHanging12a"/>
        <w:rPr>
          <w:snapToGrid w:val="0"/>
        </w:rPr>
      </w:pPr>
      <w:r w:rsidRPr="00C813FE">
        <w:t>–</w:t>
      </w:r>
      <w:r w:rsidRPr="00C813FE">
        <w:tab/>
        <w:t xml:space="preserve">s ohledem na </w:t>
      </w:r>
      <w:r w:rsidRPr="00C813FE">
        <w:rPr>
          <w:snapToGrid w:val="0"/>
        </w:rPr>
        <w:t xml:space="preserve">článek 292 </w:t>
      </w:r>
      <w:r w:rsidR="00001C9E" w:rsidRPr="00C813FE">
        <w:rPr>
          <w:snapToGrid w:val="0"/>
        </w:rPr>
        <w:t>Smlouvy o fungování E</w:t>
      </w:r>
      <w:r w:rsidR="00AE4EE0" w:rsidRPr="00C813FE">
        <w:rPr>
          <w:snapToGrid w:val="0"/>
        </w:rPr>
        <w:t>U</w:t>
      </w:r>
      <w:r w:rsidR="00001C9E" w:rsidRPr="00C813FE">
        <w:rPr>
          <w:snapToGrid w:val="0"/>
        </w:rPr>
        <w:t xml:space="preserve"> </w:t>
      </w:r>
      <w:r w:rsidRPr="00C813FE">
        <w:rPr>
          <w:snapToGrid w:val="0"/>
        </w:rPr>
        <w:t xml:space="preserve"> </w:t>
      </w:r>
      <w:r w:rsidRPr="00C813FE">
        <w:rPr>
          <w:shd w:val="clear" w:color="auto" w:fill="FFFFFF"/>
        </w:rPr>
        <w:t xml:space="preserve">ve spojení s články 153 a 166 </w:t>
      </w:r>
      <w:r w:rsidR="00001C9E" w:rsidRPr="00C813FE">
        <w:rPr>
          <w:shd w:val="clear" w:color="auto" w:fill="FFFFFF"/>
        </w:rPr>
        <w:t>Smlouvy o fungování E</w:t>
      </w:r>
      <w:r w:rsidR="00AE4EE0" w:rsidRPr="00C813FE">
        <w:rPr>
          <w:shd w:val="clear" w:color="auto" w:fill="FFFFFF"/>
        </w:rPr>
        <w:t>U</w:t>
      </w:r>
      <w:r w:rsidRPr="00C813FE">
        <w:rPr>
          <w:shd w:val="clear" w:color="auto" w:fill="FFFFFF"/>
        </w:rPr>
        <w:t>,</w:t>
      </w:r>
    </w:p>
    <w:p w:rsidR="00DF4529" w:rsidRPr="00C813FE" w:rsidRDefault="00DF4529" w:rsidP="00DF4529">
      <w:pPr>
        <w:pStyle w:val="NormalHanging12a"/>
      </w:pPr>
      <w:r w:rsidRPr="00C813FE">
        <w:t>–</w:t>
      </w:r>
      <w:r w:rsidRPr="00C813FE">
        <w:tab/>
        <w:t xml:space="preserve">s ohledem na čl. </w:t>
      </w:r>
      <w:r w:rsidRPr="00C813FE">
        <w:rPr>
          <w:snapToGrid w:val="0"/>
        </w:rPr>
        <w:t xml:space="preserve">153 odst. 2 písm. b) </w:t>
      </w:r>
      <w:r w:rsidR="00001C9E" w:rsidRPr="00C813FE">
        <w:rPr>
          <w:snapToGrid w:val="0"/>
        </w:rPr>
        <w:t>Smlouvy o fungování E</w:t>
      </w:r>
      <w:r w:rsidR="00AE4EE0" w:rsidRPr="00C813FE">
        <w:rPr>
          <w:snapToGrid w:val="0"/>
        </w:rPr>
        <w:t>U</w:t>
      </w:r>
      <w:r w:rsidR="00001C9E" w:rsidRPr="00C813FE">
        <w:rPr>
          <w:snapToGrid w:val="0"/>
        </w:rPr>
        <w:t xml:space="preserve"> </w:t>
      </w:r>
      <w:r w:rsidRPr="00C813FE">
        <w:rPr>
          <w:snapToGrid w:val="0"/>
        </w:rPr>
        <w:t xml:space="preserve"> ve spojení s čl. 153 odst. 1 písm. b) </w:t>
      </w:r>
      <w:r w:rsidR="00001C9E" w:rsidRPr="00C813FE">
        <w:rPr>
          <w:snapToGrid w:val="0"/>
        </w:rPr>
        <w:t>Smlouvy o fungování E</w:t>
      </w:r>
      <w:r w:rsidR="00AE4EE0" w:rsidRPr="00C813FE">
        <w:rPr>
          <w:snapToGrid w:val="0"/>
        </w:rPr>
        <w:t>U</w:t>
      </w:r>
      <w:r w:rsidRPr="00C813FE">
        <w:rPr>
          <w:snapToGrid w:val="0"/>
        </w:rPr>
        <w:t>,</w:t>
      </w:r>
    </w:p>
    <w:p w:rsidR="00DF4529" w:rsidRPr="00C813FE" w:rsidRDefault="00DF4529" w:rsidP="00DF4529">
      <w:pPr>
        <w:pStyle w:val="NormalHanging12a"/>
      </w:pPr>
      <w:r w:rsidRPr="00C813FE">
        <w:t>–</w:t>
      </w:r>
      <w:r w:rsidRPr="00C813FE">
        <w:tab/>
        <w:t>s ohledem na doporučení Rady ze dne 10. března 2014 k rámci kvality stáží</w:t>
      </w:r>
      <w:r w:rsidRPr="00C813FE">
        <w:rPr>
          <w:rStyle w:val="FootnoteReference"/>
        </w:rPr>
        <w:footnoteReference w:id="1"/>
      </w:r>
      <w:r w:rsidR="00001C9E" w:rsidRPr="00C813FE">
        <w:t xml:space="preserve"> (</w:t>
      </w:r>
      <w:r w:rsidR="00AE4EE0" w:rsidRPr="00C813FE">
        <w:t>dále jen „d</w:t>
      </w:r>
      <w:r w:rsidR="00001C9E" w:rsidRPr="00C813FE">
        <w:t>oporučení Rady</w:t>
      </w:r>
      <w:r w:rsidRPr="00C813FE">
        <w:t xml:space="preserve"> </w:t>
      </w:r>
      <w:r w:rsidR="00001C9E" w:rsidRPr="00C813FE">
        <w:t>z </w:t>
      </w:r>
      <w:r w:rsidR="00AE4EE0" w:rsidRPr="00C813FE">
        <w:t>roku</w:t>
      </w:r>
      <w:r w:rsidR="00001C9E" w:rsidRPr="00C813FE">
        <w:t xml:space="preserve"> 2014</w:t>
      </w:r>
      <w:r w:rsidR="00AE4EE0" w:rsidRPr="00C813FE">
        <w:t>“</w:t>
      </w:r>
      <w:r w:rsidR="00001C9E" w:rsidRPr="00C813FE">
        <w:t>),</w:t>
      </w:r>
    </w:p>
    <w:p w:rsidR="00DF4529" w:rsidRPr="00C813FE" w:rsidRDefault="00DF4529" w:rsidP="00DF4529">
      <w:pPr>
        <w:pStyle w:val="NormalHanging12a"/>
      </w:pPr>
      <w:r w:rsidRPr="00C813FE">
        <w:t>–</w:t>
      </w:r>
      <w:r w:rsidRPr="00C813FE">
        <w:tab/>
        <w:t>s ohledem na věcnou souhrnnou zprávu Komise ze dne 3. srpna 2022 o veřejné online konzultaci na podporu hodnocení doporučení Rady z roku 2014 k rámci pro kvalitu stáží</w:t>
      </w:r>
      <w:r w:rsidRPr="00C813FE">
        <w:rPr>
          <w:rStyle w:val="FootnoteReference"/>
        </w:rPr>
        <w:footnoteReference w:id="2"/>
      </w:r>
      <w:r w:rsidRPr="00C813FE">
        <w:t>,</w:t>
      </w:r>
    </w:p>
    <w:p w:rsidR="00DF4529" w:rsidRPr="00C813FE" w:rsidRDefault="00DF4529" w:rsidP="00DF4529">
      <w:pPr>
        <w:pStyle w:val="NormalHanging12a"/>
      </w:pPr>
      <w:r w:rsidRPr="00C813FE">
        <w:t>–</w:t>
      </w:r>
      <w:r w:rsidRPr="00C813FE">
        <w:tab/>
        <w:t xml:space="preserve">s ohledem na zprávu nadace </w:t>
      </w:r>
      <w:proofErr w:type="spellStart"/>
      <w:r w:rsidRPr="00C813FE">
        <w:t>Eurofound</w:t>
      </w:r>
      <w:proofErr w:type="spellEnd"/>
      <w:r w:rsidRPr="00C813FE">
        <w:t xml:space="preserve"> ze dne 27. července 2017 nazvanou „Podvodné uzavírání pracovních smluv: zneužívání statutu stáže (Rakousko, Finsko, Španělsko a Spojené království)“</w:t>
      </w:r>
      <w:r w:rsidRPr="00C813FE">
        <w:rPr>
          <w:rStyle w:val="FootnoteReference"/>
        </w:rPr>
        <w:footnoteReference w:id="3"/>
      </w:r>
      <w:r w:rsidRPr="00C813FE">
        <w:t xml:space="preserve">, </w:t>
      </w:r>
    </w:p>
    <w:p w:rsidR="00DF4529" w:rsidRPr="00C813FE" w:rsidRDefault="00DF4529" w:rsidP="00DF4529">
      <w:pPr>
        <w:pStyle w:val="NormalHanging12a"/>
      </w:pPr>
      <w:r w:rsidRPr="00C813FE">
        <w:t>–</w:t>
      </w:r>
      <w:r w:rsidRPr="00C813FE">
        <w:tab/>
        <w:t>s ohledem na zprávu Komise z října 2018 nazvanou „Stáže v rámci systému záruk pro mladé lidi – zkušenosti z praxe“</w:t>
      </w:r>
      <w:r w:rsidRPr="00C813FE">
        <w:rPr>
          <w:rStyle w:val="FootnoteReference"/>
        </w:rPr>
        <w:footnoteReference w:id="4"/>
      </w:r>
      <w:r w:rsidRPr="00C813FE">
        <w:t>,</w:t>
      </w:r>
    </w:p>
    <w:p w:rsidR="00DF4529" w:rsidRPr="00C813FE" w:rsidRDefault="00DF4529" w:rsidP="00DF4529">
      <w:pPr>
        <w:pStyle w:val="NormalHanging12a"/>
      </w:pPr>
      <w:r w:rsidRPr="00C813FE">
        <w:lastRenderedPageBreak/>
        <w:t>–</w:t>
      </w:r>
      <w:r w:rsidRPr="00C813FE">
        <w:tab/>
        <w:t>s ohledem na sdělení Komise ze dne 4. října 2016 nazvané „Záruky pro mladé lidi a Iniciativa na podporu zaměstnanosti mladých lidí po třech letech“ (</w:t>
      </w:r>
      <w:proofErr w:type="gramStart"/>
      <w:r w:rsidRPr="00C813FE">
        <w:t>COM(2016</w:t>
      </w:r>
      <w:proofErr w:type="gramEnd"/>
      <w:r w:rsidRPr="00C813FE">
        <w:t xml:space="preserve">)0646), </w:t>
      </w:r>
    </w:p>
    <w:p w:rsidR="00DF4529" w:rsidRPr="00C813FE" w:rsidRDefault="00DF4529" w:rsidP="00DF4529">
      <w:pPr>
        <w:pStyle w:val="NormalHanging12a"/>
      </w:pPr>
      <w:r w:rsidRPr="00C813FE">
        <w:t>–</w:t>
      </w:r>
      <w:r w:rsidRPr="00C813FE">
        <w:tab/>
        <w:t xml:space="preserve">s ohledem na pracovní dokument útvarů Komise ze dne 4. října 2016 nazvaný „Uplatňování rámce pro kvalitu stáží“ (SWD(2016)0324), </w:t>
      </w:r>
    </w:p>
    <w:p w:rsidR="00DF4529" w:rsidRPr="00C813FE" w:rsidRDefault="00DF4529" w:rsidP="00DF4529">
      <w:pPr>
        <w:pStyle w:val="NormalHanging12a"/>
      </w:pPr>
      <w:r w:rsidRPr="00C813FE">
        <w:t>–</w:t>
      </w:r>
      <w:r w:rsidRPr="00C813FE">
        <w:tab/>
        <w:t>s ohledem na doporučení Rady ze dne 30. října 2020 o mostu k pracovním místům – posílení záruk pro mladé lidi a o nahrazení doporučení Rady ze dne 22. dubna 2013 o zavedení záruk pro mladé lidi</w:t>
      </w:r>
      <w:r w:rsidRPr="00C813FE">
        <w:rPr>
          <w:rStyle w:val="FootnoteReference"/>
        </w:rPr>
        <w:footnoteReference w:id="5"/>
      </w:r>
      <w:r w:rsidRPr="00C813FE">
        <w:t>,</w:t>
      </w:r>
    </w:p>
    <w:p w:rsidR="00DF4529" w:rsidRPr="00C813FE" w:rsidRDefault="00DF4529" w:rsidP="00DF4529">
      <w:pPr>
        <w:pStyle w:val="NormalHanging12a"/>
        <w:rPr>
          <w:szCs w:val="24"/>
        </w:rPr>
      </w:pPr>
      <w:r w:rsidRPr="00C813FE">
        <w:t>–</w:t>
      </w:r>
      <w:r w:rsidRPr="00C813FE">
        <w:tab/>
        <w:t xml:space="preserve">s ohledem na </w:t>
      </w:r>
      <w:r w:rsidR="00001C9E" w:rsidRPr="00C813FE">
        <w:t xml:space="preserve">své </w:t>
      </w:r>
      <w:r w:rsidR="008D44C1">
        <w:t xml:space="preserve">usnesení </w:t>
      </w:r>
      <w:r w:rsidRPr="00C813FE">
        <w:t>ze dne 8. října 2020 o posílení záruk pro mladé lidi</w:t>
      </w:r>
      <w:r w:rsidR="00001C9E" w:rsidRPr="00C813FE">
        <w:rPr>
          <w:rStyle w:val="FootnoteReference"/>
        </w:rPr>
        <w:footnoteReference w:id="6"/>
      </w:r>
      <w:r w:rsidRPr="00C813FE">
        <w:t>,</w:t>
      </w:r>
    </w:p>
    <w:p w:rsidR="00DF4529" w:rsidRPr="00C813FE" w:rsidRDefault="00DF4529" w:rsidP="00DF4529">
      <w:pPr>
        <w:pStyle w:val="NormalHanging12a"/>
        <w:rPr>
          <w:szCs w:val="24"/>
        </w:rPr>
      </w:pPr>
      <w:r w:rsidRPr="00C813FE">
        <w:t>–</w:t>
      </w:r>
      <w:r w:rsidRPr="00C813FE">
        <w:tab/>
        <w:t xml:space="preserve">s ohledem na </w:t>
      </w:r>
      <w:r w:rsidR="00001C9E" w:rsidRPr="00C813FE">
        <w:t xml:space="preserve">své </w:t>
      </w:r>
      <w:r w:rsidRPr="00C813FE">
        <w:t>usnesení ze dne 17. prosince 2020 o silné sociální Evropě pro spravedlivou transformaci</w:t>
      </w:r>
      <w:r w:rsidR="00001C9E" w:rsidRPr="00C813FE">
        <w:rPr>
          <w:rStyle w:val="FootnoteReference"/>
        </w:rPr>
        <w:footnoteReference w:id="7"/>
      </w:r>
      <w:r w:rsidRPr="00C813FE">
        <w:t>,</w:t>
      </w:r>
    </w:p>
    <w:p w:rsidR="00DF4529" w:rsidRPr="00C813FE" w:rsidRDefault="00DF4529" w:rsidP="00DF4529">
      <w:pPr>
        <w:pStyle w:val="NormalHanging12a"/>
        <w:rPr>
          <w:szCs w:val="24"/>
        </w:rPr>
      </w:pPr>
      <w:r w:rsidRPr="00C813FE">
        <w:t>–</w:t>
      </w:r>
      <w:r w:rsidRPr="00C813FE">
        <w:tab/>
        <w:t xml:space="preserve">s ohledem na </w:t>
      </w:r>
      <w:r w:rsidR="00001C9E" w:rsidRPr="00C813FE">
        <w:t xml:space="preserve">své </w:t>
      </w:r>
      <w:r w:rsidRPr="00C813FE">
        <w:t>usnesení ze dne 17. února 2022 o posílení postavení evropské mládeže: zaměstnanost a sociální oživení po pandemii</w:t>
      </w:r>
      <w:r w:rsidR="00001C9E" w:rsidRPr="00C813FE">
        <w:rPr>
          <w:rStyle w:val="FootnoteReference"/>
        </w:rPr>
        <w:footnoteReference w:id="8"/>
      </w:r>
      <w:r w:rsidRPr="00C813FE">
        <w:t>,</w:t>
      </w:r>
    </w:p>
    <w:p w:rsidR="00DF4529" w:rsidRPr="00C813FE" w:rsidRDefault="00DF4529" w:rsidP="00DF4529">
      <w:pPr>
        <w:pStyle w:val="NormalHanging12a"/>
        <w:rPr>
          <w:szCs w:val="24"/>
        </w:rPr>
      </w:pPr>
      <w:r w:rsidRPr="00C813FE">
        <w:t>–</w:t>
      </w:r>
      <w:r w:rsidRPr="00C813FE">
        <w:tab/>
        <w:t xml:space="preserve">s ohledem na </w:t>
      </w:r>
      <w:r w:rsidR="00001C9E" w:rsidRPr="00C813FE">
        <w:t xml:space="preserve">své </w:t>
      </w:r>
      <w:r w:rsidRPr="00C813FE">
        <w:t>usnesení ze dne 24. listopadu 2022 o odkazu Evropského roku mládeže 2022</w:t>
      </w:r>
      <w:r w:rsidR="00001C9E" w:rsidRPr="00C813FE">
        <w:rPr>
          <w:rStyle w:val="FootnoteReference"/>
        </w:rPr>
        <w:footnoteReference w:id="9"/>
      </w:r>
      <w:r w:rsidRPr="00C813FE">
        <w:t>,</w:t>
      </w:r>
    </w:p>
    <w:p w:rsidR="00DF4529" w:rsidRPr="00C813FE" w:rsidRDefault="00DF4529" w:rsidP="00DF4529">
      <w:pPr>
        <w:pStyle w:val="NormalHanging12a"/>
        <w:rPr>
          <w:szCs w:val="24"/>
        </w:rPr>
      </w:pPr>
      <w:r w:rsidRPr="00C813FE">
        <w:t>–</w:t>
      </w:r>
      <w:r w:rsidRPr="00C813FE">
        <w:tab/>
        <w:t>s ohledem na evropský pilíř sociálních práv vyhlášený Evropským parlamentem, Radou a Komisí dne 17. listopadu 2017 na summitu v Göteborgu, zejména jeho zásady č. 1 a 4, akční plán pro evropský pilíř sociálních práv a prohlášení ze sociálního summitu v Portu v roce 2021, které se zavazují usilovat o sociální Evropu a posilovat sociální soudržnost,</w:t>
      </w:r>
    </w:p>
    <w:p w:rsidR="00DF4529" w:rsidRPr="00C813FE" w:rsidRDefault="00DF4529" w:rsidP="00DF4529">
      <w:pPr>
        <w:pStyle w:val="NormalHanging12a"/>
        <w:rPr>
          <w:szCs w:val="24"/>
        </w:rPr>
      </w:pPr>
      <w:r w:rsidRPr="00C813FE">
        <w:t>–</w:t>
      </w:r>
      <w:r w:rsidRPr="00C813FE">
        <w:tab/>
        <w:t>s ohledem na výsledný dokument Konference o budoucnosti Evropy ze dne 30. listopadu 2022 přijatý v rámci Evropského roku mládeže, zejména na opatření č. 5 návrhu 47 vyzývající k „zajištění toho, aby stáže a pracovní místa mladých lidí splňovaly normy kvality, včetně odměňování, ukončení minimálních mezd mladých lidí a jakýchkoli dalších diskriminačních ustanovení pracovního práva specifických pro mladé lidi, jakož i zákazu neplacených stáží na trhu práce a mimo formální vzdělávání prostřednictvím právního nástroje“,</w:t>
      </w:r>
    </w:p>
    <w:p w:rsidR="00DF4529" w:rsidRPr="00C813FE" w:rsidRDefault="00DF4529" w:rsidP="00DF4529">
      <w:pPr>
        <w:pStyle w:val="NormalHanging12a"/>
        <w:rPr>
          <w:szCs w:val="24"/>
        </w:rPr>
      </w:pPr>
      <w:r w:rsidRPr="00C813FE">
        <w:t>–</w:t>
      </w:r>
      <w:r w:rsidRPr="00C813FE">
        <w:tab/>
        <w:t>s ohledem na hodno</w:t>
      </w:r>
      <w:r w:rsidR="00CA5A2F" w:rsidRPr="00C813FE">
        <w:t>cení</w:t>
      </w:r>
      <w:r w:rsidRPr="00C813FE">
        <w:t xml:space="preserve"> Komise ze dne 10. ledna 2023 o doporučení Rady o rámci pro kvalitu stáží,</w:t>
      </w:r>
    </w:p>
    <w:p w:rsidR="00DF4529" w:rsidRPr="00C813FE" w:rsidRDefault="00DF4529" w:rsidP="00DF4529">
      <w:pPr>
        <w:pStyle w:val="NormalHanging12a"/>
        <w:rPr>
          <w:szCs w:val="24"/>
        </w:rPr>
      </w:pPr>
      <w:r w:rsidRPr="00C813FE">
        <w:t>–</w:t>
      </w:r>
      <w:r w:rsidRPr="00C813FE">
        <w:tab/>
        <w:t>s ohledem na Mezinárodní pakt o hospodářských, sociálních a kulturních právech, jehož smluvní stranou jsou všechny členské státy EU, zejména na jeho čl. 7 písm. a) bod i) o spravedlivých mzdách a stejné odměně za práci stejné hodnoty, čl. 7 písm. c) o rovných příležitostech pro všechny a článek 9 o právu na sociální zabezpečení pro všechny,</w:t>
      </w:r>
    </w:p>
    <w:p w:rsidR="00DF4529" w:rsidRPr="00C813FE" w:rsidRDefault="00DF4529" w:rsidP="00DF4529">
      <w:pPr>
        <w:pStyle w:val="NormalHanging12a"/>
      </w:pPr>
      <w:r w:rsidRPr="00C813FE">
        <w:t>–</w:t>
      </w:r>
      <w:r w:rsidRPr="00C813FE">
        <w:tab/>
        <w:t xml:space="preserve">s ohledem na nařízení Evropského parlamentu a Rady (EU) 2019/1700 ze dne 10. října 2019, kterým se zavádí společný rámec pro evropské statistiky týkající se osob a domácností založené na individuálních údajích sbíraných na základě výběrových souborů, mění nařízení Evropského parlamentu a Rady (ES) č. 808/2004, (ES) č. 452/2008 a (ES) č. 1338/2008 a zrušuje nařízení Evropského parlamentu a Rady (ES) č. </w:t>
      </w:r>
      <w:r w:rsidRPr="00C813FE">
        <w:lastRenderedPageBreak/>
        <w:t>1177/2003 a nařízení Rady (ES) č. 577/98</w:t>
      </w:r>
      <w:r w:rsidRPr="00C813FE">
        <w:rPr>
          <w:rStyle w:val="FootnoteReference"/>
        </w:rPr>
        <w:footnoteReference w:id="10"/>
      </w:r>
      <w:r w:rsidRPr="00C813FE">
        <w:t>,</w:t>
      </w:r>
    </w:p>
    <w:p w:rsidR="00DF4529" w:rsidRPr="00C813FE" w:rsidRDefault="00DF4529" w:rsidP="00DF4529">
      <w:pPr>
        <w:pStyle w:val="NormalHanging12a"/>
        <w:rPr>
          <w:szCs w:val="24"/>
        </w:rPr>
      </w:pPr>
      <w:r w:rsidRPr="00C813FE">
        <w:t>–</w:t>
      </w:r>
      <w:r w:rsidRPr="00C813FE">
        <w:tab/>
        <w:t>s ohledem na Strategii pro práva osob se zdravotním postižením na období 2021–2030,</w:t>
      </w:r>
    </w:p>
    <w:p w:rsidR="00DF4529" w:rsidRPr="00C813FE" w:rsidRDefault="00DF4529" w:rsidP="00DF4529">
      <w:pPr>
        <w:pStyle w:val="NormalHanging12a"/>
        <w:rPr>
          <w:szCs w:val="24"/>
        </w:rPr>
      </w:pPr>
      <w:r w:rsidRPr="00C813FE">
        <w:t>–</w:t>
      </w:r>
      <w:r w:rsidRPr="00C813FE">
        <w:tab/>
        <w:t>s ohledem na své usnesení ze dne 13. prosince 2022 nazvané „za stejná práva osob se zdravotním postižením“</w:t>
      </w:r>
      <w:r w:rsidR="00001C9E" w:rsidRPr="00C813FE">
        <w:rPr>
          <w:rStyle w:val="FootnoteReference"/>
        </w:rPr>
        <w:footnoteReference w:id="11"/>
      </w:r>
      <w:r w:rsidRPr="00C813FE">
        <w:t>,</w:t>
      </w:r>
    </w:p>
    <w:p w:rsidR="00DF4529" w:rsidRPr="00C813FE" w:rsidRDefault="00DF4529" w:rsidP="00DF4529">
      <w:pPr>
        <w:pStyle w:val="NormalHanging12a"/>
        <w:rPr>
          <w:szCs w:val="24"/>
        </w:rPr>
      </w:pPr>
      <w:r w:rsidRPr="00C813FE">
        <w:t>–</w:t>
      </w:r>
      <w:r w:rsidRPr="00C813FE">
        <w:tab/>
        <w:t>s ohledem na Úmluvu OSN o právech osob se zdravotním postižením přijatou v roce 2006,</w:t>
      </w:r>
    </w:p>
    <w:p w:rsidR="00DF4529" w:rsidRPr="00C813FE" w:rsidRDefault="00DF4529" w:rsidP="00DF4529">
      <w:pPr>
        <w:tabs>
          <w:tab w:val="left" w:pos="567"/>
        </w:tabs>
        <w:spacing w:after="240"/>
        <w:rPr>
          <w:szCs w:val="24"/>
        </w:rPr>
      </w:pPr>
      <w:r w:rsidRPr="00C813FE">
        <w:t>–</w:t>
      </w:r>
      <w:r w:rsidRPr="00C813FE">
        <w:tab/>
        <w:t>s ohledem na články 47 a 54 jednacího řádu,</w:t>
      </w:r>
    </w:p>
    <w:p w:rsidR="00DF4529" w:rsidRPr="00C813FE" w:rsidRDefault="00DF4529" w:rsidP="00DF4529">
      <w:pPr>
        <w:pStyle w:val="NormalHanging12a"/>
      </w:pPr>
      <w:r w:rsidRPr="00C813FE">
        <w:t>–</w:t>
      </w:r>
      <w:r w:rsidRPr="00C813FE">
        <w:tab/>
        <w:t>s ohledem na stanovisko Výboru pro kulturu a vzdělávání,</w:t>
      </w:r>
    </w:p>
    <w:p w:rsidR="00DF4529" w:rsidRPr="00C813FE" w:rsidRDefault="00DF4529" w:rsidP="00DF4529">
      <w:pPr>
        <w:pStyle w:val="NormalHanging12a"/>
      </w:pPr>
      <w:r w:rsidRPr="00C813FE">
        <w:t>–</w:t>
      </w:r>
      <w:r w:rsidRPr="00C813FE">
        <w:tab/>
        <w:t>s ohledem na zprávu Výboru pro zaměstnanost a sociální věci (A9-0186/2023),</w:t>
      </w:r>
    </w:p>
    <w:p w:rsidR="00DF4529" w:rsidRPr="00C813FE" w:rsidRDefault="00DF4529" w:rsidP="00DF4529">
      <w:pPr>
        <w:pStyle w:val="NormalHanging12a"/>
      </w:pPr>
      <w:r w:rsidRPr="00C813FE">
        <w:t>A.</w:t>
      </w:r>
      <w:r w:rsidRPr="00C813FE">
        <w:tab/>
        <w:t>vzhledem k tomu, že stáže představují důležitou možnost, jak mohou mladí lidé získat zkušenosti předtím, než najdou stálé zaměstnání; vzhledem k tomu, že stáže mohou usnadnit přechod z procesu vzdělávání a odborné přípravy na trh práce; vzhledem k tomu, že je klíčové, aby byly vytvořeny optimální podmínky a pobídky, které mladým lidem umožní přístup k vysoce kvalitním stážím, jež jim poskytnou užitečné vzdělávací zkušenosti, jakož i pracovní zkušenosti a rozvoj relevantního souboru dovedností; vzhledem k tomu, že stážisté vykonávající stáže na otevřeném trhu práce, stáže v rámci aktivních politik na trhu práce a stáže, které jsou součástí povinného odborného vzdělávání, by měli mít právo na odměnu, jak je stanoveno v příloze I; vzhledem k tomu, že stážisté vykonávající stáže za účelem získání vzdělání by měli mít přístup k přiměřené náhradě, jak je stanoveno v příloze II;</w:t>
      </w:r>
    </w:p>
    <w:p w:rsidR="00DF4529" w:rsidRPr="00C813FE" w:rsidRDefault="00DF4529" w:rsidP="00DF4529">
      <w:pPr>
        <w:pStyle w:val="NormalHanging12a"/>
        <w:rPr>
          <w:szCs w:val="24"/>
        </w:rPr>
      </w:pPr>
      <w:r w:rsidRPr="00C813FE">
        <w:t>B.</w:t>
      </w:r>
      <w:r w:rsidRPr="00C813FE">
        <w:tab/>
        <w:t>vzhledem k tomu, že pandemie COVID-19 přerušila mnoho vzdělávacích a pracovních příležitostí, a vytvořila tak překážky pro získávání dovedností; vzhledem k tomu, že to mělo nepřiměřený dopad především na přechod mladých lidí ze znevýhodněného prostředí z práce do školy;</w:t>
      </w:r>
    </w:p>
    <w:p w:rsidR="00DF4529" w:rsidRPr="00C813FE" w:rsidRDefault="00DF4529" w:rsidP="00DF4529">
      <w:pPr>
        <w:pStyle w:val="NormalHanging12a"/>
        <w:rPr>
          <w:szCs w:val="24"/>
        </w:rPr>
      </w:pPr>
      <w:r w:rsidRPr="00C813FE">
        <w:t>C.</w:t>
      </w:r>
      <w:r w:rsidRPr="00C813FE">
        <w:tab/>
        <w:t>vzhledem k tomu, že napříč Unií existují různé typy stáží; vzhledem k tomu, že stáž lze chápat jako časově omezenou pracovní praxi, která zahrnuje prvek vzdělávání a odborné přípravy a kterou osoba absolvuje s cílem získat praktické a odborné zkušenosti za účelem zlepšení její zaměstnatelnosti a usnadnění přechodu do stálého zaměstnání; vzhledem k tomu, že Parlament opakovaně odsoudil praxi neplacených stáží jako formu vykořisťování mladých pracovníků a porušování jejich práv a vyzval k</w:t>
      </w:r>
      <w:r w:rsidR="00A653DF" w:rsidRPr="00C813FE">
        <w:t> </w:t>
      </w:r>
      <w:r w:rsidRPr="00C813FE">
        <w:t>vytvoření společného právního rámce, který by zajistil spravedlivou odměnu za stáže, aby se zabránilo vykořisťujícím praktikám</w:t>
      </w:r>
      <w:r w:rsidRPr="00C813FE">
        <w:rPr>
          <w:rStyle w:val="FootnoteReference"/>
        </w:rPr>
        <w:footnoteReference w:id="12"/>
      </w:r>
      <w:r w:rsidRPr="00C813FE">
        <w:t>;</w:t>
      </w:r>
    </w:p>
    <w:p w:rsidR="00DF4529" w:rsidRPr="00C813FE" w:rsidRDefault="00DF4529" w:rsidP="00DF4529">
      <w:pPr>
        <w:pStyle w:val="NormalHanging12a"/>
        <w:rPr>
          <w:szCs w:val="24"/>
        </w:rPr>
      </w:pPr>
      <w:r w:rsidRPr="00C813FE">
        <w:t>D.</w:t>
      </w:r>
      <w:r w:rsidRPr="00C813FE">
        <w:tab/>
        <w:t xml:space="preserve">vzhledem k tomu, že většinu stáží v Unii lze rozdělit do následujících kategorií: stáže v rámci volného trhu, stáže </w:t>
      </w:r>
      <w:r w:rsidR="004807E5" w:rsidRPr="00C813FE">
        <w:t xml:space="preserve">v rámci </w:t>
      </w:r>
      <w:r w:rsidRPr="00C813FE">
        <w:t>aktivní</w:t>
      </w:r>
      <w:r w:rsidR="004807E5" w:rsidRPr="00C813FE">
        <w:t>ch</w:t>
      </w:r>
      <w:r w:rsidRPr="00C813FE">
        <w:t xml:space="preserve"> politik na trhu práce, stáže, které jsou součástí odborného vzdělávání, a stáže, které jsou součástí akademických či odborných vzdělávacích programů; vzhledem k tomu, že všechny tyto různé typy stáží poskytují mladým lidem příležitost absolvovat odbornou přípravu a získat dovednosti, které </w:t>
      </w:r>
      <w:r w:rsidRPr="00C813FE">
        <w:lastRenderedPageBreak/>
        <w:t>odpovídají potřebám pracovního trhu, a měly by jim do budoucna usnadnit přístup ke kvalitním pracovním místům při naplnění jejich osobních potřeb; vzhledem k tomu, že Unie, členské státy a sociální partneři hrají klíčovou úlohu při zajišťování přístupu ke kvalitním stážím;</w:t>
      </w:r>
    </w:p>
    <w:p w:rsidR="00DF4529" w:rsidRPr="00C813FE" w:rsidRDefault="00DF4529" w:rsidP="00DF4529">
      <w:pPr>
        <w:pStyle w:val="NormalHanging12a"/>
        <w:rPr>
          <w:szCs w:val="24"/>
        </w:rPr>
      </w:pPr>
      <w:r w:rsidRPr="00C813FE">
        <w:t>E.</w:t>
      </w:r>
      <w:r w:rsidRPr="00C813FE">
        <w:tab/>
        <w:t xml:space="preserve">vzhledem k tomu, že napříč Unií existují různé právní rámce a přístupy upravující stáže; vzhledem k tomu, že takové rozdíly v právní úpravě existují mezi členskými státy </w:t>
      </w:r>
      <w:r w:rsidR="00A653DF" w:rsidRPr="00C813FE">
        <w:t xml:space="preserve">a </w:t>
      </w:r>
      <w:r w:rsidRPr="00C813FE">
        <w:t>v některých případech i uvnitř členských států;</w:t>
      </w:r>
    </w:p>
    <w:p w:rsidR="00DF4529" w:rsidRPr="00C813FE" w:rsidRDefault="00DF4529" w:rsidP="00DF4529">
      <w:pPr>
        <w:pStyle w:val="NormalHanging12a"/>
        <w:rPr>
          <w:szCs w:val="24"/>
        </w:rPr>
      </w:pPr>
      <w:r w:rsidRPr="00C813FE">
        <w:t>F.</w:t>
      </w:r>
      <w:r w:rsidRPr="00C813FE">
        <w:tab/>
        <w:t>vzhledem k tomu, že studie prokázaly vazby mezi kvalitou stáží a výsledky v oblasti zaměstnanosti</w:t>
      </w:r>
      <w:r w:rsidRPr="00C813FE">
        <w:rPr>
          <w:rStyle w:val="FootnoteReference"/>
        </w:rPr>
        <w:footnoteReference w:id="13"/>
      </w:r>
      <w:r w:rsidRPr="00C813FE">
        <w:t>, přičemž odměňování je jedním z klíčových kritérií pro určení vysoce kvalitní stáže</w:t>
      </w:r>
      <w:r w:rsidRPr="00C813FE">
        <w:rPr>
          <w:rStyle w:val="FootnoteReference"/>
        </w:rPr>
        <w:footnoteReference w:id="14"/>
      </w:r>
      <w:r w:rsidRPr="00C813FE">
        <w:t>;</w:t>
      </w:r>
    </w:p>
    <w:p w:rsidR="00DF4529" w:rsidRPr="00C813FE" w:rsidRDefault="00DF4529" w:rsidP="00DF4529">
      <w:pPr>
        <w:pStyle w:val="NormalHanging12a"/>
        <w:rPr>
          <w:szCs w:val="24"/>
        </w:rPr>
      </w:pPr>
      <w:r w:rsidRPr="00C813FE">
        <w:t>G.</w:t>
      </w:r>
      <w:r w:rsidRPr="00C813FE">
        <w:tab/>
        <w:t xml:space="preserve">vzhledem k tomu, že doporučení Rady z roku 2014 se zabývá stážemi v rámci volného trhu a stážemi </w:t>
      </w:r>
      <w:r w:rsidR="004807E5" w:rsidRPr="00C813FE">
        <w:t>v rámci</w:t>
      </w:r>
      <w:r w:rsidRPr="00C813FE">
        <w:t> aktivní</w:t>
      </w:r>
      <w:r w:rsidR="004807E5" w:rsidRPr="00C813FE">
        <w:t>ch</w:t>
      </w:r>
      <w:r w:rsidRPr="00C813FE">
        <w:t xml:space="preserve"> politik na trhu práce;</w:t>
      </w:r>
    </w:p>
    <w:p w:rsidR="00DF4529" w:rsidRPr="00C813FE" w:rsidRDefault="00DF4529" w:rsidP="00DF4529">
      <w:pPr>
        <w:pStyle w:val="NormalHanging12a"/>
        <w:rPr>
          <w:szCs w:val="24"/>
        </w:rPr>
      </w:pPr>
      <w:r w:rsidRPr="00C813FE">
        <w:t>H.</w:t>
      </w:r>
      <w:r w:rsidRPr="00C813FE">
        <w:tab/>
        <w:t xml:space="preserve">vzhledem k tomu, že doporučení Rady z roku 2014 vybízí k tomu, aby členské státy zavedly do praxe následující zásady rámce pro kvalitu stáží: uzavření písemných dohod o stáži, cílů učení a odborné přípravy, pracovních podmínek pro stážisty, práv a povinností stážisty a poskytovatele stáží, omezení stáží na přiměřenou délku, řádného uznávání stáží s využitím nástrojů EU (jako je </w:t>
      </w:r>
      <w:proofErr w:type="spellStart"/>
      <w:r w:rsidRPr="00C813FE">
        <w:t>Europass</w:t>
      </w:r>
      <w:proofErr w:type="spellEnd"/>
      <w:r w:rsidRPr="00C813FE">
        <w:t>), požadavků na transparentnost, zřizování přeshraničních stáží, využívání evropských strukturálních a investičních fondů k posílení stáží a uplatňování samotného rámce pro kvalitu stáží;</w:t>
      </w:r>
    </w:p>
    <w:p w:rsidR="00DF4529" w:rsidRPr="00C813FE" w:rsidRDefault="00DF4529" w:rsidP="00DF4529">
      <w:pPr>
        <w:pStyle w:val="NormalHanging12a"/>
      </w:pPr>
      <w:r w:rsidRPr="00C813FE">
        <w:t>I.</w:t>
      </w:r>
      <w:r w:rsidRPr="00C813FE">
        <w:tab/>
        <w:t>vzhledem k tomu, že daná osoba může čelit různým typům diskriminace na základě celé škály faktorů, jako jsou mj. pohlaví, rasa, barva pleti, národnost, etnický nebo sociální či ekonomický původ, genetické charakteristiky, jazyk, náboženské vyznání nebo přesvědčení, politické či jiné názory, příslušnost k národnostní menšině, majetek, narození, zdravotní postižení, věk nebo sexuální orientaci</w:t>
      </w:r>
      <w:r w:rsidRPr="00C813FE">
        <w:rPr>
          <w:rStyle w:val="FootnoteReference"/>
        </w:rPr>
        <w:footnoteReference w:id="15"/>
      </w:r>
      <w:r w:rsidRPr="00C813FE">
        <w:t>; vzhledem k tomu, že je zásadní zaměřit se na řešení a překonání veškeré diskriminace v rámci stáží a zajištění dostupnosti stáží pro osoby a skupiny osob, které jsou pracovnímu trhu nejvíce vzdáleny; vzhledem k tomu, že u mladých lidí nacházejících se v horší finanční situaci, včetně osob žijících v domácnostech samoživitelů, osob se zdravotním postižením, migrantů, osob s nižší úrovní vzdělání, mladých lidí, kteří nežijí se svými rodiči, a osob z domácností s nízkou intenzitou práce, je méně pravděpodobné, že budou mít přístup k finančním zdrojům potřebným k</w:t>
      </w:r>
      <w:r w:rsidR="00A653DF" w:rsidRPr="00C813FE">
        <w:t> </w:t>
      </w:r>
      <w:r w:rsidRPr="00C813FE">
        <w:t>vykonávání neplacených nebo jen málo placených stáží</w:t>
      </w:r>
      <w:r w:rsidRPr="00C813FE">
        <w:rPr>
          <w:rStyle w:val="FootnoteReference"/>
        </w:rPr>
        <w:footnoteReference w:id="16"/>
      </w:r>
      <w:r w:rsidRPr="00C813FE">
        <w:t>;</w:t>
      </w:r>
    </w:p>
    <w:p w:rsidR="00DF4529" w:rsidRPr="00C813FE" w:rsidRDefault="00DF4529" w:rsidP="00DF4529">
      <w:pPr>
        <w:pStyle w:val="NormalHanging12a"/>
        <w:rPr>
          <w:szCs w:val="24"/>
        </w:rPr>
      </w:pPr>
      <w:r w:rsidRPr="00C813FE">
        <w:t>J.</w:t>
      </w:r>
      <w:r w:rsidRPr="00C813FE">
        <w:tab/>
        <w:t>vzhledem k tomu, že k červenci 2022 mělo 87 milionů občanů Unie nějakou formu zdravotního postižení; vzhledem k tomu, že osoby se zdravotním postižením i nadále čelí překážkám při přístupu ke kvalitním stážím a při hledání zaměstnání na otevřeném trhu práce;</w:t>
      </w:r>
    </w:p>
    <w:p w:rsidR="00DF4529" w:rsidRPr="00C813FE" w:rsidRDefault="00DF4529" w:rsidP="00DF4529">
      <w:pPr>
        <w:pStyle w:val="NormalHanging12a"/>
      </w:pPr>
      <w:r w:rsidRPr="00C813FE">
        <w:t>K.</w:t>
      </w:r>
      <w:r w:rsidRPr="00C813FE">
        <w:tab/>
        <w:t xml:space="preserve">vzhledem k tomu, že vysoce kvalitní stáže mají zásadní význam pro řádné vzdělávání a odbornou přípravu mladých lidí na potřeby trhu práce a pro řešení nesouladu mezi </w:t>
      </w:r>
      <w:r w:rsidRPr="00C813FE">
        <w:lastRenderedPageBreak/>
        <w:t>nabízenými a požadovanými dovednostmi a následného nedostatku odpovídající kapacity na trhu práce v Unii, přičemž současně naplňují osobní zájmy stážisty a zdůrazňují potenciální přidanou hodnotu jak pro zaměstnavatele, tak pro stážisty; vzhledem k tomu, že příliš mnoho mladých lidí není schopno najít stabilní zaměstnání, protože dostupná pracovní místa nemusí odpovídat jejich souboru dovedností; vzhledem k tomu, že zároveň 40 % zaměstnavatelů</w:t>
      </w:r>
      <w:r w:rsidRPr="00C813FE">
        <w:rPr>
          <w:rStyle w:val="FootnoteReference"/>
        </w:rPr>
        <w:footnoteReference w:id="17"/>
      </w:r>
      <w:r w:rsidRPr="00C813FE">
        <w:t xml:space="preserve"> čelí problémům při hledání zaměstnanců se správným dovednostním profilem; vzhledem k tomu, že míra nezaměstnanosti mladých lidí v Unii činí 15,1 % a že v souvislosti se současnou krizí životních nákladů jsou podle </w:t>
      </w:r>
      <w:proofErr w:type="spellStart"/>
      <w:r w:rsidRPr="00C813FE">
        <w:t>Eurostatu</w:t>
      </w:r>
      <w:proofErr w:type="spellEnd"/>
      <w:r w:rsidRPr="00C813FE">
        <w:rPr>
          <w:rStyle w:val="FootnoteReference"/>
        </w:rPr>
        <w:footnoteReference w:id="18"/>
      </w:r>
      <w:r w:rsidRPr="00C813FE">
        <w:t xml:space="preserve"> mladí lidé skupinou, která je nejvíce ohrožena chudobou, přičemž každý čtvrtý mladý člověk žije v ohrožení chudobou nebo sociálním vyloučením, a že mladé ženy jsou ohroženy vyšším rizikem chudoby nebo sociálního vyloučení;</w:t>
      </w:r>
    </w:p>
    <w:p w:rsidR="00DF4529" w:rsidRPr="00C813FE" w:rsidRDefault="00DF4529" w:rsidP="00DF4529">
      <w:pPr>
        <w:pStyle w:val="NormalHanging12a"/>
        <w:rPr>
          <w:szCs w:val="24"/>
        </w:rPr>
      </w:pPr>
      <w:r w:rsidRPr="00C813FE">
        <w:t>L.</w:t>
      </w:r>
      <w:r w:rsidRPr="00C813FE">
        <w:tab/>
        <w:t>vzhledem k tomu, že přibližně polovina všech osob ve věku 15 až 34 let v Unii získala pracovní zkušenosti alespoň na jedné stáži; vzhledem k tomu, že většina mladých lidí uvádí, že před získáním stabilního zaměstnání absolvovali dvě neplacené stáže</w:t>
      </w:r>
      <w:r w:rsidRPr="00C813FE">
        <w:rPr>
          <w:rStyle w:val="FootnoteReference"/>
        </w:rPr>
        <w:footnoteReference w:id="19"/>
      </w:r>
      <w:r w:rsidRPr="00C813FE">
        <w:t>; vzhledem k tomu, že to znamená, že v Unii se účastní alespoň jedné stáže ročně přibližně čtyři miliony osob</w:t>
      </w:r>
      <w:r w:rsidRPr="00C813FE">
        <w:rPr>
          <w:rStyle w:val="FootnoteReference"/>
        </w:rPr>
        <w:footnoteReference w:id="20"/>
      </w:r>
      <w:r w:rsidRPr="00C813FE">
        <w:t>;</w:t>
      </w:r>
    </w:p>
    <w:p w:rsidR="00DF4529" w:rsidRPr="00C813FE" w:rsidRDefault="00DF4529" w:rsidP="00DF4529">
      <w:pPr>
        <w:pStyle w:val="NormalHanging12a"/>
        <w:rPr>
          <w:szCs w:val="24"/>
        </w:rPr>
      </w:pPr>
      <w:r w:rsidRPr="00C813FE">
        <w:t>M.</w:t>
      </w:r>
      <w:r w:rsidRPr="00C813FE">
        <w:tab/>
        <w:t xml:space="preserve">vzhledem k tomu, že většina stážistů dotázaných během průzkumu </w:t>
      </w:r>
      <w:proofErr w:type="spellStart"/>
      <w:r w:rsidRPr="00C813FE">
        <w:t>Eurobarometr</w:t>
      </w:r>
      <w:proofErr w:type="spellEnd"/>
      <w:r w:rsidRPr="00C813FE">
        <w:t xml:space="preserve"> se domnívá, že jejich zkušenosti byly nebo budou užitečné k nalezení stálého zaměstnání (71 %), ale téměř jedna třetina nesouhlasí (28 %)</w:t>
      </w:r>
      <w:r w:rsidRPr="00C813FE">
        <w:rPr>
          <w:vertAlign w:val="superscript"/>
        </w:rPr>
        <w:footnoteReference w:id="21"/>
      </w:r>
      <w:r w:rsidRPr="00C813FE">
        <w:t>;</w:t>
      </w:r>
    </w:p>
    <w:p w:rsidR="00DF4529" w:rsidRPr="00C813FE" w:rsidRDefault="00DF4529" w:rsidP="00DF4529">
      <w:pPr>
        <w:pStyle w:val="NormalHanging12a"/>
        <w:rPr>
          <w:szCs w:val="24"/>
        </w:rPr>
      </w:pPr>
      <w:r w:rsidRPr="00C813FE">
        <w:t>N.</w:t>
      </w:r>
      <w:r w:rsidRPr="00C813FE">
        <w:tab/>
        <w:t>vzhledem k tomu, že podle výzkumu význam stáže při usnadnění přechodu do zaměstnání závisí na její kvalitě, pokud jde o vzdělávací obsah a pracovní podmínky</w:t>
      </w:r>
      <w:r w:rsidRPr="00C813FE">
        <w:rPr>
          <w:vertAlign w:val="superscript"/>
        </w:rPr>
        <w:footnoteReference w:id="22"/>
      </w:r>
      <w:r w:rsidRPr="00C813FE">
        <w:t>;</w:t>
      </w:r>
    </w:p>
    <w:p w:rsidR="00DF4529" w:rsidRPr="00C813FE" w:rsidRDefault="00DF4529" w:rsidP="00DF4529">
      <w:pPr>
        <w:pStyle w:val="NormalHanging12a"/>
        <w:rPr>
          <w:szCs w:val="24"/>
        </w:rPr>
      </w:pPr>
      <w:r w:rsidRPr="00C813FE">
        <w:t>O.</w:t>
      </w:r>
      <w:r w:rsidRPr="00C813FE">
        <w:tab/>
        <w:t xml:space="preserve">vzhledem k tomu, že podle </w:t>
      </w:r>
      <w:r w:rsidR="00001C9E" w:rsidRPr="00C813FE">
        <w:t xml:space="preserve">výše uvedeného </w:t>
      </w:r>
      <w:r w:rsidRPr="00C813FE">
        <w:t xml:space="preserve">průzkumu </w:t>
      </w:r>
      <w:proofErr w:type="spellStart"/>
      <w:r w:rsidRPr="00C813FE">
        <w:t>Eurobarometr</w:t>
      </w:r>
      <w:proofErr w:type="spellEnd"/>
      <w:r w:rsidRPr="00C813FE">
        <w:t xml:space="preserve"> pouze 40 % stážistů obdrželo finanční náhradu, a vzhledem k tomu, že více než polovina těchto stážistů (53 %) má za to, že tato náhrada nestačí k pokrytí základních životních nákladů</w:t>
      </w:r>
      <w:r w:rsidRPr="00C813FE">
        <w:rPr>
          <w:rStyle w:val="FootnoteReference"/>
        </w:rPr>
        <w:footnoteReference w:id="23"/>
      </w:r>
      <w:r w:rsidR="00001C9E" w:rsidRPr="00C813FE">
        <w:t>;</w:t>
      </w:r>
    </w:p>
    <w:p w:rsidR="00DF4529" w:rsidRPr="00C813FE" w:rsidRDefault="00DF4529" w:rsidP="00DF4529">
      <w:pPr>
        <w:pStyle w:val="NormalHanging12a"/>
        <w:rPr>
          <w:szCs w:val="24"/>
        </w:rPr>
      </w:pPr>
      <w:r w:rsidRPr="00C813FE">
        <w:t>P.</w:t>
      </w:r>
      <w:r w:rsidRPr="00C813FE">
        <w:tab/>
        <w:t xml:space="preserve">vzhledem k tomu, že absolvování stáží v jiném členském státě je stále ojedinělé a pouze 9 % stáží v Unii podle průzkumu </w:t>
      </w:r>
      <w:proofErr w:type="spellStart"/>
      <w:r w:rsidRPr="00C813FE">
        <w:t>Eurobarometr</w:t>
      </w:r>
      <w:proofErr w:type="spellEnd"/>
      <w:r w:rsidRPr="00C813FE">
        <w:t xml:space="preserve"> probíhá v zahraničí</w:t>
      </w:r>
      <w:r w:rsidRPr="00C813FE">
        <w:rPr>
          <w:vertAlign w:val="superscript"/>
        </w:rPr>
        <w:footnoteReference w:id="24"/>
      </w:r>
      <w:r w:rsidRPr="00C813FE">
        <w:t>;</w:t>
      </w:r>
    </w:p>
    <w:p w:rsidR="00DF4529" w:rsidRPr="00C813FE" w:rsidRDefault="00DF4529" w:rsidP="00DF4529">
      <w:pPr>
        <w:pStyle w:val="NormalHanging12a"/>
        <w:rPr>
          <w:szCs w:val="24"/>
        </w:rPr>
      </w:pPr>
      <w:r w:rsidRPr="00C813FE">
        <w:t>Q.</w:t>
      </w:r>
      <w:r w:rsidRPr="00C813FE">
        <w:tab/>
        <w:t xml:space="preserve">vzhledem k tomu, že na </w:t>
      </w:r>
      <w:r w:rsidR="000E011A" w:rsidRPr="00C813FE">
        <w:t xml:space="preserve">unijní i </w:t>
      </w:r>
      <w:r w:rsidRPr="00C813FE">
        <w:t>vnitrostátní úrovni chybí aktuální srovnatelné údaje o stážích, zejména o stážích na otevřeném trhu práce; vzhledem k</w:t>
      </w:r>
      <w:r w:rsidR="000E011A" w:rsidRPr="00C813FE">
        <w:t> </w:t>
      </w:r>
      <w:r w:rsidRPr="00C813FE">
        <w:t>tomu, že dostupné údaje o stážích v Unii vycházejí z různých definic, což vytváří problémy, pokud jde o srovnatelnost;</w:t>
      </w:r>
    </w:p>
    <w:p w:rsidR="00DF4529" w:rsidRPr="00C813FE" w:rsidRDefault="00DF4529" w:rsidP="00DF4529">
      <w:pPr>
        <w:pStyle w:val="NormalHanging12a"/>
        <w:rPr>
          <w:szCs w:val="24"/>
        </w:rPr>
      </w:pPr>
      <w:r w:rsidRPr="00C813FE">
        <w:t>R.</w:t>
      </w:r>
      <w:r w:rsidRPr="00C813FE">
        <w:tab/>
        <w:t xml:space="preserve">vzhledem k tomu, že pobídky pro zaměstnavatele mají zásadní význam při nabízení kvalitních stáží, zejména pokud jsou těmito zaměstnavateli </w:t>
      </w:r>
      <w:proofErr w:type="spellStart"/>
      <w:r w:rsidRPr="00C813FE">
        <w:t>mikropodniky</w:t>
      </w:r>
      <w:proofErr w:type="spellEnd"/>
      <w:r w:rsidRPr="00C813FE">
        <w:t xml:space="preserve"> a malé a střední podniky; vzhledem k tomu, že je podporováno posilování digitálních dovedností a nezbytných digitálních nástrojů na podporu stážistů při provádění jejich stáže; </w:t>
      </w:r>
      <w:r w:rsidRPr="00C813FE">
        <w:lastRenderedPageBreak/>
        <w:t>vzhledem k tomu, že v tomto ohledu poskytuje program stáží v oblasti digitálních příležitostí, který je nabízen v rámci programu Erasmus+, studentům a mladým absolventům příležitost získat digitální dovednosti při práci a zkušenosti v odvětví technologií; vzhledem k tomu, že kvalitní stáže by obecně měly probíhat za fyzické přítomnosti; vzhledem k tomu, že práce na dálku nebo hybridní práce je stále více normou v řadě odvětví a podniků; vzhledem k tomu, že v tomto ohledu by jakákoli distanční nebo hybridní část stáže měla být přijatelná pouze tehdy, není-li přítomnost na pracovišti nezbytná nebo možná, a měla by splňovat kvalitativní kritéria;</w:t>
      </w:r>
    </w:p>
    <w:p w:rsidR="00DF4529" w:rsidRPr="00C813FE" w:rsidRDefault="00DF4529" w:rsidP="00DF4529">
      <w:pPr>
        <w:pStyle w:val="NormalHanging12a"/>
      </w:pPr>
      <w:r w:rsidRPr="00C813FE">
        <w:t>1.</w:t>
      </w:r>
      <w:r w:rsidRPr="00C813FE">
        <w:tab/>
        <w:t>zdůrazňuje, že stáže jsou především zkušenost, při níž se učíme, a neměla by nahrazovat počáteční pracovní místa; vyzývá Komisi a členské státy, aby v úzké spolupráci se sociálními partnery usnadnily a zlepšily přístup mladých lidí k vysoce kvalitním, placeným a inkluzivním stážím, a to zejména u těch mladých lidí, kteří pocházejí ze zranitelného prostředí, s cílem dosáhnout cíle Unie v oblasti sociální soudržnosti a začlenění;</w:t>
      </w:r>
    </w:p>
    <w:p w:rsidR="00DF4529" w:rsidRPr="00C813FE" w:rsidRDefault="00DF4529" w:rsidP="00DF4529">
      <w:pPr>
        <w:pStyle w:val="NormalHanging12a"/>
        <w:rPr>
          <w:szCs w:val="24"/>
        </w:rPr>
      </w:pPr>
      <w:r w:rsidRPr="00C813FE">
        <w:t>2.</w:t>
      </w:r>
      <w:r w:rsidRPr="00C813FE">
        <w:tab/>
        <w:t>zdůrazňuje, že jsou zapotřebí vysoce kvalitní stáže, které zlepší dovednosti a zaměstnatelnost mladých lidí, a usnadní tak jejich přechod na trh práce; vyzdvihuje, že stáže mohou být příležitostí pro mladé lidi, aby se učili a vyzkoušeli si různé profese, a tudíž pak našli práci, která nejlépe vyhovuje jejich talentu a aspiracím;</w:t>
      </w:r>
    </w:p>
    <w:p w:rsidR="00DF4529" w:rsidRPr="00C813FE" w:rsidRDefault="00DF4529" w:rsidP="00DF4529">
      <w:pPr>
        <w:pStyle w:val="NormalHanging12a"/>
      </w:pPr>
      <w:r w:rsidRPr="00C813FE">
        <w:t>3.</w:t>
      </w:r>
      <w:r w:rsidRPr="00C813FE">
        <w:tab/>
        <w:t xml:space="preserve">zdůrazňuje, že je třeba, aby mladí lidé absolvovali řádné vzdělávání a odbornou přípravu odpovídající potřebám trhu práce s cílem řešit problém nesouladu mezi nabízenými a požadovanými dovednostmi, přičemž si mladí lidé současně naplní osobní zájmy, a zdůrazňuje potenciální přidanou hodnotu jak pro zaměstnavatele, tak pro stážisty; v této souvislosti </w:t>
      </w:r>
      <w:r w:rsidR="000E011A" w:rsidRPr="00C813FE">
        <w:t>rovněž</w:t>
      </w:r>
      <w:r w:rsidR="00001C9E" w:rsidRPr="00C813FE">
        <w:t xml:space="preserve"> </w:t>
      </w:r>
      <w:r w:rsidRPr="00C813FE">
        <w:t>vyzdvihuje, že je s ohledem na ekologickou i digitální transformaci třeba nabízet stáže v oblastech souvisejících s potřebnými dovednostmi, nedostatkem pracovní síly a odvětvími orientovanými na budoucnost;</w:t>
      </w:r>
    </w:p>
    <w:p w:rsidR="00DF4529" w:rsidRPr="00C813FE" w:rsidRDefault="00DF4529" w:rsidP="00DF4529">
      <w:pPr>
        <w:pStyle w:val="NormalHanging12a"/>
        <w:rPr>
          <w:szCs w:val="24"/>
        </w:rPr>
      </w:pPr>
      <w:r w:rsidRPr="00C813FE">
        <w:t>4.</w:t>
      </w:r>
      <w:r w:rsidRPr="00C813FE">
        <w:tab/>
        <w:t>zdůrazňuje, že Unie nemůže podporovat nejistotu a že nekvalitní a neplacené stáže nemohou být podporovány z veřejných financí; trvá na tom, že zaměstnavatelé by měli obdržet a využívat finanční veřejnou podporu pouze tehdy, pokud splňují kritéria kvality, právní předpisy a kolektivní smlouvy;</w:t>
      </w:r>
    </w:p>
    <w:p w:rsidR="00DF4529" w:rsidRPr="00C813FE" w:rsidRDefault="00DF4529" w:rsidP="00DF4529">
      <w:pPr>
        <w:pStyle w:val="NormalHanging12a"/>
        <w:rPr>
          <w:szCs w:val="24"/>
        </w:rPr>
      </w:pPr>
      <w:r w:rsidRPr="00C813FE">
        <w:t>5.</w:t>
      </w:r>
      <w:r w:rsidRPr="00C813FE">
        <w:tab/>
        <w:t>připomíná, že vysoce kvalitní stáže mohou významně přispět k dosažení sociálních cílů Unie do roku 2030, tedy aby se alespoň 60 % všech dospělých každoročně účastnilo odborné přípravy a alespoň 78 % osob ve věku 20 až 64 let bylo zaměstnáno, a snížit míru lidí, kteří nejsou zaměstnaní ani se neúčastní vzdělávání nebo odborné přípravy, na 9 % prostřednictvím kvalitních příležitostí v souladu s Agendou pro udržitelný rozvoj 2030 a s cíli udržitelného rozvoje č. 1, 4, 8 a 10;</w:t>
      </w:r>
    </w:p>
    <w:p w:rsidR="00DF4529" w:rsidRPr="00C813FE" w:rsidRDefault="00DF4529" w:rsidP="00DF4529">
      <w:pPr>
        <w:pStyle w:val="NormalHanging12a"/>
        <w:rPr>
          <w:szCs w:val="24"/>
        </w:rPr>
      </w:pPr>
      <w:r w:rsidRPr="00C813FE">
        <w:t>6.</w:t>
      </w:r>
      <w:r w:rsidRPr="00C813FE">
        <w:tab/>
        <w:t>zdůrazňuje, že je třeba chránit mladé lidi před absolvováním několika po sobě jdoucích stáží, a to přísným sledováním využívání smluv, jejichž cílem je přechod mezi vzděláváním a trhem práce;</w:t>
      </w:r>
    </w:p>
    <w:p w:rsidR="00DF4529" w:rsidRPr="00C813FE" w:rsidRDefault="00DF4529" w:rsidP="00DF4529">
      <w:pPr>
        <w:pStyle w:val="NormalHanging12a"/>
        <w:rPr>
          <w:szCs w:val="24"/>
        </w:rPr>
      </w:pPr>
      <w:r w:rsidRPr="00C813FE">
        <w:t>7.</w:t>
      </w:r>
      <w:r w:rsidRPr="00C813FE">
        <w:tab/>
        <w:t xml:space="preserve">zdůrazňuje, že vysoce kvalitní stáže podporují myšlenku celoživotního </w:t>
      </w:r>
      <w:r w:rsidR="00C537FB" w:rsidRPr="00C813FE">
        <w:t xml:space="preserve">vzdělávání </w:t>
      </w:r>
      <w:r w:rsidRPr="00C813FE">
        <w:t>a přispívají k adaptaci s ohledem na dynamické změny na trhu práce, a tím prodlužují pracovní život;</w:t>
      </w:r>
    </w:p>
    <w:p w:rsidR="00DF4529" w:rsidRPr="00C813FE" w:rsidRDefault="00DF4529" w:rsidP="00DF4529">
      <w:pPr>
        <w:pStyle w:val="NormalHanging12a"/>
        <w:widowControl/>
        <w:rPr>
          <w:b/>
        </w:rPr>
      </w:pPr>
      <w:r w:rsidRPr="00C813FE">
        <w:rPr>
          <w:b/>
        </w:rPr>
        <w:t>Revize stávajícího rámce</w:t>
      </w:r>
    </w:p>
    <w:p w:rsidR="00DF4529" w:rsidRPr="00C813FE" w:rsidRDefault="00DF4529" w:rsidP="00DF4529">
      <w:pPr>
        <w:pStyle w:val="NormalHanging12a"/>
      </w:pPr>
      <w:r w:rsidRPr="00C813FE">
        <w:t>8.</w:t>
      </w:r>
      <w:r w:rsidRPr="00C813FE">
        <w:tab/>
        <w:t xml:space="preserve">vyzývá Komisi, aby aktualizovala a posílila doporučení Rady z roku 2014 a aby z něj </w:t>
      </w:r>
      <w:r w:rsidRPr="00C813FE">
        <w:lastRenderedPageBreak/>
        <w:t>učinila silnější legislativní nástroj;</w:t>
      </w:r>
    </w:p>
    <w:p w:rsidR="00DF4529" w:rsidRPr="00C813FE" w:rsidRDefault="00DF4529" w:rsidP="00DF4529">
      <w:pPr>
        <w:pStyle w:val="NormalHanging12a"/>
      </w:pPr>
      <w:r w:rsidRPr="00C813FE">
        <w:t>9.</w:t>
      </w:r>
      <w:r w:rsidRPr="00C813FE">
        <w:tab/>
        <w:t>uznává, že stávající zásady upravující rámec pro kvalitu stáží jsou i nadále relevantní, neboť zaměstnavatelům, kteří se jimi řídí, umožňují nabízet vysoce kvalitní stáže; bere na vědomí zranitelné postavení mladých lidí na trhu práce; zdůrazňuje, že rámec pro kvalitu stáží musí být doplněn o nové zásady s cílem zlepšit kvalitu stáží a usnadnit přechod všech mladých lidí ze vzdělávání na trh práce; vyzývá proto Komisi, aby do aktualizovaného rámce pro kvalitu stáží začlenila následující dodatečné zásady:</w:t>
      </w:r>
    </w:p>
    <w:p w:rsidR="00DF4529" w:rsidRPr="00C813FE" w:rsidRDefault="00DF4529" w:rsidP="00001C9E">
      <w:pPr>
        <w:pStyle w:val="NormalHanging12a"/>
        <w:ind w:firstLine="0"/>
      </w:pPr>
      <w:r w:rsidRPr="00C813FE">
        <w:t>–</w:t>
      </w:r>
      <w:r w:rsidRPr="00C813FE">
        <w:tab/>
      </w:r>
      <w:r w:rsidRPr="00C813FE">
        <w:tab/>
        <w:t xml:space="preserve">přístup </w:t>
      </w:r>
      <w:r w:rsidR="00001C9E" w:rsidRPr="00C813FE">
        <w:t xml:space="preserve">stážistů </w:t>
      </w:r>
      <w:r w:rsidRPr="00C813FE">
        <w:t>k přiměřené náhradě v souladu s životními náklady,</w:t>
      </w:r>
    </w:p>
    <w:p w:rsidR="00DF4529" w:rsidRPr="00C813FE" w:rsidRDefault="00DF4529" w:rsidP="00DF4529">
      <w:pPr>
        <w:pStyle w:val="NormalHanging12a"/>
        <w:widowControl/>
        <w:ind w:firstLine="0"/>
      </w:pPr>
      <w:r w:rsidRPr="00C813FE">
        <w:t>–</w:t>
      </w:r>
      <w:r w:rsidRPr="00C813FE">
        <w:tab/>
      </w:r>
      <w:r w:rsidRPr="00C813FE">
        <w:tab/>
        <w:t>přístup stážistů k sociálnímu zabezpečení v souladu s vnitrostátními systémy,</w:t>
      </w:r>
    </w:p>
    <w:p w:rsidR="00DF4529" w:rsidRPr="00C813FE" w:rsidRDefault="00DF4529" w:rsidP="00DF4529">
      <w:pPr>
        <w:pStyle w:val="NormalHanging12a"/>
        <w:ind w:left="1418" w:hanging="851"/>
      </w:pPr>
      <w:r w:rsidRPr="00C813FE">
        <w:t>–</w:t>
      </w:r>
      <w:r w:rsidRPr="00C813FE">
        <w:tab/>
        <w:t>lepší přístup ke stážím pro stážisty pocházející ze zranitelného prostředí, včetně stážistů se zdravotním postižením, na základě meziodvětvového přístupu,</w:t>
      </w:r>
    </w:p>
    <w:p w:rsidR="00DF4529" w:rsidRPr="00C813FE" w:rsidRDefault="00DF4529" w:rsidP="00DF4529">
      <w:pPr>
        <w:pStyle w:val="NormalHanging12a"/>
        <w:ind w:left="1418" w:hanging="851"/>
      </w:pPr>
      <w:r w:rsidRPr="00C813FE">
        <w:t>–</w:t>
      </w:r>
      <w:r w:rsidRPr="00C813FE">
        <w:tab/>
        <w:t>přístupná pracoviště,</w:t>
      </w:r>
    </w:p>
    <w:p w:rsidR="00DF4529" w:rsidRPr="00C813FE" w:rsidRDefault="00DF4529" w:rsidP="00DF4529">
      <w:pPr>
        <w:pStyle w:val="NormalHanging12a"/>
        <w:widowControl/>
        <w:ind w:left="1418" w:hanging="851"/>
      </w:pPr>
      <w:r w:rsidRPr="00C813FE">
        <w:t>–</w:t>
      </w:r>
      <w:r w:rsidRPr="00C813FE">
        <w:tab/>
        <w:t xml:space="preserve">soulad </w:t>
      </w:r>
      <w:r w:rsidR="00CE0579" w:rsidRPr="00C813FE">
        <w:t>kterékoli</w:t>
      </w:r>
      <w:r w:rsidRPr="00C813FE">
        <w:t xml:space="preserve"> částí stáže </w:t>
      </w:r>
      <w:r w:rsidR="00CE0579" w:rsidRPr="00C813FE">
        <w:t>provedené na dálku</w:t>
      </w:r>
      <w:r w:rsidRPr="00C813FE">
        <w:t xml:space="preserve"> </w:t>
      </w:r>
      <w:r w:rsidR="00CE0579" w:rsidRPr="00C813FE">
        <w:t>s</w:t>
      </w:r>
      <w:r w:rsidR="00E934CD" w:rsidRPr="00C813FE">
        <w:t> </w:t>
      </w:r>
      <w:r w:rsidRPr="00C813FE">
        <w:t>kritérii kvality,</w:t>
      </w:r>
    </w:p>
    <w:p w:rsidR="00DF4529" w:rsidRPr="00C813FE" w:rsidRDefault="00DF4529" w:rsidP="00DF4529">
      <w:pPr>
        <w:pStyle w:val="NormalHanging12a"/>
        <w:widowControl/>
        <w:ind w:left="1418" w:hanging="851"/>
      </w:pPr>
      <w:r w:rsidRPr="00C813FE">
        <w:t>–</w:t>
      </w:r>
      <w:r w:rsidRPr="00C813FE">
        <w:tab/>
        <w:t>jasné vzdělávací cíle a přístup k odpovídajícímu mentorství a k vedení vyškolených mentorů s cílem zajistit mezigenerační přenášení dovedností,</w:t>
      </w:r>
    </w:p>
    <w:p w:rsidR="00DF4529" w:rsidRPr="00C813FE" w:rsidRDefault="00DF4529" w:rsidP="00DF4529">
      <w:pPr>
        <w:pStyle w:val="NormalHanging12a"/>
        <w:widowControl/>
        <w:ind w:left="1418" w:hanging="851"/>
      </w:pPr>
      <w:r w:rsidRPr="00C813FE">
        <w:t>–</w:t>
      </w:r>
      <w:r w:rsidRPr="00C813FE">
        <w:tab/>
        <w:t>zřízení kanálů pro hlášení nekalých praktik a špatných podmínek během stáží, ve spolupráci s vnitrostátními inspektoráty práce a dalšími příslušnými orgány;</w:t>
      </w:r>
    </w:p>
    <w:p w:rsidR="00DF4529" w:rsidRPr="00C813FE" w:rsidRDefault="00DF4529" w:rsidP="00DF4529">
      <w:pPr>
        <w:pStyle w:val="NormalHanging12a"/>
        <w:rPr>
          <w:szCs w:val="24"/>
        </w:rPr>
      </w:pPr>
      <w:r w:rsidRPr="00C813FE">
        <w:t>10.</w:t>
      </w:r>
      <w:r w:rsidRPr="00C813FE">
        <w:tab/>
        <w:t xml:space="preserve">vyzývá Komisi, aby navrhla směrnici o stážích na otevřeném trhu práce, stážích v rámci aktivních politik na trhu práce a stážích, které jsou povinnou součástí odborné přípravy, s cílem zajistit minimální normy kvality, včetně pravidel týkajících se délky stáží, přístupu k sociálnímu zabezpečení v souladu s vnitrostátními právními předpisy a zvyklostmi, jakož i odměňování, které zajistí důstojnou životní úroveň, aby se zabránilo vykořisťujícím praktikám, v souladu s návrhem směrnice uvedeným v příloze I; </w:t>
      </w:r>
    </w:p>
    <w:p w:rsidR="00DF4529" w:rsidRPr="00C813FE" w:rsidRDefault="00DF4529" w:rsidP="00DF4529">
      <w:pPr>
        <w:pStyle w:val="NormalHanging12a"/>
        <w:widowControl/>
        <w:ind w:left="360" w:firstLine="0"/>
        <w:rPr>
          <w:b/>
        </w:rPr>
      </w:pPr>
      <w:r w:rsidRPr="00C813FE">
        <w:rPr>
          <w:b/>
        </w:rPr>
        <w:t>Pomoc a zvyšování informovanosti</w:t>
      </w:r>
    </w:p>
    <w:p w:rsidR="00DF4529" w:rsidRPr="00C813FE" w:rsidRDefault="00DF4529" w:rsidP="00DF4529">
      <w:pPr>
        <w:pStyle w:val="NormalHanging12a"/>
        <w:rPr>
          <w:szCs w:val="24"/>
        </w:rPr>
      </w:pPr>
      <w:r w:rsidRPr="00C813FE">
        <w:t>11.</w:t>
      </w:r>
      <w:r w:rsidRPr="00C813FE">
        <w:tab/>
        <w:t xml:space="preserve">odsuzuje využívání statusu stáží pro nábor vysoce kvalifikovaných a specializovaných pracovníků, kteří jsou ve skutečnosti zaměstnanci a jejichž pracovní poměr by měl být jako takový uznán; tato nekalá praxe často vede k nejistotě zaměstnání, nižším platům a nedostatečnému sociálnímu zabezpečení, zejména k neexistenci placené dovolené, ochrany v nemoci nebo rodičovské dovolené a </w:t>
      </w:r>
      <w:r w:rsidR="00590433" w:rsidRPr="00C813FE">
        <w:t xml:space="preserve">rovněž </w:t>
      </w:r>
      <w:r w:rsidRPr="00C813FE">
        <w:t xml:space="preserve">k nevyplácení bonusů </w:t>
      </w:r>
      <w:r w:rsidR="00E934CD" w:rsidRPr="00C813FE">
        <w:t xml:space="preserve"> na </w:t>
      </w:r>
      <w:r w:rsidRPr="00C813FE">
        <w:t>konc</w:t>
      </w:r>
      <w:r w:rsidR="00E934CD" w:rsidRPr="00C813FE">
        <w:t>i</w:t>
      </w:r>
      <w:r w:rsidRPr="00C813FE">
        <w:t xml:space="preserve"> roku; zdůrazňuje, že je důležité, aby tyto praktiky nebyly formalizovány a legitimizovány;</w:t>
      </w:r>
    </w:p>
    <w:p w:rsidR="00DF4529" w:rsidRPr="00C813FE" w:rsidRDefault="00DF4529" w:rsidP="00DF4529">
      <w:pPr>
        <w:pStyle w:val="NormalHanging12a"/>
      </w:pPr>
      <w:r w:rsidRPr="00C813FE">
        <w:t>12.</w:t>
      </w:r>
      <w:r w:rsidRPr="00C813FE">
        <w:tab/>
        <w:t xml:space="preserve">znovu připomíná ústřední úlohu, kterou mohou hrát Evropský sociální fond plus (ESF+), Nástroj pro oživení a odolnost a související srovnávací přehled propojující financování s politikami </w:t>
      </w:r>
      <w:r w:rsidR="00AE54C6" w:rsidRPr="00C813FE">
        <w:t xml:space="preserve">nástroje </w:t>
      </w:r>
      <w:proofErr w:type="spellStart"/>
      <w:r w:rsidRPr="00C813FE">
        <w:t>Next</w:t>
      </w:r>
      <w:proofErr w:type="spellEnd"/>
      <w:r w:rsidRPr="00C813FE">
        <w:t xml:space="preserve"> </w:t>
      </w:r>
      <w:proofErr w:type="spellStart"/>
      <w:r w:rsidRPr="00C813FE">
        <w:t>Generation</w:t>
      </w:r>
      <w:proofErr w:type="spellEnd"/>
      <w:r w:rsidRPr="00C813FE">
        <w:t xml:space="preserve"> EU a záruky pro mladé lidi, při zvyšování počtu vysoce kvalitních stáží, včetně stáží, které jsou dostupné pro osoby ze znevýhodněných skupin; naléhavě vyzývá členské státy, aby s podporou Komise využily všech dostupných zdrojů v této oblasti; vyzývá členské státy, aby mj. i prostřednictvím ESF+ zvýšily investice na podporu opatření zaměřených na integraci znevýhodněných mladých lidí;</w:t>
      </w:r>
    </w:p>
    <w:p w:rsidR="00DF4529" w:rsidRPr="00C813FE" w:rsidRDefault="00DF4529" w:rsidP="00DF4529">
      <w:pPr>
        <w:pStyle w:val="NormalHanging12a"/>
      </w:pPr>
      <w:r w:rsidRPr="00C813FE">
        <w:t>13.</w:t>
      </w:r>
      <w:r w:rsidRPr="00C813FE">
        <w:tab/>
        <w:t xml:space="preserve">vyzývá členské státy, aby lépe využívaly ESF+ na podporu pokroku v oblasti </w:t>
      </w:r>
      <w:r w:rsidRPr="00C813FE">
        <w:lastRenderedPageBreak/>
        <w:t xml:space="preserve">vzdělávání, odborné přípravy a přechodu do práce tím, že budou podporovat rozvoj dovedností a kompetencí, včetně prohlubování dovedností, rekvalifikace, celoživotního </w:t>
      </w:r>
      <w:r w:rsidR="00C537FB" w:rsidRPr="00C813FE">
        <w:t xml:space="preserve">vzdělávání </w:t>
      </w:r>
      <w:r w:rsidRPr="00C813FE">
        <w:t>a zlepšování zaměstnatelnosti, s cílem usnadnit plné zapojení do společnosti pro všechny, zejména pokud jde o osoby pocházející ze zranitelného prostředí, s cílem zajistit jejich přístup k rovným příležitostem a přispět ke konkurenceschopnosti</w:t>
      </w:r>
      <w:r w:rsidRPr="00C813FE">
        <w:rPr>
          <w:rStyle w:val="FootnoteReference"/>
        </w:rPr>
        <w:footnoteReference w:id="25"/>
      </w:r>
      <w:r w:rsidRPr="00C813FE">
        <w:t>; zdůrazňuje zvláštní úlohu programu Erasmus+ při podpoře mobility pracovních sil v</w:t>
      </w:r>
      <w:r w:rsidR="00950C91" w:rsidRPr="00C813FE">
        <w:t> </w:t>
      </w:r>
      <w:r w:rsidRPr="00C813FE">
        <w:t>rámci Unie pro mladé stážisty;</w:t>
      </w:r>
    </w:p>
    <w:p w:rsidR="00DF4529" w:rsidRPr="00C813FE" w:rsidRDefault="00DF4529" w:rsidP="00DF4529">
      <w:pPr>
        <w:pStyle w:val="NormalHanging12a"/>
      </w:pPr>
      <w:r w:rsidRPr="00C813FE">
        <w:t>14.</w:t>
      </w:r>
      <w:r w:rsidRPr="00C813FE">
        <w:tab/>
        <w:t>vyzývá Komisi, aby na vnitrostátní, regionální a místní úrovni zvýšila informovanost o dostupných finančních prostředcích Unie s cílem zajistit, že všichni budou mít přístup k vysoce kvalitním stážím, a to zejména osoby pocházející ze zranitelného prostředí s</w:t>
      </w:r>
      <w:r w:rsidR="00950C91" w:rsidRPr="00C813FE">
        <w:t> </w:t>
      </w:r>
      <w:r w:rsidRPr="00C813FE">
        <w:t>cílem zajistit jejich přístup k rovným příležitostem;</w:t>
      </w:r>
    </w:p>
    <w:p w:rsidR="00DF4529" w:rsidRPr="00C813FE" w:rsidRDefault="00DF4529" w:rsidP="00DF4529">
      <w:pPr>
        <w:pStyle w:val="NormalHanging12a"/>
      </w:pPr>
      <w:r w:rsidRPr="00C813FE">
        <w:t>15.</w:t>
      </w:r>
      <w:r w:rsidRPr="00C813FE">
        <w:tab/>
        <w:t xml:space="preserve">vyzývá Komisi, aby podporovala výměnu osvědčených postupů mezi členskými státy v oblasti vysoce kvalitních stáží, které budou dostupné pro všechny; vybízí členské státy, aby poskytovaly poradenství a pomoc zaměstnavatelům, zejména </w:t>
      </w:r>
      <w:proofErr w:type="spellStart"/>
      <w:r w:rsidRPr="00C813FE">
        <w:t>mikropodnikům</w:t>
      </w:r>
      <w:proofErr w:type="spellEnd"/>
      <w:r w:rsidRPr="00C813FE">
        <w:t xml:space="preserve"> a malým a středním podnikům, a umožnily jim tak nabízet vysoce kvalitní stáže, a vytvářely pobídky pro zaměstnavatele, kteří stážistům po úspěšném absolvování stáže poskytnou vysoce kvalitní pracovní místa;</w:t>
      </w:r>
    </w:p>
    <w:p w:rsidR="00DF4529" w:rsidRPr="00C813FE" w:rsidRDefault="00DF4529" w:rsidP="00DF4529">
      <w:pPr>
        <w:pStyle w:val="NormalHanging12a"/>
        <w:rPr>
          <w:szCs w:val="24"/>
        </w:rPr>
      </w:pPr>
      <w:r w:rsidRPr="00C813FE">
        <w:t>16.</w:t>
      </w:r>
      <w:r w:rsidRPr="00C813FE">
        <w:tab/>
        <w:t>vyzývá Komisi, aby v návaznosti na Evropský rok dovedností věnovala zvláštní pozornost zaručení kvalitních, přístupných a placených stáží, zejména na otevřeném trhu práce, v souladu s výsledným dokumentem Konference o budoucnosti Evropy z</w:t>
      </w:r>
      <w:r w:rsidR="00950C91" w:rsidRPr="00C813FE">
        <w:t> </w:t>
      </w:r>
      <w:r w:rsidRPr="00C813FE">
        <w:t>května 2022;</w:t>
      </w:r>
    </w:p>
    <w:p w:rsidR="00DF4529" w:rsidRPr="00C813FE" w:rsidRDefault="00DF4529" w:rsidP="00DF4529">
      <w:pPr>
        <w:pStyle w:val="NormalHanging12a"/>
        <w:rPr>
          <w:szCs w:val="24"/>
        </w:rPr>
      </w:pPr>
      <w:r w:rsidRPr="00C813FE">
        <w:t>17.</w:t>
      </w:r>
      <w:r w:rsidRPr="00C813FE">
        <w:tab/>
        <w:t>vyzývá Komisi, aby členským státům poskytla pomoc při právních šetřeních souvisejících s prováděním rámce pro kvalitu stáží;</w:t>
      </w:r>
    </w:p>
    <w:p w:rsidR="00DF4529" w:rsidRPr="00C813FE" w:rsidRDefault="00DF4529" w:rsidP="00DF4529">
      <w:pPr>
        <w:pStyle w:val="NormalHanging12a"/>
        <w:widowControl/>
        <w:rPr>
          <w:b/>
        </w:rPr>
      </w:pPr>
      <w:r w:rsidRPr="00C813FE">
        <w:rPr>
          <w:b/>
        </w:rPr>
        <w:t>Osvědčené postupy a monitorování</w:t>
      </w:r>
    </w:p>
    <w:p w:rsidR="00DF4529" w:rsidRPr="00C813FE" w:rsidRDefault="00DF4529" w:rsidP="00DF4529">
      <w:pPr>
        <w:pStyle w:val="NormalHanging12a"/>
        <w:rPr>
          <w:szCs w:val="24"/>
        </w:rPr>
      </w:pPr>
      <w:r w:rsidRPr="00C813FE">
        <w:t>18.</w:t>
      </w:r>
      <w:r w:rsidRPr="00C813FE">
        <w:tab/>
        <w:t>vyzývá členské státy, aby zavedly odpovídající systémy monitorování s cílem zajistit, že první pracovní zkušenosti stážistů budou vysoce kvalitní; vyzývá Komisi, aby předložila pokyny pro odpovídající systémy monitorování, aby byla zajištěna jednotnost sběru údajů;</w:t>
      </w:r>
    </w:p>
    <w:p w:rsidR="00DF4529" w:rsidRPr="00C813FE" w:rsidRDefault="00DF4529" w:rsidP="00DF4529">
      <w:pPr>
        <w:pStyle w:val="NormalHanging12a"/>
        <w:rPr>
          <w:szCs w:val="24"/>
        </w:rPr>
      </w:pPr>
      <w:r w:rsidRPr="00C813FE">
        <w:t>19.</w:t>
      </w:r>
      <w:r w:rsidRPr="00C813FE">
        <w:tab/>
        <w:t>vyzývá vnitrostátní inspektoráty trhu práce, aby prosazovaly dodržování stávajících předpisů o vysoce kvalitních stážích; v tomto ohledu vyzývá k dalšímu posilování informovanosti, školení a budování kapacit vnitrostátních inspektorátů trhu práce;</w:t>
      </w:r>
    </w:p>
    <w:p w:rsidR="00DF4529" w:rsidRPr="00C813FE" w:rsidRDefault="00DF4529" w:rsidP="00DF4529">
      <w:pPr>
        <w:pStyle w:val="NormalHanging12a"/>
      </w:pPr>
      <w:r w:rsidRPr="00C813FE">
        <w:t>20.</w:t>
      </w:r>
      <w:r w:rsidRPr="00C813FE">
        <w:tab/>
        <w:t>vyzývá k větší spolupráci mezi všemi zúčastněnými stranami, zejména sektorem vzdělávání, veřejnými službami zaměstnanosti, poskytovateli stáží, včetně zaměstnavatelů, celostátními orgány a regionálními a místními samosprávami, a to při zapojení sociálních partnerů, zástupců mládežnických organizací a stážistů; navrhuje vytvoření Evropské aliance pro stáže, podobné Evropské alianci pro učňovskou přípravu, která by spojovala vlády a klíčové zúčastněné strany s cílem posílit kvalitu a nabídku stáží v celé Unii a zároveň podporovat mobilitu stážistů, zejména zajištěním přístupu k dostatečným finančním zdrojům, včetně jazykových kurzů;</w:t>
      </w:r>
    </w:p>
    <w:p w:rsidR="00DF4529" w:rsidRPr="00C813FE" w:rsidRDefault="00DF4529" w:rsidP="00DF4529">
      <w:pPr>
        <w:pStyle w:val="NormalHanging12a"/>
        <w:rPr>
          <w:szCs w:val="24"/>
        </w:rPr>
      </w:pPr>
      <w:r w:rsidRPr="00C813FE">
        <w:t>21.</w:t>
      </w:r>
      <w:r w:rsidRPr="00C813FE">
        <w:tab/>
        <w:t xml:space="preserve">vyzývá k podpoře místních paktů pro dovednosti ve spolupráci s veřejnými úřady práce a všemi relevantním aktéry na místní úrovni, aby se zajistilo, že stáže budou podporovat </w:t>
      </w:r>
      <w:r w:rsidRPr="00C813FE">
        <w:lastRenderedPageBreak/>
        <w:t>odstraňování nesouladu mezi nabízenými a požadovanými dovednostmi na trzích práce;</w:t>
      </w:r>
    </w:p>
    <w:p w:rsidR="00DF4529" w:rsidRPr="00C813FE" w:rsidRDefault="00DF4529" w:rsidP="00DF4529">
      <w:pPr>
        <w:pStyle w:val="NormalHanging12a"/>
        <w:widowControl/>
        <w:rPr>
          <w:b/>
        </w:rPr>
      </w:pPr>
      <w:r w:rsidRPr="00C813FE">
        <w:rPr>
          <w:b/>
        </w:rPr>
        <w:t>Sběr údajů</w:t>
      </w:r>
    </w:p>
    <w:p w:rsidR="00DF4529" w:rsidRPr="00C813FE" w:rsidRDefault="00DF4529" w:rsidP="00DF4529">
      <w:pPr>
        <w:pStyle w:val="NormalHanging12a"/>
        <w:rPr>
          <w:szCs w:val="24"/>
        </w:rPr>
      </w:pPr>
      <w:r w:rsidRPr="00C813FE">
        <w:t>22.</w:t>
      </w:r>
      <w:r w:rsidRPr="00C813FE">
        <w:tab/>
        <w:t>vyzývá k lepšímu a srovnatelnějšímu sběru údajů o stážích na vnitrostátní i evropské úrovni; žádá, aby srovnatelné údaje o stážích byly zahrnuty do srovnávacího přehledu sociálních ukazatelů;</w:t>
      </w:r>
    </w:p>
    <w:p w:rsidR="00DF4529" w:rsidRPr="00C813FE" w:rsidRDefault="00DF4529" w:rsidP="00DF4529">
      <w:pPr>
        <w:pStyle w:val="NormalHanging12a"/>
      </w:pPr>
      <w:r w:rsidRPr="00C813FE">
        <w:t>23.</w:t>
      </w:r>
      <w:r w:rsidRPr="00C813FE">
        <w:tab/>
        <w:t xml:space="preserve">zdůrazňuje, že jsou zapotřebí další údaje, zejména </w:t>
      </w:r>
      <w:proofErr w:type="gramStart"/>
      <w:r w:rsidRPr="00C813FE">
        <w:t>ohledně</w:t>
      </w:r>
      <w:proofErr w:type="gramEnd"/>
      <w:r w:rsidRPr="00C813FE">
        <w:t>: statistických údajů o neplacených stážích a o tom, ve kterých odvětvích je tato otázka obzvláště důležitá; překážek, kterým stážisté čelí při získávání vysoce kvalitní stáže, a způsobů, jak je překonávat; dopadů nedávné socioekonomické krize na stážisty; problémů, s nimiž se často stážisté setkávají při absolvování stáže, a způsobů, jak je překonávat; možných překážek, kterým čelí zaměstnavatelé při nabízení vysoce kvalitních stáží, a způsobů, jak je překonávat; výhod a nevýhod digitálních stáží; zkušeností stážistů se zdravotním postižením a stážistů ze zranitelného prostředí; překážek u přeshraničních stáží a způsobů, jak je překonávat;</w:t>
      </w:r>
    </w:p>
    <w:p w:rsidR="00DF4529" w:rsidRPr="00C813FE" w:rsidRDefault="00DF4529" w:rsidP="00DF4529">
      <w:pPr>
        <w:pStyle w:val="NormalHanging12a"/>
        <w:widowControl/>
        <w:rPr>
          <w:b/>
        </w:rPr>
      </w:pPr>
      <w:r w:rsidRPr="00C813FE">
        <w:rPr>
          <w:b/>
        </w:rPr>
        <w:t xml:space="preserve">Přístupnost </w:t>
      </w:r>
    </w:p>
    <w:p w:rsidR="00DF4529" w:rsidRPr="00C813FE" w:rsidRDefault="00DF4529" w:rsidP="00DF4529">
      <w:pPr>
        <w:pStyle w:val="NormalHanging12a"/>
        <w:rPr>
          <w:vertAlign w:val="superscript"/>
        </w:rPr>
      </w:pPr>
      <w:r w:rsidRPr="00C813FE">
        <w:t>24.</w:t>
      </w:r>
      <w:r w:rsidRPr="00C813FE">
        <w:tab/>
        <w:t>připomíná, že musí být zakázána jakákoli diskriminace založená na pohlaví, rase, barvě pleti, národnosti, etnickém nebo sociálním či ekonomickém původu, genetických rysech, jazyku, náboženském vyznání nebo přesvědčení, politických či jakýchkoli jiných názorech, příslušnosti k národnostní menšině, majetku, narození, zdravotním postižení, věku nebo sexuální orientaci; vyzývá členské státy, aby zavedly konkrétní opatření, která to zajistí</w:t>
      </w:r>
      <w:r w:rsidRPr="00C813FE">
        <w:rPr>
          <w:rStyle w:val="FootnoteReference"/>
        </w:rPr>
        <w:footnoteReference w:id="26"/>
      </w:r>
      <w:r w:rsidRPr="00C813FE">
        <w:t>;</w:t>
      </w:r>
    </w:p>
    <w:p w:rsidR="00DF4529" w:rsidRPr="00C813FE" w:rsidRDefault="00DF4529" w:rsidP="00DF4529">
      <w:pPr>
        <w:pStyle w:val="NormalHanging12a"/>
        <w:rPr>
          <w:szCs w:val="24"/>
        </w:rPr>
      </w:pPr>
      <w:r w:rsidRPr="00C813FE">
        <w:t>25.</w:t>
      </w:r>
      <w:r w:rsidRPr="00C813FE">
        <w:tab/>
        <w:t xml:space="preserve">zdůrazňuje, že vysoce kvalitní stáže musí být inkluzivní a přístupné všem; vyzdvihuje zejména, že je třeba podporovat osoby se zdravotním postižením, aby měly přístup k vysoce kvalitním stážím, a zároveň zajistit inkluzivní proces přijímání stážistů a snížit překážky pro osoby se zdravotním postižením; vyzývá ke stanovení </w:t>
      </w:r>
      <w:proofErr w:type="spellStart"/>
      <w:r w:rsidRPr="00C813FE">
        <w:t>celounijní</w:t>
      </w:r>
      <w:proofErr w:type="spellEnd"/>
      <w:r w:rsidRPr="00C813FE">
        <w:t xml:space="preserve"> definice zdravotního postižení a k rozšíření evropského průkazu osob se zdravotním postižením, čímž by se usnadnila mobilita osob se zdravotním postižením a jejich schopnost využívat příležitostí ke stáži v jiných členských státech; zdůrazňuje potřebu přístupného pracoviště přizpůsobeného potřebám stážistů s různými druhy zdravotního postižení; vyzývá k revizi směrnice Rady 2000/78/ES</w:t>
      </w:r>
      <w:r w:rsidRPr="00C813FE">
        <w:rPr>
          <w:rStyle w:val="FootnoteReference"/>
        </w:rPr>
        <w:footnoteReference w:id="27"/>
      </w:r>
      <w:r w:rsidRPr="00C813FE">
        <w:t xml:space="preserve"> s cílem zkvalitnit článek o přiměřené úpravě na pracovišti v souladu s Úmluvou OSN o právech osob se zdravotním postižením; vyzývá k odblokování přijetí návrhu antidiskriminační směrnice (</w:t>
      </w:r>
      <w:proofErr w:type="gramStart"/>
      <w:r w:rsidRPr="00C813FE">
        <w:t>COM(2008</w:t>
      </w:r>
      <w:proofErr w:type="gramEnd"/>
      <w:r w:rsidRPr="00C813FE">
        <w:t>)0426); zdůrazňuje, že je zapotřebí oddělit odměnu za práci a podporu pro osoby se zdravotním postižením, aby se umožnilo pokrytí dodatečných nákladů při stážích souvisejících se zdravotním postižením; zdůrazňuje význam osobní asistence, která osobám se zdravotním postižením pomáhá žít samostatně; vyzývá k větší spolupráci mezi sociálními partnery a organizacemi zastupujícími osoby, které jsou vystaveny většímu riziku diskriminace;</w:t>
      </w:r>
    </w:p>
    <w:p w:rsidR="00DF4529" w:rsidRPr="00C813FE" w:rsidRDefault="00DF4529" w:rsidP="00DF4529">
      <w:pPr>
        <w:pStyle w:val="NormalHanging12a"/>
        <w:rPr>
          <w:szCs w:val="24"/>
        </w:rPr>
      </w:pPr>
      <w:r w:rsidRPr="00C813FE">
        <w:t>26.</w:t>
      </w:r>
      <w:r w:rsidRPr="00C813FE">
        <w:tab/>
        <w:t xml:space="preserve">zdůrazňuje potřebu celoživotního </w:t>
      </w:r>
      <w:r w:rsidR="00950C91" w:rsidRPr="00C813FE">
        <w:t>vzdělávání</w:t>
      </w:r>
      <w:r w:rsidRPr="00C813FE">
        <w:t xml:space="preserve">; požaduje, aby byly stáže přístupné lidem všech věkových kategorií; připomíná, že stáže mohou zajistit poskytovateli stáží </w:t>
      </w:r>
      <w:r w:rsidRPr="00C813FE">
        <w:lastRenderedPageBreak/>
        <w:t>i stážistům mnoho výhod; v této souvislosti zdůrazňuje obrovský a podhodnocený potenciál starších osob;</w:t>
      </w:r>
    </w:p>
    <w:p w:rsidR="00DF4529" w:rsidRPr="00C813FE" w:rsidRDefault="00DF4529" w:rsidP="00DF4529">
      <w:pPr>
        <w:pStyle w:val="NormalHanging12a"/>
        <w:rPr>
          <w:szCs w:val="24"/>
        </w:rPr>
      </w:pPr>
      <w:r w:rsidRPr="00C813FE">
        <w:t>27.</w:t>
      </w:r>
      <w:r w:rsidRPr="00C813FE">
        <w:tab/>
        <w:t>zdůrazňuje, že je třeba nabídnout příležitosti zaměřené na mladé lidi ze znevýhodněného prostředí, zejména na mladé lidi, kteří nejsou zaměstnaní ani se neúčastní vzdělávání nebo odborné přípravy (NEET); v tomto ohledu podporuje cíl na úrovni Unie, který stanoví, že podíl NEET by měl být do roku 2030 nižší než 9 %</w:t>
      </w:r>
      <w:r w:rsidRPr="00C813FE">
        <w:rPr>
          <w:vertAlign w:val="superscript"/>
        </w:rPr>
        <w:footnoteReference w:id="28"/>
      </w:r>
      <w:r w:rsidRPr="00C813FE">
        <w:t xml:space="preserve">; </w:t>
      </w:r>
    </w:p>
    <w:p w:rsidR="00DF4529" w:rsidRPr="00C813FE" w:rsidRDefault="00DF4529" w:rsidP="00DF4529">
      <w:pPr>
        <w:pStyle w:val="NormalHanging12a"/>
        <w:widowControl/>
        <w:rPr>
          <w:b/>
          <w:szCs w:val="24"/>
        </w:rPr>
      </w:pPr>
      <w:r w:rsidRPr="00C813FE">
        <w:rPr>
          <w:b/>
        </w:rPr>
        <w:t>Přeshraniční mobilita</w:t>
      </w:r>
    </w:p>
    <w:p w:rsidR="004807E5" w:rsidRPr="00C813FE" w:rsidRDefault="00DF4529" w:rsidP="00F058DB">
      <w:pPr>
        <w:pStyle w:val="NormalHanging12a"/>
        <w:rPr>
          <w:szCs w:val="24"/>
        </w:rPr>
      </w:pPr>
      <w:r w:rsidRPr="00C813FE">
        <w:t>28.</w:t>
      </w:r>
      <w:r w:rsidRPr="00C813FE">
        <w:tab/>
        <w:t>vyzývá členské státy, aby podněcovaly více přeshraničních stáží; v tomto ohledu zdůrazňuje potenciál portálu EURES jako nástroje pro soulad mezi nabídkou a poptávkou u stáží a umístění; vyzývá Komisi, aby dále rozvíjela EURES poskytováním srozumitelnějších informací ve formátech, které jsou přístupné lidem s různými typy zdravotního postižení, a zdokonalením poradenských služeb a služeb zprostředkování práce zájemcům z řad stážistů, kteří chtějí využít přeshraniční mobilitu; vyzývá členské státy, aby propagovaly EURES mimo jiné mezi poskytovateli stáží, mladými lidmi, nezaměstnanými a čerstvými absolventy; vyzývá Komisi a členské státy, aby usnadnily uznávání a validaci znalostí, dovedností a kompetencí získaných během stáže, zejména pokud jde o přeshraniční uznávání dovedností; zdůrazňuje skutečnost, že stáže jsou platnou pracovní zkušeností a měly by být jako takové uznávány během náboru do zaměstnání;</w:t>
      </w:r>
    </w:p>
    <w:p w:rsidR="00DF4529" w:rsidRPr="00C813FE" w:rsidRDefault="00DF4529" w:rsidP="00DF4529">
      <w:pPr>
        <w:pStyle w:val="NormalHanging12a"/>
      </w:pPr>
      <w:r w:rsidRPr="00C813FE">
        <w:t>29.</w:t>
      </w:r>
      <w:r w:rsidRPr="00C813FE">
        <w:tab/>
        <w:t xml:space="preserve">žádá Komisi, aby na základě čl. 153 odst. 2 písm. b) </w:t>
      </w:r>
      <w:r w:rsidR="00AE54C6" w:rsidRPr="00C813FE">
        <w:t xml:space="preserve">Smlouvy o fungování EU </w:t>
      </w:r>
      <w:r w:rsidRPr="00C813FE">
        <w:t xml:space="preserve">ve spojení s čl. 153 odst. 1 písm. b) </w:t>
      </w:r>
      <w:r w:rsidR="00AE54C6" w:rsidRPr="00C813FE">
        <w:t xml:space="preserve">Smlouvy o fungování EU </w:t>
      </w:r>
      <w:r w:rsidRPr="00C813FE">
        <w:t xml:space="preserve"> předložila návrh směrnice Parlamentu a Rady o rámci pro kvalitu stáží, který stanoví minimální požadavky na normy kvality a přiměřenou odměnu za stáže na otevřeném trhu práce, stáže v rámci aktivních politik na trhu práce a stáže, které jsou povinnou součástí odborné přípravy, v souladu s návrhem směrnice uvedeným v příloze I;</w:t>
      </w:r>
    </w:p>
    <w:p w:rsidR="00DF4529" w:rsidRPr="00C813FE" w:rsidRDefault="00DF4529" w:rsidP="00DF4529">
      <w:pPr>
        <w:pStyle w:val="NormalHanging12a"/>
        <w:rPr>
          <w:spacing w:val="4"/>
          <w:shd w:val="clear" w:color="auto" w:fill="FFFFFF"/>
        </w:rPr>
      </w:pPr>
      <w:r w:rsidRPr="00C813FE">
        <w:t>30.</w:t>
      </w:r>
      <w:r w:rsidRPr="00C813FE">
        <w:tab/>
        <w:t xml:space="preserve">žádá Komisi, aby na základě čl. 166 odst. 4 </w:t>
      </w:r>
      <w:r w:rsidR="00AE54C6" w:rsidRPr="00C813FE">
        <w:t xml:space="preserve">Smlouvy o fungování EU </w:t>
      </w:r>
      <w:r w:rsidRPr="00C813FE">
        <w:t xml:space="preserve"> předložila návrh rozhodnutí Parlamentu a Rady o rámci pro kvalitu stáží pořádaných za účelem získání vzdělání v souladu s návrhem rozhodnutí uvedeným v příloze II;</w:t>
      </w:r>
    </w:p>
    <w:p w:rsidR="00F058DB" w:rsidRPr="00C813FE" w:rsidRDefault="00DF4529" w:rsidP="00F058DB">
      <w:pPr>
        <w:pStyle w:val="NormalHanging12a"/>
      </w:pPr>
      <w:r w:rsidRPr="00C813FE">
        <w:t>31.</w:t>
      </w:r>
      <w:r w:rsidRPr="00C813FE">
        <w:tab/>
      </w:r>
      <w:r w:rsidRPr="00F058DB">
        <w:t>domnívá</w:t>
      </w:r>
      <w:r w:rsidRPr="00C813FE">
        <w:rPr>
          <w:snapToGrid w:val="0"/>
        </w:rPr>
        <w:t xml:space="preserve"> se, že je třeba zajistit dostatečné financování návrhů stanovených v tomto usnesení, a má za to, že finanční dopady požadovaných návrhů by měly být hrazeny příslušnými příděly z rozpočtu Unie;</w:t>
      </w:r>
      <w:r w:rsidR="00F058DB" w:rsidRPr="00F058DB">
        <w:t xml:space="preserve"> </w:t>
      </w:r>
    </w:p>
    <w:p w:rsidR="00F058DB" w:rsidRPr="00C813FE" w:rsidRDefault="00F058DB" w:rsidP="00F058DB">
      <w:pPr>
        <w:pStyle w:val="NormalHanging12a"/>
        <w:widowControl/>
        <w:ind w:left="0" w:firstLine="0"/>
        <w:jc w:val="center"/>
        <w:rPr>
          <w:szCs w:val="24"/>
        </w:rPr>
      </w:pPr>
      <w:r w:rsidRPr="00C813FE">
        <w:rPr>
          <w:szCs w:val="24"/>
        </w:rPr>
        <w:t>°</w:t>
      </w:r>
    </w:p>
    <w:p w:rsidR="00F058DB" w:rsidRPr="00C813FE" w:rsidRDefault="00F058DB" w:rsidP="00F058DB">
      <w:pPr>
        <w:pStyle w:val="NormalHanging12a"/>
        <w:widowControl/>
        <w:ind w:left="0" w:firstLine="0"/>
        <w:jc w:val="center"/>
        <w:rPr>
          <w:szCs w:val="24"/>
        </w:rPr>
      </w:pPr>
      <w:r w:rsidRPr="00C813FE">
        <w:rPr>
          <w:szCs w:val="24"/>
        </w:rPr>
        <w:t>°     °</w:t>
      </w:r>
    </w:p>
    <w:p w:rsidR="00DF4529" w:rsidRPr="00C813FE" w:rsidRDefault="00DF4529" w:rsidP="00DF4529">
      <w:pPr>
        <w:pStyle w:val="NormalHanging12a"/>
      </w:pPr>
      <w:r w:rsidRPr="00C813FE">
        <w:t>32.</w:t>
      </w:r>
      <w:r w:rsidRPr="00C813FE">
        <w:tab/>
        <w:t>pověřuje svou předsedkyni, aby předala toto usnesení a doporučení uvedená v příloze Komisi a Radě.</w:t>
      </w:r>
    </w:p>
    <w:p w:rsidR="00DD020E" w:rsidRPr="00C813FE" w:rsidRDefault="00DD020E" w:rsidP="00DF4529">
      <w:pPr>
        <w:pStyle w:val="NormalHanging12a"/>
        <w:rPr>
          <w:szCs w:val="24"/>
        </w:rPr>
      </w:pPr>
    </w:p>
    <w:p w:rsidR="00DF4529" w:rsidRPr="00C813FE" w:rsidRDefault="00DF4529" w:rsidP="00DF4529">
      <w:pPr>
        <w:sectPr w:rsidR="00DF4529" w:rsidRPr="00C813FE" w:rsidSect="009F1468">
          <w:footerReference w:type="even" r:id="rId9"/>
          <w:footerReference w:type="first" r:id="rId10"/>
          <w:footnotePr>
            <w:numRestart w:val="eachPage"/>
          </w:footnotePr>
          <w:endnotePr>
            <w:numFmt w:val="decimal"/>
          </w:endnotePr>
          <w:pgSz w:w="11906" w:h="16838" w:code="9"/>
          <w:pgMar w:top="1134" w:right="1418" w:bottom="1418" w:left="1418" w:header="1134" w:footer="567" w:gutter="0"/>
          <w:cols w:space="720"/>
          <w:noEndnote/>
          <w:docGrid w:linePitch="326"/>
        </w:sectPr>
      </w:pPr>
    </w:p>
    <w:p w:rsidR="00DF4529" w:rsidRPr="00C813FE" w:rsidRDefault="00DF4529" w:rsidP="00DF4529">
      <w:pPr>
        <w:pStyle w:val="PageHeading"/>
      </w:pPr>
      <w:bookmarkStart w:id="9" w:name="_Toc135752085"/>
      <w:bookmarkStart w:id="10" w:name="_Toc135994937"/>
      <w:bookmarkStart w:id="11" w:name="_Toc137115715"/>
      <w:bookmarkEnd w:id="8"/>
      <w:r w:rsidRPr="00C813FE">
        <w:lastRenderedPageBreak/>
        <w:t>PŘÍLOHA I K USNESENÍ</w:t>
      </w:r>
      <w:bookmarkEnd w:id="9"/>
      <w:bookmarkEnd w:id="10"/>
      <w:bookmarkEnd w:id="11"/>
    </w:p>
    <w:p w:rsidR="00DF4529" w:rsidRPr="00C813FE" w:rsidRDefault="00DF4529" w:rsidP="008D44C1">
      <w:pPr>
        <w:jc w:val="center"/>
        <w:rPr>
          <w:b/>
        </w:rPr>
      </w:pPr>
      <w:r w:rsidRPr="00C813FE">
        <w:rPr>
          <w:b/>
        </w:rPr>
        <w:t>Návrh směrnice</w:t>
      </w:r>
      <w:r w:rsidR="008D44C1">
        <w:rPr>
          <w:b/>
        </w:rPr>
        <w:t xml:space="preserve"> </w:t>
      </w:r>
      <w:r w:rsidRPr="00C813FE">
        <w:rPr>
          <w:b/>
        </w:rPr>
        <w:t>Evropského parlamentu a Rady o kvalitních stážích</w:t>
      </w:r>
    </w:p>
    <w:p w:rsidR="00DF4529" w:rsidRPr="00C813FE" w:rsidRDefault="00DF4529" w:rsidP="00DF4529"/>
    <w:p w:rsidR="00DF4529" w:rsidRPr="00C813FE" w:rsidRDefault="00DF4529" w:rsidP="00DF4529">
      <w:r w:rsidRPr="00C813FE">
        <w:t>EVROPSKÝ PARLAMENT A RADA EVROPSKÉ UNIE,</w:t>
      </w:r>
    </w:p>
    <w:p w:rsidR="00DF4529" w:rsidRPr="00C813FE" w:rsidRDefault="00DF4529" w:rsidP="00DF4529"/>
    <w:p w:rsidR="00DF4529" w:rsidRPr="00C813FE" w:rsidRDefault="00DF4529" w:rsidP="00DF4529">
      <w:r w:rsidRPr="00C813FE">
        <w:t>s ohledem na Smlouvu o fungování Evropské unie, a zejména na čl. 153 odst. 2 písm. b) ve spojení s čl. 153 odst. 1 písm. b) této smlouvy,</w:t>
      </w:r>
    </w:p>
    <w:p w:rsidR="00DF4529" w:rsidRPr="00C813FE" w:rsidRDefault="00DF4529" w:rsidP="00DF4529"/>
    <w:p w:rsidR="00DF4529" w:rsidRPr="00C813FE" w:rsidRDefault="00DF4529" w:rsidP="00DF4529">
      <w:r w:rsidRPr="00C813FE">
        <w:t>s ohledem na návrh Evropské komise,</w:t>
      </w:r>
    </w:p>
    <w:p w:rsidR="00DF4529" w:rsidRPr="00C813FE" w:rsidRDefault="00DF4529" w:rsidP="00DF4529"/>
    <w:p w:rsidR="00DF4529" w:rsidRPr="00C813FE" w:rsidRDefault="00DF4529" w:rsidP="00DF4529">
      <w:r w:rsidRPr="00C813FE">
        <w:t>s ohledem na stanovisko Evropského hospodářského a sociálního výboru,</w:t>
      </w:r>
    </w:p>
    <w:p w:rsidR="00DF4529" w:rsidRPr="00C813FE" w:rsidRDefault="00DF4529" w:rsidP="00DF4529"/>
    <w:p w:rsidR="00DF4529" w:rsidRPr="00C813FE" w:rsidRDefault="00DF4529" w:rsidP="00DF4529">
      <w:r w:rsidRPr="00C813FE">
        <w:t>s ohledem na stanovisko Výboru regionů,</w:t>
      </w:r>
    </w:p>
    <w:p w:rsidR="00DF4529" w:rsidRPr="00C813FE" w:rsidRDefault="00DF4529" w:rsidP="00DF4529"/>
    <w:p w:rsidR="00DF4529" w:rsidRPr="00C813FE" w:rsidRDefault="00DF4529" w:rsidP="00DF4529">
      <w:r w:rsidRPr="00C813FE">
        <w:t>v souladu s řádným legislativním postupem,</w:t>
      </w:r>
    </w:p>
    <w:p w:rsidR="00DF4529" w:rsidRPr="00C813FE" w:rsidRDefault="00DF4529" w:rsidP="00DF4529"/>
    <w:p w:rsidR="00DF4529" w:rsidRPr="00C813FE" w:rsidRDefault="00DF4529" w:rsidP="00DF4529">
      <w:pPr>
        <w:pStyle w:val="CM4"/>
        <w:spacing w:before="60" w:after="60"/>
        <w:rPr>
          <w:rFonts w:ascii="Times New Roman" w:hAnsi="Times New Roman"/>
        </w:rPr>
      </w:pPr>
      <w:r w:rsidRPr="00C813FE">
        <w:rPr>
          <w:rFonts w:ascii="Times New Roman" w:hAnsi="Times New Roman"/>
        </w:rPr>
        <w:t xml:space="preserve">vzhledem k těmto důvodům: </w:t>
      </w:r>
    </w:p>
    <w:p w:rsidR="00DF4529" w:rsidRPr="00C813FE" w:rsidRDefault="00DF4529" w:rsidP="00DF4529"/>
    <w:p w:rsidR="00DF4529" w:rsidRPr="00C813FE" w:rsidRDefault="00DF4529" w:rsidP="00DF4529">
      <w:r w:rsidRPr="00C813FE">
        <w:t xml:space="preserve">(1) </w:t>
      </w:r>
      <w:r w:rsidRPr="00C813FE">
        <w:tab/>
        <w:t xml:space="preserve">První zásada evropského pilíře sociálních práv stanoví, že každý má právo na kvalitní a inkluzivní všeobecné a odborné vzdělávání a celoživotní </w:t>
      </w:r>
      <w:r w:rsidR="00C537FB" w:rsidRPr="00C813FE">
        <w:t>vzdělávání</w:t>
      </w:r>
      <w:r w:rsidRPr="00C813FE">
        <w:t xml:space="preserve">, aby si udržel a nabyl dovednosti, které mu umožní účastnit se plně na životě společnosti a úspěšně zvládat přechody na trhu práce. Zásada </w:t>
      </w:r>
      <w:proofErr w:type="gramStart"/>
      <w:r w:rsidRPr="00C813FE">
        <w:t>č. 3 evropského</w:t>
      </w:r>
      <w:proofErr w:type="gramEnd"/>
      <w:r w:rsidRPr="00C813FE">
        <w:t xml:space="preserve"> pilíře sociálních práv zdůrazňuje, že bez ohledu na pohlaví, rasový nebo etnický původ, náboženské vyznání nebo přesvědčení, zdravotní postižení, věk nebo sexuální orientaci má každý právo na rovné zacházení a příležitosti</w:t>
      </w:r>
      <w:r w:rsidR="00950C91" w:rsidRPr="00C813FE">
        <w:t xml:space="preserve"> pokud jde mimo jiné o</w:t>
      </w:r>
      <w:r w:rsidRPr="00C813FE">
        <w:t xml:space="preserve"> zaměstnání a vzdělávání.</w:t>
      </w:r>
    </w:p>
    <w:p w:rsidR="00DF4529" w:rsidRPr="00C813FE" w:rsidRDefault="00DF4529" w:rsidP="00DF4529"/>
    <w:p w:rsidR="00DF4529" w:rsidRPr="00C813FE" w:rsidRDefault="00DF4529" w:rsidP="00DF4529">
      <w:r w:rsidRPr="00C813FE">
        <w:t xml:space="preserve">(2) </w:t>
      </w:r>
      <w:r w:rsidRPr="00C813FE">
        <w:tab/>
        <w:t xml:space="preserve">V čl. 14 odst. 1 Listiny základních práv Evropské unie 28 se stanoví, že každý má právo na vzdělání a </w:t>
      </w:r>
      <w:r w:rsidR="00042CF3" w:rsidRPr="00C813FE">
        <w:t xml:space="preserve">na </w:t>
      </w:r>
      <w:r w:rsidRPr="00C813FE">
        <w:t>přístup k odbornému a dalšímu vzdělávání.</w:t>
      </w:r>
    </w:p>
    <w:p w:rsidR="00DF4529" w:rsidRPr="00C813FE" w:rsidRDefault="00DF4529" w:rsidP="00DF4529"/>
    <w:p w:rsidR="00DF4529" w:rsidRPr="00C813FE" w:rsidRDefault="00DF4529" w:rsidP="00DF4529">
      <w:r w:rsidRPr="00C813FE">
        <w:t xml:space="preserve">(3) </w:t>
      </w:r>
      <w:r w:rsidRPr="00C813FE">
        <w:tab/>
        <w:t xml:space="preserve">Cílem Strategie práv osob se zdravotním postižením na období 2021–2030 je zajistit plné zapojení osob </w:t>
      </w:r>
      <w:r w:rsidR="00AA2919" w:rsidRPr="00C813FE">
        <w:t xml:space="preserve">se zdravotním postižením </w:t>
      </w:r>
      <w:r w:rsidRPr="00C813FE">
        <w:t xml:space="preserve">do společnosti na rovnoprávném základě s ostatními lidmi v Unii i mimo ni. V rámci </w:t>
      </w:r>
      <w:r w:rsidR="000918D9" w:rsidRPr="00C813FE">
        <w:t>uvedené</w:t>
      </w:r>
      <w:r w:rsidR="00AA2919" w:rsidRPr="00C813FE">
        <w:t xml:space="preserve"> </w:t>
      </w:r>
      <w:r w:rsidRPr="00C813FE">
        <w:t>strategie se Komise zavazuje, že zajistí, aby se osoby se zdravotním postižením mohly účastnit odborné přípravy a učit se novým dovednostem, což je základní předpoklad pro výkon zaměstnání a nezávislost.</w:t>
      </w:r>
    </w:p>
    <w:p w:rsidR="00DF4529" w:rsidRPr="00C813FE" w:rsidRDefault="00DF4529" w:rsidP="00DF4529"/>
    <w:p w:rsidR="00DF4529" w:rsidRPr="00C813FE" w:rsidRDefault="00DF4529" w:rsidP="00DF4529">
      <w:r w:rsidRPr="00C813FE">
        <w:t xml:space="preserve">(4) </w:t>
      </w:r>
      <w:r w:rsidRPr="00C813FE">
        <w:tab/>
        <w:t>Stáže se staly důležitým bodem vstupu na trh práce.</w:t>
      </w:r>
    </w:p>
    <w:p w:rsidR="00DF4529" w:rsidRPr="00C813FE" w:rsidRDefault="00DF4529" w:rsidP="00DF4529"/>
    <w:p w:rsidR="00DF4529" w:rsidRPr="00C813FE" w:rsidRDefault="00DF4529" w:rsidP="00DF4529">
      <w:pPr>
        <w:autoSpaceDE w:val="0"/>
        <w:autoSpaceDN w:val="0"/>
        <w:adjustRightInd w:val="0"/>
        <w:rPr>
          <w:b/>
          <w:bCs/>
          <w:i/>
          <w:iCs/>
        </w:rPr>
      </w:pPr>
      <w:r w:rsidRPr="00C813FE">
        <w:t xml:space="preserve">(5) </w:t>
      </w:r>
      <w:r w:rsidRPr="00C813FE">
        <w:tab/>
        <w:t>Pokud stáže, obzvláště opakované, nahrazují řádné zaměstnání, zejména nástupní pozice, které jsou obvykle stážistům nabízeny, vznikají socioekonomické náklady. Mimoto nekvalitní stáže, zejména stáže s malým vzdělávacím obsahem, nevedou k zaměstnatelnosti stážisty a žádná strana z nich nemá prospěch. Mohou vzniknout rovněž sociální náklady v souvislosti s málo placenými nebo neplacenými stážemi, jež mohou omezit možnosti profesního uplatnění osob pocházejících ze znevýhodněného prostředí.</w:t>
      </w:r>
    </w:p>
    <w:p w:rsidR="00DF4529" w:rsidRPr="00C813FE" w:rsidRDefault="00DF4529" w:rsidP="00DF4529"/>
    <w:p w:rsidR="00DF4529" w:rsidRPr="00C813FE" w:rsidRDefault="00DF4529" w:rsidP="00DF4529">
      <w:r w:rsidRPr="00C813FE">
        <w:t xml:space="preserve">(6) </w:t>
      </w:r>
      <w:r w:rsidRPr="00C813FE">
        <w:tab/>
        <w:t>Finanční situace jednotlivc</w:t>
      </w:r>
      <w:r w:rsidR="00AA2919" w:rsidRPr="00C813FE">
        <w:t>ů</w:t>
      </w:r>
      <w:r w:rsidRPr="00C813FE">
        <w:t xml:space="preserve"> značně ovliv</w:t>
      </w:r>
      <w:r w:rsidR="00AA2919" w:rsidRPr="00C813FE">
        <w:t>ňuje</w:t>
      </w:r>
      <w:r w:rsidRPr="00C813FE">
        <w:t xml:space="preserve"> je</w:t>
      </w:r>
      <w:r w:rsidR="00AA2919" w:rsidRPr="00C813FE">
        <w:t>jich</w:t>
      </w:r>
      <w:r w:rsidRPr="00C813FE">
        <w:t xml:space="preserve"> rozhodnutí absolvovat neplacenou nebo špatně placenou stáž. Mladí lidé ze zranitelného prostředí jsou nespravedlivě vyloučeni z přístupu k pracovním příležitostem v rámci organizací a odvětví, které nabízejí neplacené stáže a nepřímo diskriminují některé skupiny mladých lidí.</w:t>
      </w:r>
    </w:p>
    <w:p w:rsidR="00DF4529" w:rsidRPr="00C813FE" w:rsidRDefault="00DF4529" w:rsidP="00DF4529"/>
    <w:p w:rsidR="00DF4529" w:rsidRPr="00C813FE" w:rsidRDefault="00DF4529" w:rsidP="00DF4529">
      <w:r w:rsidRPr="00C813FE">
        <w:t xml:space="preserve">(7) </w:t>
      </w:r>
      <w:r w:rsidRPr="00C813FE">
        <w:tab/>
        <w:t xml:space="preserve">Jsou k dispozici důkazy o spojitosti mezi kvalitou stáže a zaměstnaností. Význam stáže při usnadnění přechodu do zaměstnání závisí na její kvalitě, pokud jde o vzdělávací obsah a pracovní podmínky. Kvalitní stáže motivují mladé lidi ke vstupu na trh práce, zlepšují budoucí vyhlídky a duševní stabilitu, posilují soulad mezi nabízenými a požadovanými dovednostmi na trhu práce, přinášejí přímé výhody v oblasti produktivity a podporují mobilitu, zejména snižováním nákladů na hledání a na soulad mezi požadavky, a to jak na straně podniků, tak účastníků stáží. </w:t>
      </w:r>
    </w:p>
    <w:p w:rsidR="00DF4529" w:rsidRPr="00C813FE" w:rsidRDefault="00DF4529" w:rsidP="00DF4529"/>
    <w:p w:rsidR="00DF4529" w:rsidRPr="00C813FE" w:rsidRDefault="00DF4529" w:rsidP="00DF4529">
      <w:r w:rsidRPr="00C813FE">
        <w:t xml:space="preserve">(8) </w:t>
      </w:r>
      <w:r w:rsidRPr="00C813FE">
        <w:tab/>
        <w:t>Existují důkazy o tom, že značný počet stáží postrádá souvislost mezi úkoly a vzdělávacími cíli. Kvalitní stáž musí nabízet náležitý a smysluplný vzdělávací obsah. To mimo jiné znamená stanovení konkrétních dovedností, které si má stážista osvojit, zajištění dohledu nad stážistou a jeho odborného vedení a sledování jeho pokroku.</w:t>
      </w:r>
    </w:p>
    <w:p w:rsidR="00DF4529" w:rsidRPr="00C813FE" w:rsidRDefault="00DF4529" w:rsidP="00DF4529"/>
    <w:p w:rsidR="00DF4529" w:rsidRPr="00C813FE" w:rsidRDefault="00DF4529" w:rsidP="00DF4529">
      <w:r w:rsidRPr="00C813FE">
        <w:t xml:space="preserve">(9) </w:t>
      </w:r>
      <w:r w:rsidRPr="00C813FE">
        <w:tab/>
        <w:t xml:space="preserve">Byly rovněž zjištěny problémy týkající se pracovních podmínek, jako je např. dlouhá pracovní doba, nedostatečné sociální zabezpečení, nedostatečné zdravotní a úrazové pojištění, jakož i nemocenská, ochrana před zdravotními a bezpečnostními nebo pracovními riziky, nízká nebo žádná odměna a nejasnost podmínek stanovených v dohodách o stáži. </w:t>
      </w:r>
    </w:p>
    <w:p w:rsidR="00DF4529" w:rsidRPr="00C813FE" w:rsidRDefault="00DF4529" w:rsidP="00DF4529"/>
    <w:p w:rsidR="00DF4529" w:rsidRPr="00C813FE" w:rsidRDefault="00DF4529" w:rsidP="00DF4529">
      <w:r w:rsidRPr="00C813FE">
        <w:t xml:space="preserve">(10) </w:t>
      </w:r>
      <w:r w:rsidRPr="00C813FE">
        <w:tab/>
        <w:t>Členské státy by měly zajistit, aby se na stážisty vztahoval systém sociálního zabezpečení, zejména pokud jde o zdravotní péči, nezaměstnanost a důchodová práva v</w:t>
      </w:r>
      <w:r w:rsidR="00042CF3" w:rsidRPr="00C813FE">
        <w:t> </w:t>
      </w:r>
      <w:r w:rsidRPr="00C813FE">
        <w:t>souladu s vnitrostátními právními předpisy a zvyklostmi. Poskytovatelé stáží by měli zajistit, aby stážisté měli úrazové pojištění, včetně pojištění úrazů na pracovišti, v souladu s</w:t>
      </w:r>
      <w:r w:rsidR="00042CF3" w:rsidRPr="00C813FE">
        <w:t> </w:t>
      </w:r>
      <w:r w:rsidRPr="00C813FE">
        <w:t>vnitrostátními právními předpisy a zvyklostmi.</w:t>
      </w:r>
    </w:p>
    <w:p w:rsidR="00DF4529" w:rsidRPr="00C813FE" w:rsidRDefault="00DF4529" w:rsidP="00DF4529"/>
    <w:p w:rsidR="00DF4529" w:rsidRPr="00C813FE" w:rsidRDefault="00DF4529" w:rsidP="00DF4529">
      <w:r w:rsidRPr="00C813FE">
        <w:t xml:space="preserve">(11) </w:t>
      </w:r>
      <w:r w:rsidRPr="00C813FE">
        <w:tab/>
        <w:t xml:space="preserve">V některých členských státech jsou stáže na otevřeném pracovním trhu stále </w:t>
      </w:r>
      <w:proofErr w:type="spellStart"/>
      <w:r w:rsidRPr="00C813FE">
        <w:t>neregulované</w:t>
      </w:r>
      <w:r w:rsidR="00042CF3" w:rsidRPr="00C813FE">
        <w:t>Pokud</w:t>
      </w:r>
      <w:proofErr w:type="spellEnd"/>
      <w:r w:rsidRPr="00C813FE">
        <w:t xml:space="preserve"> neexistuje regulační rámec nebo nástroj nebo není zajištěna dostatečná transparentnost, pokud jde o pracovní podmínky v průběhu stáže a její vzdělávací obsah, může řada poskytovatelů stáží využívat stážisty jako levnou, či dokonce neplacenou pracovní sílu.</w:t>
      </w:r>
    </w:p>
    <w:p w:rsidR="00DF4529" w:rsidRPr="00C813FE" w:rsidRDefault="00DF4529" w:rsidP="00DF4529"/>
    <w:p w:rsidR="00AA2919" w:rsidRPr="00C813FE" w:rsidRDefault="00DF4529" w:rsidP="00DF4529">
      <w:r w:rsidRPr="00C813FE">
        <w:t xml:space="preserve">(12) </w:t>
      </w:r>
      <w:r w:rsidRPr="00C813FE">
        <w:tab/>
        <w:t>Jednou z příčin nízké kvality stáží je nedostatek takovýchto informací a závazných kritérií kvality, přičemž u stáží jsou tyto problémy mnohem rozšířenějším jevem než v</w:t>
      </w:r>
      <w:r w:rsidR="00042CF3" w:rsidRPr="00C813FE">
        <w:t> </w:t>
      </w:r>
      <w:proofErr w:type="spellStart"/>
      <w:r w:rsidR="005F2EEC" w:rsidRPr="00C813FE">
        <w:t>á</w:t>
      </w:r>
      <w:r w:rsidRPr="00C813FE">
        <w:t>případě</w:t>
      </w:r>
      <w:proofErr w:type="spellEnd"/>
      <w:r w:rsidRPr="00C813FE">
        <w:t xml:space="preserve"> řádného zaměstnání. Větší požadavky na transparentnost a </w:t>
      </w:r>
      <w:proofErr w:type="spellStart"/>
      <w:r w:rsidRPr="00C813FE">
        <w:t>genderově</w:t>
      </w:r>
      <w:proofErr w:type="spellEnd"/>
      <w:r w:rsidRPr="00C813FE">
        <w:t xml:space="preserve"> neutrální a inkluzivní oznámení nebo inzeráty nabízejících volná místa pro stážisty zlepšují dostupnost</w:t>
      </w:r>
      <w:r w:rsidR="00AA2919" w:rsidRPr="00C813FE">
        <w:t xml:space="preserve"> stáží</w:t>
      </w:r>
      <w:r w:rsidRPr="00C813FE">
        <w:t>.</w:t>
      </w:r>
    </w:p>
    <w:p w:rsidR="00DF4529" w:rsidRPr="00C813FE" w:rsidRDefault="00DF4529" w:rsidP="00DF4529"/>
    <w:p w:rsidR="00DF4529" w:rsidRPr="00C813FE" w:rsidRDefault="00DF4529" w:rsidP="00DF4529">
      <w:r w:rsidRPr="00C813FE">
        <w:t xml:space="preserve">(13) </w:t>
      </w:r>
      <w:r w:rsidRPr="00C813FE">
        <w:tab/>
        <w:t>Sociální partneři a další příslušné zúčastněné strany, jako jsou studentské svazy, mládežnické organizace a poskytovatelé služeb v oblasti celoživotního profesního poradenství hrají klíčovou úlohu při navrhování, provádění a monitorování politik a programů odborné přípravy. Jejich vzájemná spolupráce by mohla stážistům poskytnout cílené informace o dostupných profesních příležitostech a potřebách v oblasti dovedností na trzích práce, jakož i o právech a povinnostech stážistů.</w:t>
      </w:r>
    </w:p>
    <w:p w:rsidR="00DF4529" w:rsidRPr="00C813FE" w:rsidRDefault="00DF4529" w:rsidP="00DF4529"/>
    <w:p w:rsidR="00DF4529" w:rsidRPr="00C813FE" w:rsidRDefault="00DF4529" w:rsidP="00DF4529">
      <w:r w:rsidRPr="00C813FE">
        <w:t xml:space="preserve">(14) </w:t>
      </w:r>
      <w:r w:rsidRPr="00C813FE">
        <w:tab/>
        <w:t>Evropský parlament opakovaně odsoudil praxi neplacených stáží jako formu vykořisťování mladých pracovníků a porušování jejich práv a vyzval k vytvoření společného právního rámce, který by zajistil spravedlivou odměnu za stáže, aby se zabránilo vykořisťujícím praktikám.</w:t>
      </w:r>
    </w:p>
    <w:p w:rsidR="00DF4529" w:rsidRPr="00C813FE" w:rsidRDefault="00DF4529" w:rsidP="00DF4529"/>
    <w:p w:rsidR="00DF4529" w:rsidRPr="00C813FE" w:rsidRDefault="00DF4529" w:rsidP="00DF4529">
      <w:r w:rsidRPr="00C813FE">
        <w:t xml:space="preserve">(15) </w:t>
      </w:r>
      <w:r w:rsidRPr="00C813FE">
        <w:tab/>
        <w:t xml:space="preserve">Tato směrnice </w:t>
      </w:r>
      <w:r w:rsidR="00AA2919" w:rsidRPr="00C813FE">
        <w:t xml:space="preserve">by měla </w:t>
      </w:r>
      <w:r w:rsidRPr="00C813FE">
        <w:t>stanov</w:t>
      </w:r>
      <w:r w:rsidR="00AA2919" w:rsidRPr="00C813FE">
        <w:t>it</w:t>
      </w:r>
      <w:r w:rsidRPr="00C813FE">
        <w:t xml:space="preserve"> minimální normy pro určení toho, co představuje </w:t>
      </w:r>
      <w:r w:rsidRPr="00C813FE">
        <w:lastRenderedPageBreak/>
        <w:t xml:space="preserve">kvalitní stáž. </w:t>
      </w:r>
    </w:p>
    <w:p w:rsidR="00DF4529" w:rsidRPr="00C813FE" w:rsidRDefault="00DF4529" w:rsidP="00DF4529"/>
    <w:p w:rsidR="00DF4529" w:rsidRPr="00C813FE" w:rsidRDefault="00DF4529" w:rsidP="00DF4529">
      <w:r w:rsidRPr="00C813FE">
        <w:t xml:space="preserve">(16) </w:t>
      </w:r>
      <w:r w:rsidRPr="00C813FE">
        <w:tab/>
        <w:t xml:space="preserve">Tato směrnice </w:t>
      </w:r>
      <w:r w:rsidR="00AA2919" w:rsidRPr="00C813FE">
        <w:t xml:space="preserve">by </w:t>
      </w:r>
      <w:r w:rsidRPr="00C813FE">
        <w:t xml:space="preserve">se </w:t>
      </w:r>
      <w:r w:rsidR="00AA2919" w:rsidRPr="00C813FE">
        <w:t xml:space="preserve">měla </w:t>
      </w:r>
      <w:r w:rsidRPr="00C813FE">
        <w:t>vztah</w:t>
      </w:r>
      <w:r w:rsidR="00AA2919" w:rsidRPr="00C813FE">
        <w:t>ovat</w:t>
      </w:r>
      <w:r w:rsidRPr="00C813FE">
        <w:t xml:space="preserve"> na stážisty vykonávající stáže na otevřeném trhu práce, stáže v rámci aktivních politik trhu práce, včetně stáží nabízených v rámci záruk pro mladé lidi, a na stáže, které tvoří povinnou součást odborné přípravy.</w:t>
      </w:r>
    </w:p>
    <w:p w:rsidR="00DF4529" w:rsidRPr="00C813FE" w:rsidRDefault="00DF4529" w:rsidP="00DF4529"/>
    <w:p w:rsidR="00DF4529" w:rsidRPr="00C813FE" w:rsidRDefault="00DF4529" w:rsidP="00DF4529">
      <w:r w:rsidRPr="00C813FE">
        <w:t xml:space="preserve">(17) </w:t>
      </w:r>
      <w:r w:rsidRPr="00C813FE">
        <w:tab/>
        <w:t>Tato směrnice by s ohledem na svou povahu a cíl neměla být vykládána v tom smyslu, že brání členským státům v zachování nebo zavedení ustanovení, která jsou pro stážisty příznivější,</w:t>
      </w:r>
    </w:p>
    <w:p w:rsidR="00DF4529" w:rsidRPr="00C813FE" w:rsidRDefault="00DF4529" w:rsidP="00DF4529"/>
    <w:p w:rsidR="00DF4529" w:rsidRPr="00C813FE" w:rsidRDefault="00DF4529" w:rsidP="00DF4529">
      <w:r w:rsidRPr="00C813FE">
        <w:t>PŘIJALY TUTO SMĚRNICI:</w:t>
      </w:r>
    </w:p>
    <w:p w:rsidR="00DF4529" w:rsidRPr="00C813FE" w:rsidRDefault="00DF4529" w:rsidP="00DF4529"/>
    <w:p w:rsidR="00DF4529" w:rsidRPr="00C813FE" w:rsidRDefault="00DF4529" w:rsidP="00DF4529">
      <w:pPr>
        <w:jc w:val="center"/>
        <w:rPr>
          <w:i/>
        </w:rPr>
      </w:pPr>
      <w:r w:rsidRPr="00C813FE">
        <w:rPr>
          <w:i/>
        </w:rPr>
        <w:t>Článek 1</w:t>
      </w:r>
    </w:p>
    <w:p w:rsidR="00DF4529" w:rsidRPr="00C813FE" w:rsidRDefault="00DF4529" w:rsidP="00DF4529">
      <w:pPr>
        <w:jc w:val="center"/>
        <w:rPr>
          <w:i/>
        </w:rPr>
      </w:pPr>
      <w:r w:rsidRPr="00C813FE">
        <w:rPr>
          <w:i/>
        </w:rPr>
        <w:t>Předmět a oblast působnosti</w:t>
      </w:r>
    </w:p>
    <w:p w:rsidR="00DF4529" w:rsidRPr="00C813FE" w:rsidRDefault="00DF4529" w:rsidP="00DF4529">
      <w:pPr>
        <w:rPr>
          <w:i/>
        </w:rPr>
      </w:pPr>
    </w:p>
    <w:p w:rsidR="00DF4529" w:rsidRPr="00C813FE" w:rsidRDefault="00DF4529" w:rsidP="00DF4529">
      <w:r w:rsidRPr="00C813FE">
        <w:t xml:space="preserve">1. </w:t>
      </w:r>
      <w:r w:rsidRPr="00C813FE">
        <w:tab/>
        <w:t>Tato směrnice stanoví rámec pro zlepšení kvality a dostupnosti stáží, jakož i pracovních podmínek stážistů vykonávajících stáže. Tato směrnice se vztahuje na tyto stáže:</w:t>
      </w:r>
    </w:p>
    <w:p w:rsidR="00DF4529" w:rsidRPr="00C813FE" w:rsidRDefault="00DF4529" w:rsidP="00DF4529"/>
    <w:p w:rsidR="00DF4529" w:rsidRPr="00C813FE" w:rsidRDefault="00DF4529" w:rsidP="00DF4529">
      <w:r w:rsidRPr="00C813FE">
        <w:t xml:space="preserve">a) </w:t>
      </w:r>
      <w:r w:rsidRPr="00C813FE">
        <w:tab/>
        <w:t>stáže na otevřeném trhu;</w:t>
      </w:r>
    </w:p>
    <w:p w:rsidR="00DF4529" w:rsidRPr="00C813FE" w:rsidRDefault="00DF4529" w:rsidP="00DF4529"/>
    <w:p w:rsidR="00DF4529" w:rsidRPr="00C813FE" w:rsidRDefault="00DF4529" w:rsidP="00DF4529">
      <w:r w:rsidRPr="00C813FE">
        <w:t xml:space="preserve">b) </w:t>
      </w:r>
      <w:r w:rsidRPr="00C813FE">
        <w:tab/>
        <w:t>stáže v rámci aktivních politik na trhu práce;</w:t>
      </w:r>
    </w:p>
    <w:p w:rsidR="00DF4529" w:rsidRPr="00C813FE" w:rsidRDefault="00DF4529" w:rsidP="00DF4529"/>
    <w:p w:rsidR="00DF4529" w:rsidRPr="00C813FE" w:rsidRDefault="00DF4529" w:rsidP="00DF4529">
      <w:r w:rsidRPr="00C813FE">
        <w:t xml:space="preserve">c) </w:t>
      </w:r>
      <w:r w:rsidRPr="00C813FE">
        <w:tab/>
        <w:t>stáže, které jsou povinnou součástí odborné přípravy.</w:t>
      </w:r>
    </w:p>
    <w:p w:rsidR="00DF4529" w:rsidRPr="00C813FE" w:rsidRDefault="00DF4529" w:rsidP="00DF4529"/>
    <w:p w:rsidR="00DF4529" w:rsidRPr="00C813FE" w:rsidRDefault="00DF4529" w:rsidP="00DF4529"/>
    <w:p w:rsidR="00DF4529" w:rsidRPr="00C813FE" w:rsidRDefault="00DF4529" w:rsidP="00DF4529">
      <w:pPr>
        <w:jc w:val="center"/>
        <w:rPr>
          <w:i/>
        </w:rPr>
      </w:pPr>
      <w:r w:rsidRPr="00C813FE">
        <w:rPr>
          <w:i/>
        </w:rPr>
        <w:t>Článek 2</w:t>
      </w:r>
    </w:p>
    <w:p w:rsidR="00DF4529" w:rsidRPr="00C813FE" w:rsidRDefault="00DF4529" w:rsidP="00DF4529">
      <w:pPr>
        <w:jc w:val="center"/>
        <w:rPr>
          <w:i/>
        </w:rPr>
      </w:pPr>
      <w:r w:rsidRPr="00C813FE">
        <w:rPr>
          <w:i/>
        </w:rPr>
        <w:t>Definice:</w:t>
      </w:r>
    </w:p>
    <w:p w:rsidR="00DF4529" w:rsidRPr="00C813FE" w:rsidRDefault="00DF4529" w:rsidP="00DF4529">
      <w:pPr>
        <w:rPr>
          <w:i/>
        </w:rPr>
      </w:pPr>
    </w:p>
    <w:p w:rsidR="00DF4529" w:rsidRPr="00C813FE" w:rsidRDefault="00DF4529" w:rsidP="00DF4529">
      <w:r w:rsidRPr="00C813FE">
        <w:t>1. Pro účely této směrnice:</w:t>
      </w:r>
    </w:p>
    <w:p w:rsidR="00DF4529" w:rsidRPr="00C813FE" w:rsidRDefault="00DF4529" w:rsidP="00DF4529"/>
    <w:p w:rsidR="00DF4529" w:rsidRPr="00C813FE" w:rsidRDefault="00DF4529" w:rsidP="00DF4529">
      <w:r w:rsidRPr="00C813FE">
        <w:t xml:space="preserve">a) </w:t>
      </w:r>
      <w:r w:rsidRPr="00C813FE">
        <w:tab/>
        <w:t>„stáží na otevřeném trhu“ nepovinná dvoustranná soukromá dohoda uzavřená mezi stážistou a poskytovatelem stáží bez účasti třetí strany a bez formálního spojení se vzdělávacím zařízením nebo zařízením pro odbornou přípravu;</w:t>
      </w:r>
    </w:p>
    <w:p w:rsidR="00DF4529" w:rsidRPr="00C813FE" w:rsidRDefault="00DF4529" w:rsidP="00DF4529"/>
    <w:p w:rsidR="00DF4529" w:rsidRPr="00C813FE" w:rsidRDefault="00DF4529" w:rsidP="00DF4529">
      <w:r w:rsidRPr="00C813FE">
        <w:t xml:space="preserve">b) </w:t>
      </w:r>
      <w:r w:rsidRPr="00C813FE">
        <w:tab/>
        <w:t>„stáží v rámci aktivních politik na trhu práce“ stáž organizovaná veřejnou službou zaměstnanosti ve spolupráci s poskytovatelem stáže na základě dohody mezi třemi stranami s cílem pomoci nezaměstnaným nebo neaktivním mladým lidem při hledání zaměstnání;</w:t>
      </w:r>
    </w:p>
    <w:p w:rsidR="00DF4529" w:rsidRPr="00C813FE" w:rsidRDefault="00DF4529" w:rsidP="00DF4529"/>
    <w:p w:rsidR="00DF4529" w:rsidRPr="00C813FE" w:rsidRDefault="00DF4529" w:rsidP="00DF4529">
      <w:proofErr w:type="gramStart"/>
      <w:r w:rsidRPr="00C813FE">
        <w:t xml:space="preserve">c) </w:t>
      </w:r>
      <w:r w:rsidRPr="00C813FE">
        <w:tab/>
        <w:t>„stáží</w:t>
      </w:r>
      <w:proofErr w:type="gramEnd"/>
      <w:r w:rsidRPr="00C813FE">
        <w:t xml:space="preserve">, která je povinnou součástí odborné přípravy“ se rozumí stáž, která povinným úvodem do odborné praxe v konkrétním oboru </w:t>
      </w:r>
      <w:proofErr w:type="gramStart"/>
      <w:r w:rsidRPr="00C813FE">
        <w:t>práce;</w:t>
      </w:r>
      <w:proofErr w:type="gramEnd"/>
    </w:p>
    <w:p w:rsidR="00DF4529" w:rsidRPr="00C813FE" w:rsidRDefault="00DF4529" w:rsidP="00DF4529"/>
    <w:p w:rsidR="00DF4529" w:rsidRPr="00C813FE" w:rsidRDefault="00DF4529" w:rsidP="00DF4529">
      <w:r w:rsidRPr="00C813FE">
        <w:t xml:space="preserve">d) </w:t>
      </w:r>
      <w:r w:rsidRPr="00C813FE">
        <w:tab/>
        <w:t>„dohodou o stáži“ se rozumí dohoda uzavřená na omezenou dobu, která stanoví stáž na otevřeném trhu, stáž v rámci aktivních politik na trhu práce nebo stáž tvořící povinnou součást odborné přípravy, která zahrnuje složku vzdělávání a odborné přípravy a která splňuje podmínky pracovní smlouvy nebo pracovního poměru vymezené vnitrostátními právními předpisy, kolektivní smlouvou nebo vnitrostátní praxí platnou v jednotlivých členských státech, s přihlédnutím k judikatuře Soudního dvora Evropské unie;</w:t>
      </w:r>
    </w:p>
    <w:p w:rsidR="00DF4529" w:rsidRPr="00C813FE" w:rsidRDefault="00DF4529" w:rsidP="00DF4529"/>
    <w:p w:rsidR="008D44C1" w:rsidRDefault="00DF4529" w:rsidP="00DF4529">
      <w:r w:rsidRPr="00C813FE">
        <w:t xml:space="preserve">e) </w:t>
      </w:r>
      <w:r w:rsidRPr="00C813FE">
        <w:tab/>
        <w:t xml:space="preserve">„stážistou“ osoba, která se na základě dohody o stáži účastní stáže na otevřeném trhu, stáže v rámci aktivních politik na trhu práce nebo stáže, která je povinnou součástí odborné </w:t>
      </w:r>
      <w:r w:rsidRPr="00C813FE">
        <w:lastRenderedPageBreak/>
        <w:t>přípravy, za účelem získání praktických a odborných zkušeností s cílem zlepšit zaměstnatelnost a usnadnit</w:t>
      </w:r>
      <w:r w:rsidR="008D44C1">
        <w:t xml:space="preserve"> přechod do řádného zaměstnání;</w:t>
      </w:r>
    </w:p>
    <w:p w:rsidR="008D44C1" w:rsidRDefault="008D44C1" w:rsidP="00DF4529"/>
    <w:p w:rsidR="00DF4529" w:rsidRPr="00C813FE" w:rsidRDefault="00DF4529" w:rsidP="00DF4529">
      <w:r w:rsidRPr="00C813FE">
        <w:t xml:space="preserve">f) </w:t>
      </w:r>
      <w:r w:rsidRPr="00C813FE">
        <w:tab/>
        <w:t>„poskytovatelem stáží“ podnik, veřejná služba zaměstnanosti nebo jiný veřejný, soukromý nebo neziskový subjekt, který poskytuje stáže na otevřeném trhu, stáže v rámci aktivních politik na trhu práce nebo stáže, které jsou povinnou součástí odborné přípravy.</w:t>
      </w:r>
    </w:p>
    <w:p w:rsidR="00DF4529" w:rsidRPr="00C813FE" w:rsidRDefault="00DF4529" w:rsidP="00DF4529"/>
    <w:p w:rsidR="00DF4529" w:rsidRPr="00C813FE" w:rsidRDefault="00DF4529" w:rsidP="00DF4529">
      <w:pPr>
        <w:jc w:val="center"/>
        <w:rPr>
          <w:i/>
        </w:rPr>
      </w:pPr>
      <w:r w:rsidRPr="00C813FE">
        <w:rPr>
          <w:i/>
        </w:rPr>
        <w:t>Článek 3</w:t>
      </w:r>
    </w:p>
    <w:p w:rsidR="00DF4529" w:rsidRPr="00C813FE" w:rsidRDefault="00DF4529" w:rsidP="00DF4529">
      <w:pPr>
        <w:jc w:val="center"/>
        <w:rPr>
          <w:i/>
        </w:rPr>
      </w:pPr>
      <w:r w:rsidRPr="00C813FE">
        <w:rPr>
          <w:i/>
        </w:rPr>
        <w:t>Kritéria kvality</w:t>
      </w:r>
    </w:p>
    <w:p w:rsidR="00DF4529" w:rsidRPr="00C813FE" w:rsidRDefault="00DF4529" w:rsidP="00DF4529">
      <w:pPr>
        <w:rPr>
          <w:i/>
        </w:rPr>
      </w:pPr>
    </w:p>
    <w:p w:rsidR="00DF4529" w:rsidRPr="00C813FE" w:rsidRDefault="00DF4529" w:rsidP="00DF4529">
      <w:r w:rsidRPr="00C813FE">
        <w:t xml:space="preserve">1. </w:t>
      </w:r>
      <w:r w:rsidRPr="00C813FE">
        <w:tab/>
        <w:t>Členské státy zajistí, aby stážisté měli právo:</w:t>
      </w:r>
    </w:p>
    <w:p w:rsidR="00DF4529" w:rsidRPr="00C813FE" w:rsidRDefault="00DF4529" w:rsidP="00DF4529"/>
    <w:p w:rsidR="00DF4529" w:rsidRPr="00C813FE" w:rsidRDefault="00DF4529" w:rsidP="00DF4529">
      <w:pPr>
        <w:ind w:firstLine="720"/>
      </w:pPr>
      <w:r w:rsidRPr="00C813FE">
        <w:t xml:space="preserve">a) </w:t>
      </w:r>
      <w:r w:rsidRPr="00C813FE">
        <w:tab/>
        <w:t>na písemnou dohodu o stáži stanovující přinejmenším:</w:t>
      </w:r>
    </w:p>
    <w:p w:rsidR="00DF4529" w:rsidRPr="00C813FE" w:rsidRDefault="00DF4529" w:rsidP="00DF4529">
      <w:pPr>
        <w:ind w:firstLine="720"/>
      </w:pPr>
    </w:p>
    <w:p w:rsidR="00DF4529" w:rsidRPr="00C813FE" w:rsidRDefault="00DF4529" w:rsidP="00DF4529">
      <w:pPr>
        <w:ind w:left="2160" w:hanging="720"/>
      </w:pPr>
      <w:r w:rsidRPr="00C813FE">
        <w:t xml:space="preserve">i) </w:t>
      </w:r>
      <w:r w:rsidRPr="00C813FE">
        <w:tab/>
        <w:t>délku stáže a ustanovení o případném prodlužování;</w:t>
      </w:r>
    </w:p>
    <w:p w:rsidR="00DF4529" w:rsidRPr="00C813FE" w:rsidRDefault="00DF4529" w:rsidP="00DF4529">
      <w:pPr>
        <w:ind w:left="2160" w:hanging="720"/>
      </w:pPr>
    </w:p>
    <w:p w:rsidR="00DF4529" w:rsidRPr="00C813FE" w:rsidRDefault="00DF4529" w:rsidP="00DF4529">
      <w:pPr>
        <w:ind w:left="2160" w:hanging="720"/>
      </w:pPr>
      <w:proofErr w:type="spellStart"/>
      <w:r w:rsidRPr="00C813FE">
        <w:t>ii</w:t>
      </w:r>
      <w:proofErr w:type="spellEnd"/>
      <w:r w:rsidRPr="00C813FE">
        <w:t xml:space="preserve">) </w:t>
      </w:r>
      <w:r w:rsidRPr="00C813FE">
        <w:tab/>
        <w:t xml:space="preserve">v případě dohod o stáži spadajících do oblasti působnosti této směrnice: odměnu, která má být stážistovi poskytnuta v souladu se směrnicí </w:t>
      </w:r>
      <w:r w:rsidR="00AA2919" w:rsidRPr="00C813FE">
        <w:t xml:space="preserve">Evropského parlamentu a Rady </w:t>
      </w:r>
      <w:r w:rsidRPr="00C813FE">
        <w:t>(EU) 2022/2041</w:t>
      </w:r>
      <w:r w:rsidR="00AA2919" w:rsidRPr="00C813FE">
        <w:rPr>
          <w:rStyle w:val="FootnoteReference"/>
        </w:rPr>
        <w:footnoteReference w:id="29"/>
      </w:r>
      <w:r w:rsidRPr="00C813FE">
        <w:t>;</w:t>
      </w:r>
    </w:p>
    <w:p w:rsidR="00DF4529" w:rsidRPr="00C813FE" w:rsidRDefault="00DF4529" w:rsidP="00DF4529">
      <w:pPr>
        <w:ind w:left="2160" w:hanging="720"/>
      </w:pPr>
    </w:p>
    <w:p w:rsidR="00DF4529" w:rsidRPr="00C813FE" w:rsidRDefault="00DF4529" w:rsidP="00DF4529">
      <w:pPr>
        <w:ind w:left="2160" w:hanging="720"/>
      </w:pPr>
      <w:proofErr w:type="spellStart"/>
      <w:r w:rsidRPr="00C813FE">
        <w:t>iii</w:t>
      </w:r>
      <w:proofErr w:type="spellEnd"/>
      <w:r w:rsidRPr="00C813FE">
        <w:t xml:space="preserve">) </w:t>
      </w:r>
      <w:r w:rsidRPr="00C813FE">
        <w:tab/>
        <w:t>práva a povinnosti stážisty a poskytovatele stáže, včetně úkolů, které má stážista plnit, a případně politiky poskytovatele stáže týkající se důvěrnosti a vlastnictví práv duševního vlastnictví;</w:t>
      </w:r>
    </w:p>
    <w:p w:rsidR="00DF4529" w:rsidRPr="00C813FE" w:rsidRDefault="00DF4529" w:rsidP="00DF4529">
      <w:pPr>
        <w:ind w:left="2160" w:hanging="720"/>
      </w:pPr>
    </w:p>
    <w:p w:rsidR="00DF4529" w:rsidRPr="00C813FE" w:rsidRDefault="00DF4529" w:rsidP="00DF4529">
      <w:pPr>
        <w:ind w:left="2160" w:hanging="720"/>
      </w:pPr>
      <w:proofErr w:type="spellStart"/>
      <w:r w:rsidRPr="00C813FE">
        <w:t>iv</w:t>
      </w:r>
      <w:proofErr w:type="spellEnd"/>
      <w:r w:rsidRPr="00C813FE">
        <w:t xml:space="preserve">) </w:t>
      </w:r>
      <w:r w:rsidRPr="00C813FE">
        <w:tab/>
        <w:t>ustanovení o vedení a hodnocení prováděném osobou pověřenou dohledem nad stážistou, která mu pomáhá s plněním úkolů;</w:t>
      </w:r>
    </w:p>
    <w:p w:rsidR="00DF4529" w:rsidRPr="00C813FE" w:rsidRDefault="00DF4529" w:rsidP="00DF4529">
      <w:pPr>
        <w:ind w:left="2160" w:hanging="720"/>
      </w:pPr>
    </w:p>
    <w:p w:rsidR="00DF4529" w:rsidRPr="00C813FE" w:rsidRDefault="00DF4529" w:rsidP="00DF4529">
      <w:pPr>
        <w:ind w:left="2160" w:hanging="720"/>
      </w:pPr>
      <w:r w:rsidRPr="00C813FE">
        <w:t xml:space="preserve">v) </w:t>
      </w:r>
      <w:r w:rsidRPr="00C813FE">
        <w:tab/>
        <w:t>vzdělávací cíle, které byly stanoveny a prodiskutovány společně se stážistou a poskytovatelem stáže (a v případě čl. 2 písm. b) a c) s</w:t>
      </w:r>
      <w:r w:rsidR="00B936A5" w:rsidRPr="00C813FE">
        <w:t> </w:t>
      </w:r>
      <w:r w:rsidRPr="00C813FE">
        <w:t>ostatními zúčastněnými stranami) s</w:t>
      </w:r>
      <w:r w:rsidR="00B936A5" w:rsidRPr="00C813FE">
        <w:t> </w:t>
      </w:r>
      <w:r w:rsidRPr="00C813FE">
        <w:t xml:space="preserve">cílem pomoci stážistovi získat praktické zkušenosti a příslušné dovednosti. </w:t>
      </w:r>
    </w:p>
    <w:p w:rsidR="00DF4529" w:rsidRPr="00C813FE" w:rsidRDefault="00DF4529" w:rsidP="00DF4529">
      <w:pPr>
        <w:ind w:left="1440"/>
      </w:pPr>
    </w:p>
    <w:p w:rsidR="00DF4529" w:rsidRPr="00C813FE" w:rsidRDefault="00DF4529" w:rsidP="00DF4529">
      <w:pPr>
        <w:ind w:left="1440"/>
      </w:pPr>
      <w:r w:rsidRPr="00C813FE">
        <w:t xml:space="preserve">Úkoly uvedené v bodě </w:t>
      </w:r>
      <w:proofErr w:type="spellStart"/>
      <w:r w:rsidRPr="00C813FE">
        <w:t>iii</w:t>
      </w:r>
      <w:proofErr w:type="spellEnd"/>
      <w:r w:rsidRPr="00C813FE">
        <w:t>) se stanoví s ohledem na vzdělávací cíle uvedené v</w:t>
      </w:r>
      <w:r w:rsidR="00B936A5" w:rsidRPr="00C813FE">
        <w:t> </w:t>
      </w:r>
      <w:r w:rsidRPr="00C813FE">
        <w:t xml:space="preserve">bodě v) a usnadňují dosažení těchto vzdělávacích cílů; </w:t>
      </w:r>
    </w:p>
    <w:p w:rsidR="00DF4529" w:rsidRPr="00C813FE" w:rsidRDefault="00DF4529" w:rsidP="00DF4529">
      <w:pPr>
        <w:ind w:left="1440"/>
      </w:pPr>
    </w:p>
    <w:p w:rsidR="00DF4529" w:rsidRPr="00C813FE" w:rsidRDefault="00DF4529" w:rsidP="00DF4529">
      <w:pPr>
        <w:ind w:left="1440" w:hanging="720"/>
      </w:pPr>
      <w:r w:rsidRPr="00C813FE">
        <w:t xml:space="preserve">b) </w:t>
      </w:r>
      <w:r w:rsidRPr="00C813FE">
        <w:tab/>
        <w:t xml:space="preserve">Na práva stanovená ve směrnicích </w:t>
      </w:r>
      <w:r w:rsidR="00F5511C" w:rsidRPr="00C813FE">
        <w:t xml:space="preserve">Evropského parlamentu a Rady </w:t>
      </w:r>
      <w:r w:rsidRPr="00C813FE">
        <w:t>2003/88/ES</w:t>
      </w:r>
      <w:r w:rsidR="00F5511C" w:rsidRPr="00C813FE">
        <w:rPr>
          <w:rStyle w:val="FootnoteReference"/>
        </w:rPr>
        <w:footnoteReference w:id="30"/>
      </w:r>
      <w:r w:rsidRPr="00C813FE">
        <w:t xml:space="preserve"> a (EU) 2019/1152</w:t>
      </w:r>
      <w:r w:rsidR="00F5511C" w:rsidRPr="00C813FE">
        <w:rPr>
          <w:rStyle w:val="FootnoteReference"/>
        </w:rPr>
        <w:footnoteReference w:id="31"/>
      </w:r>
      <w:r w:rsidRPr="00C813FE">
        <w:t>, jak jsou provedeny ve vnitrostátních právních předpisech a postupech;</w:t>
      </w:r>
    </w:p>
    <w:p w:rsidR="00DF4529" w:rsidRPr="00C813FE" w:rsidRDefault="00DF4529" w:rsidP="00DF4529">
      <w:pPr>
        <w:ind w:left="1440" w:hanging="720"/>
      </w:pPr>
    </w:p>
    <w:p w:rsidR="00DF4529" w:rsidRPr="00C813FE" w:rsidRDefault="00DF4529" w:rsidP="00DF4529">
      <w:pPr>
        <w:autoSpaceDE w:val="0"/>
        <w:autoSpaceDN w:val="0"/>
        <w:adjustRightInd w:val="0"/>
        <w:ind w:left="1440" w:hanging="720"/>
        <w:rPr>
          <w:bCs/>
          <w:iCs/>
        </w:rPr>
      </w:pPr>
      <w:r w:rsidRPr="00C813FE">
        <w:t>c)</w:t>
      </w:r>
      <w:r w:rsidRPr="00C813FE">
        <w:rPr>
          <w:b/>
        </w:rPr>
        <w:t xml:space="preserve"> </w:t>
      </w:r>
      <w:r w:rsidRPr="00C813FE">
        <w:rPr>
          <w:b/>
        </w:rPr>
        <w:tab/>
      </w:r>
      <w:r w:rsidRPr="00C813FE">
        <w:t>na přístup k sociální ochraně v souladu s vnitrostátními systémy, včetně zdravotního pojištění, dávek v nezaměstnanosti a příspěvků na důchodové zabezpečení.</w:t>
      </w:r>
    </w:p>
    <w:p w:rsidR="00DF4529" w:rsidRPr="00C813FE" w:rsidRDefault="00DF4529" w:rsidP="00DF4529">
      <w:pPr>
        <w:autoSpaceDE w:val="0"/>
        <w:autoSpaceDN w:val="0"/>
        <w:adjustRightInd w:val="0"/>
        <w:ind w:left="1440" w:hanging="720"/>
        <w:rPr>
          <w:b/>
          <w:bCs/>
          <w:iCs/>
        </w:rPr>
      </w:pPr>
    </w:p>
    <w:p w:rsidR="00DF4529" w:rsidRPr="00C813FE" w:rsidRDefault="00DF4529" w:rsidP="00DF4529">
      <w:pPr>
        <w:autoSpaceDE w:val="0"/>
        <w:autoSpaceDN w:val="0"/>
        <w:adjustRightInd w:val="0"/>
        <w:rPr>
          <w:b/>
          <w:bCs/>
          <w:i/>
          <w:iCs/>
        </w:rPr>
      </w:pPr>
      <w:r w:rsidRPr="00C813FE">
        <w:lastRenderedPageBreak/>
        <w:t xml:space="preserve">2. </w:t>
      </w:r>
      <w:r w:rsidRPr="00C813FE">
        <w:tab/>
        <w:t xml:space="preserve">Členské státy zajistí podporu poskytovatelům stáží, kteří nabízejí stáže osobám se zdravotním postižením. </w:t>
      </w:r>
    </w:p>
    <w:p w:rsidR="00DF4529" w:rsidRPr="00C813FE" w:rsidRDefault="00DF4529" w:rsidP="00DF4529"/>
    <w:p w:rsidR="00DF4529" w:rsidRPr="00C813FE" w:rsidRDefault="00DF4529" w:rsidP="00DF4529">
      <w:pPr>
        <w:jc w:val="center"/>
        <w:rPr>
          <w:i/>
        </w:rPr>
      </w:pPr>
      <w:r w:rsidRPr="00C813FE">
        <w:rPr>
          <w:i/>
        </w:rPr>
        <w:t>Článek 4</w:t>
      </w:r>
    </w:p>
    <w:p w:rsidR="00DF4529" w:rsidRPr="00C813FE" w:rsidRDefault="00DF4529" w:rsidP="00DF4529">
      <w:pPr>
        <w:jc w:val="center"/>
        <w:rPr>
          <w:i/>
        </w:rPr>
      </w:pPr>
      <w:r w:rsidRPr="00C813FE">
        <w:rPr>
          <w:i/>
        </w:rPr>
        <w:t>Délka stáže a její prodlužování</w:t>
      </w:r>
    </w:p>
    <w:p w:rsidR="00DF4529" w:rsidRPr="00C813FE" w:rsidRDefault="00DF4529" w:rsidP="00DF4529"/>
    <w:p w:rsidR="00DF4529" w:rsidRPr="00C813FE" w:rsidRDefault="00DF4529" w:rsidP="00DF4529">
      <w:r w:rsidRPr="00C813FE">
        <w:t>1.</w:t>
      </w:r>
      <w:r w:rsidRPr="00C813FE">
        <w:tab/>
        <w:t xml:space="preserve"> Členské státy zajistí, aby délka stáže byla časově omezena a nebyla kratší než jeden měsíc, přičemž se zohlední vnitrostátní zvyklosti. </w:t>
      </w:r>
    </w:p>
    <w:p w:rsidR="00DF4529" w:rsidRPr="00C813FE" w:rsidRDefault="00DF4529" w:rsidP="00DF4529"/>
    <w:p w:rsidR="00DF4529" w:rsidRPr="00C813FE" w:rsidRDefault="00DF4529" w:rsidP="00DF4529">
      <w:r w:rsidRPr="00C813FE">
        <w:t xml:space="preserve">2. </w:t>
      </w:r>
      <w:r w:rsidRPr="00C813FE">
        <w:tab/>
        <w:t xml:space="preserve">Členské státy zajistí, aby ujednání týkající se délky, obnovení nebo prodloužení stáží nevedla k nahrazení nástupních pracovních pozic, volných pracovních míst na plný úvazek nebo pracovních smluv na dobu neurčitou, mimo jiné tím, že se bude prodlužovat stejná stáž na stejnou pozici u stejného poskytovatele stáže. </w:t>
      </w:r>
    </w:p>
    <w:p w:rsidR="00DF4529" w:rsidRPr="00C813FE" w:rsidRDefault="00DF4529" w:rsidP="00DF4529"/>
    <w:p w:rsidR="00DF4529" w:rsidRPr="00C813FE" w:rsidRDefault="00DF4529" w:rsidP="00DF4529">
      <w:r w:rsidRPr="00C813FE">
        <w:t xml:space="preserve">3. </w:t>
      </w:r>
      <w:r w:rsidRPr="00C813FE">
        <w:tab/>
        <w:t>Členské státy jasně stanoví okolnosti a podmínky, za nichž lze stáž po skončení doby platnosti původní dohody o stáži prodloužit nebo obnovit.</w:t>
      </w:r>
    </w:p>
    <w:p w:rsidR="00DF4529" w:rsidRPr="00C813FE" w:rsidRDefault="00DF4529" w:rsidP="00DF4529"/>
    <w:p w:rsidR="00DF4529" w:rsidRPr="00C813FE" w:rsidRDefault="00DF4529" w:rsidP="00DF4529">
      <w:r w:rsidRPr="00C813FE">
        <w:t xml:space="preserve">4. </w:t>
      </w:r>
      <w:r w:rsidRPr="00C813FE">
        <w:tab/>
        <w:t xml:space="preserve">Členské státy zajistí, aby v dohodě o stáži bylo stanoveno, že stážista nebo poskytovatel stáže mohou stáž ukončit podáním písemného oznámení, a to s dostatečným časovým předstihem s ohledem na délku stáže a příslušné vnitrostátní postupy. </w:t>
      </w:r>
    </w:p>
    <w:p w:rsidR="00DF4529" w:rsidRPr="00C813FE" w:rsidRDefault="00DF4529" w:rsidP="00DF4529"/>
    <w:p w:rsidR="00DF4529" w:rsidRPr="00C813FE" w:rsidRDefault="00DF4529" w:rsidP="00DF4529">
      <w:pPr>
        <w:jc w:val="center"/>
        <w:rPr>
          <w:i/>
        </w:rPr>
      </w:pPr>
      <w:r w:rsidRPr="00C813FE">
        <w:rPr>
          <w:i/>
        </w:rPr>
        <w:t>Článek 5</w:t>
      </w:r>
    </w:p>
    <w:p w:rsidR="00DF4529" w:rsidRPr="00C813FE" w:rsidRDefault="00DF4529" w:rsidP="00DF4529">
      <w:pPr>
        <w:jc w:val="center"/>
        <w:rPr>
          <w:i/>
        </w:rPr>
      </w:pPr>
      <w:r w:rsidRPr="00C813FE">
        <w:rPr>
          <w:i/>
        </w:rPr>
        <w:t>Uznávání stáží</w:t>
      </w:r>
    </w:p>
    <w:p w:rsidR="00DF4529" w:rsidRPr="00C813FE" w:rsidRDefault="00DF4529" w:rsidP="00DF4529">
      <w:pPr>
        <w:jc w:val="center"/>
        <w:rPr>
          <w:i/>
        </w:rPr>
      </w:pPr>
    </w:p>
    <w:p w:rsidR="00DF4529" w:rsidRPr="00C813FE" w:rsidRDefault="00DF4529" w:rsidP="00DF4529">
      <w:r w:rsidRPr="00C813FE">
        <w:t xml:space="preserve">1. </w:t>
      </w:r>
      <w:r w:rsidRPr="00C813FE">
        <w:tab/>
        <w:t xml:space="preserve">Členské zajišťují uznávání a potvrzování znalostí, dovedností a schopností nabytých během stáže a to, aby je poskytovatelé stáží na základě posouzení potvrzovali prostřednictvím osvědčení. </w:t>
      </w:r>
    </w:p>
    <w:p w:rsidR="00DF4529" w:rsidRPr="00C813FE" w:rsidRDefault="00DF4529" w:rsidP="00DF4529"/>
    <w:p w:rsidR="00DF4529" w:rsidRPr="00C813FE" w:rsidRDefault="00DF4529" w:rsidP="00DF4529">
      <w:r w:rsidRPr="00C813FE">
        <w:t xml:space="preserve">2. </w:t>
      </w:r>
      <w:r w:rsidRPr="00C813FE">
        <w:tab/>
        <w:t xml:space="preserve">Členské státy zajistí, aby stáže byly během náborových řízení uznávány jako pracovní zkušenosti. </w:t>
      </w:r>
    </w:p>
    <w:p w:rsidR="00DF4529" w:rsidRPr="00C813FE" w:rsidRDefault="00DF4529" w:rsidP="00DF4529"/>
    <w:p w:rsidR="00DF4529" w:rsidRPr="00C813FE" w:rsidRDefault="00DF4529" w:rsidP="00DF4529">
      <w:pPr>
        <w:jc w:val="center"/>
        <w:rPr>
          <w:i/>
        </w:rPr>
      </w:pPr>
      <w:r w:rsidRPr="00C813FE">
        <w:rPr>
          <w:i/>
        </w:rPr>
        <w:t>Článek 6</w:t>
      </w:r>
    </w:p>
    <w:p w:rsidR="00DF4529" w:rsidRPr="00C813FE" w:rsidRDefault="00DF4529" w:rsidP="00DF4529">
      <w:pPr>
        <w:jc w:val="center"/>
        <w:rPr>
          <w:i/>
        </w:rPr>
      </w:pPr>
      <w:r w:rsidRPr="00C813FE">
        <w:rPr>
          <w:i/>
        </w:rPr>
        <w:t>Požadavky na transparentnost</w:t>
      </w:r>
    </w:p>
    <w:p w:rsidR="00DF4529" w:rsidRPr="00C813FE" w:rsidRDefault="00DF4529" w:rsidP="00DF4529">
      <w:pPr>
        <w:rPr>
          <w:i/>
        </w:rPr>
      </w:pPr>
    </w:p>
    <w:p w:rsidR="00DF4529" w:rsidRPr="00C813FE" w:rsidRDefault="00DF4529" w:rsidP="00DF4529">
      <w:r w:rsidRPr="00C813FE">
        <w:t xml:space="preserve">1. </w:t>
      </w:r>
      <w:r w:rsidRPr="00C813FE">
        <w:tab/>
        <w:t xml:space="preserve">Členské státy zajistí, aby poskytovatelé stáží zahrnuli do svých </w:t>
      </w:r>
      <w:proofErr w:type="spellStart"/>
      <w:r w:rsidRPr="00C813FE">
        <w:t>genderově</w:t>
      </w:r>
      <w:proofErr w:type="spellEnd"/>
      <w:r w:rsidRPr="00C813FE">
        <w:t xml:space="preserve"> neutrálních a inkluzivních oznámení o volných pracovních místech a inzerátů informace o podmínkách stáže, včetně odměny, pracovních podmínek, očekávaných úkolů a zdravotního a úrazového pojištění.</w:t>
      </w:r>
    </w:p>
    <w:p w:rsidR="00DF4529" w:rsidRPr="00C813FE" w:rsidRDefault="00DF4529" w:rsidP="00DF4529"/>
    <w:p w:rsidR="00DF4529" w:rsidRPr="00C813FE" w:rsidRDefault="00DF4529" w:rsidP="00DF4529">
      <w:r w:rsidRPr="00C813FE">
        <w:t xml:space="preserve">2. </w:t>
      </w:r>
      <w:r w:rsidRPr="00C813FE">
        <w:tab/>
        <w:t xml:space="preserve">Poskytovatelé stáží poskytují informace o náborových politikách, včetně podílu stážistů, které poskytovatel stáží přijal poté, co v posledních letech absolvovali stáž. </w:t>
      </w:r>
    </w:p>
    <w:p w:rsidR="00DF4529" w:rsidRPr="00C813FE" w:rsidRDefault="00DF4529" w:rsidP="00DF4529"/>
    <w:p w:rsidR="00DF4529" w:rsidRPr="00C813FE" w:rsidRDefault="00DF4529" w:rsidP="00DF4529">
      <w:r w:rsidRPr="00C813FE">
        <w:t xml:space="preserve">3. </w:t>
      </w:r>
      <w:r w:rsidRPr="00C813FE">
        <w:tab/>
        <w:t>Poskytovatelé stáží při vydávání oznámení nebo inzerátů o volných pracovních místech pro stážisty nevyžadují předchozí pracovní zkušenosti.</w:t>
      </w:r>
    </w:p>
    <w:p w:rsidR="00DF4529" w:rsidRPr="00C813FE" w:rsidRDefault="00DF4529" w:rsidP="00DF4529"/>
    <w:p w:rsidR="00DF4529" w:rsidRPr="00C813FE" w:rsidRDefault="00DF4529" w:rsidP="00DF4529">
      <w:r w:rsidRPr="00C813FE">
        <w:t xml:space="preserve">4. </w:t>
      </w:r>
      <w:r w:rsidRPr="00C813FE">
        <w:tab/>
        <w:t xml:space="preserve">Členské státy zajistí, aby inspektoři práce zakázali, aby byly stážemi nahrazovány nástupní pracovní pozice pro začínající pracovníky nebo stálá pracovní místa. </w:t>
      </w:r>
    </w:p>
    <w:p w:rsidR="00DF4529" w:rsidRPr="00C813FE" w:rsidRDefault="00DF4529" w:rsidP="00DF4529"/>
    <w:p w:rsidR="00DF4529" w:rsidRPr="00C813FE" w:rsidRDefault="00DF4529" w:rsidP="00DF4529">
      <w:pPr>
        <w:jc w:val="center"/>
        <w:rPr>
          <w:i/>
        </w:rPr>
      </w:pPr>
      <w:r w:rsidRPr="00C813FE">
        <w:rPr>
          <w:i/>
        </w:rPr>
        <w:t>Článek 7</w:t>
      </w:r>
    </w:p>
    <w:p w:rsidR="00DF4529" w:rsidRPr="00C813FE" w:rsidRDefault="00DF4529" w:rsidP="00DF4529">
      <w:pPr>
        <w:jc w:val="center"/>
        <w:rPr>
          <w:i/>
        </w:rPr>
      </w:pPr>
      <w:r w:rsidRPr="00C813FE">
        <w:rPr>
          <w:i/>
        </w:rPr>
        <w:t>Sociální dialog a zapojení zúčastněných stran</w:t>
      </w:r>
    </w:p>
    <w:p w:rsidR="00DF4529" w:rsidRPr="00C813FE" w:rsidRDefault="00DF4529" w:rsidP="00DF4529"/>
    <w:p w:rsidR="00DF4529" w:rsidRPr="00C813FE" w:rsidRDefault="00DF4529" w:rsidP="00DF4529">
      <w:r w:rsidRPr="00C813FE">
        <w:t xml:space="preserve">1. </w:t>
      </w:r>
      <w:r w:rsidRPr="00C813FE">
        <w:tab/>
        <w:t>Aniž je dotčena autonomie sociálních partnerů a v souladu s vnitrostátními právními předpisy a zvyklostmi, zajistí členské státy účinné zapojení sociálních partnerů a dalších příslušných zúčastněných stran do navrhování, provádění a sledování práv a povinností stanovených v této směrnici.</w:t>
      </w:r>
    </w:p>
    <w:p w:rsidR="00DF4529" w:rsidRPr="00C813FE" w:rsidRDefault="00DF4529" w:rsidP="00DF4529"/>
    <w:p w:rsidR="00DF4529" w:rsidRPr="00C813FE" w:rsidRDefault="00DF4529" w:rsidP="00DF4529">
      <w:r w:rsidRPr="00C813FE">
        <w:t xml:space="preserve">2. </w:t>
      </w:r>
      <w:r w:rsidRPr="00C813FE">
        <w:tab/>
        <w:t>Stážisté mají přístup k zastoupení zaměstnanců, včetně odborových svazů.</w:t>
      </w:r>
    </w:p>
    <w:p w:rsidR="00DF4529" w:rsidRPr="00C813FE" w:rsidRDefault="00DF4529" w:rsidP="00DF4529"/>
    <w:p w:rsidR="00DF4529" w:rsidRPr="00C813FE" w:rsidRDefault="00DF4529" w:rsidP="00DF4529">
      <w:pPr>
        <w:jc w:val="center"/>
        <w:rPr>
          <w:i/>
        </w:rPr>
      </w:pPr>
      <w:r w:rsidRPr="00C813FE">
        <w:rPr>
          <w:i/>
        </w:rPr>
        <w:t>Článek 8</w:t>
      </w:r>
    </w:p>
    <w:p w:rsidR="00DF4529" w:rsidRPr="00C813FE" w:rsidRDefault="00DF4529" w:rsidP="00DF4529">
      <w:pPr>
        <w:jc w:val="center"/>
        <w:rPr>
          <w:i/>
        </w:rPr>
      </w:pPr>
      <w:r w:rsidRPr="00C813FE">
        <w:rPr>
          <w:i/>
        </w:rPr>
        <w:t>Sankce</w:t>
      </w:r>
    </w:p>
    <w:p w:rsidR="00DF4529" w:rsidRPr="00C813FE" w:rsidRDefault="00DF4529" w:rsidP="00DF4529"/>
    <w:p w:rsidR="00DF4529" w:rsidRPr="00C813FE" w:rsidRDefault="00DF4529" w:rsidP="00DF4529">
      <w:r w:rsidRPr="00C813FE">
        <w:t>Členské státy stanoví sankce za porušení vnitrostátních předpisů přijatých na základě této směrnice nebo již platných příslušných předpisů týkajících se práv, která spadají do oblasti působnosti této směrnice, a přijmou veškerá opatření nezbytná k zajištění jejich uplatňování. Stanovené sankce musí být účinné, přiměřené a odrazující. Členské státy tyto sankce a opatření oznámí Komisi do … [tři roky po vstupu této směrnice v platnost] a neprodleně jí oznámí všechny jejich následné změny.</w:t>
      </w:r>
    </w:p>
    <w:p w:rsidR="00DF4529" w:rsidRPr="00C813FE" w:rsidRDefault="00DF4529" w:rsidP="00DF4529"/>
    <w:p w:rsidR="00DF4529" w:rsidRPr="00C813FE" w:rsidRDefault="00DF4529" w:rsidP="00DF4529">
      <w:pPr>
        <w:jc w:val="center"/>
        <w:rPr>
          <w:i/>
        </w:rPr>
      </w:pPr>
      <w:r w:rsidRPr="00C813FE">
        <w:rPr>
          <w:i/>
        </w:rPr>
        <w:t>Článek 9</w:t>
      </w:r>
    </w:p>
    <w:p w:rsidR="00DF4529" w:rsidRPr="00C813FE" w:rsidRDefault="00DF4529" w:rsidP="00DF4529">
      <w:pPr>
        <w:jc w:val="center"/>
        <w:rPr>
          <w:i/>
        </w:rPr>
      </w:pPr>
      <w:r w:rsidRPr="00C813FE">
        <w:rPr>
          <w:i/>
        </w:rPr>
        <w:t>Zákaz snížení úrovně právní ochrany a příznivější ustanovení</w:t>
      </w:r>
    </w:p>
    <w:p w:rsidR="00DF4529" w:rsidRPr="00C813FE" w:rsidRDefault="00DF4529" w:rsidP="00DF4529">
      <w:pPr>
        <w:rPr>
          <w:i/>
        </w:rPr>
      </w:pPr>
    </w:p>
    <w:p w:rsidR="00DF4529" w:rsidRPr="00C813FE" w:rsidRDefault="00DF4529" w:rsidP="00DF4529">
      <w:r w:rsidRPr="00C813FE">
        <w:t xml:space="preserve">1. </w:t>
      </w:r>
      <w:r w:rsidRPr="00C813FE">
        <w:tab/>
        <w:t xml:space="preserve">Tato směrnice nesmí být využita k omezení stávajících práv stážistů ani ji nelze považovat za platný důvod pro omezení obecné úrovně ochrany poskytované stážistům v oblastech, na které se tato směrnice vztahuje. </w:t>
      </w:r>
    </w:p>
    <w:p w:rsidR="00DF4529" w:rsidRPr="00C813FE" w:rsidRDefault="00DF4529" w:rsidP="00DF4529"/>
    <w:p w:rsidR="00DF4529" w:rsidRPr="00C813FE" w:rsidRDefault="00DF4529" w:rsidP="00DF4529">
      <w:r w:rsidRPr="00C813FE">
        <w:t xml:space="preserve">2. </w:t>
      </w:r>
      <w:r w:rsidRPr="00C813FE">
        <w:tab/>
        <w:t>Touto směrnicí není dotčeno právo členských států uplatňovat nebo přijímat právní nebo správní předpisy, které jsou pro stážisty příznivější, nebo podporovat či umožňovat uplatňování kolektivních smluv, které jsou pro stážisty příznivější.</w:t>
      </w:r>
    </w:p>
    <w:p w:rsidR="00DF4529" w:rsidRPr="00C813FE" w:rsidRDefault="00DF4529" w:rsidP="00DF4529"/>
    <w:p w:rsidR="00DF4529" w:rsidRPr="00C813FE" w:rsidRDefault="00DF4529" w:rsidP="00DF4529">
      <w:pPr>
        <w:jc w:val="center"/>
        <w:rPr>
          <w:i/>
        </w:rPr>
      </w:pPr>
      <w:r w:rsidRPr="00C813FE">
        <w:rPr>
          <w:i/>
        </w:rPr>
        <w:t>Článek 10</w:t>
      </w:r>
    </w:p>
    <w:p w:rsidR="00DF4529" w:rsidRPr="00C813FE" w:rsidRDefault="00DF4529" w:rsidP="00DF4529">
      <w:pPr>
        <w:jc w:val="center"/>
        <w:rPr>
          <w:i/>
        </w:rPr>
      </w:pPr>
      <w:r w:rsidRPr="00C813FE">
        <w:rPr>
          <w:i/>
        </w:rPr>
        <w:t>Shromažďování údajů, monitorování a hodnocení</w:t>
      </w:r>
    </w:p>
    <w:p w:rsidR="00DF4529" w:rsidRPr="00C813FE" w:rsidRDefault="00DF4529" w:rsidP="00DF4529"/>
    <w:p w:rsidR="00DF4529" w:rsidRPr="00C813FE" w:rsidRDefault="00DF4529" w:rsidP="00DF4529">
      <w:r w:rsidRPr="00C813FE">
        <w:t>1.</w:t>
      </w:r>
      <w:r w:rsidRPr="00C813FE">
        <w:tab/>
        <w:t>Komise zveřejní pokyny k zajištění jednotnosti sběru údajů. Komise sleduje, jak jsou tyto pokyny uplatňovány.</w:t>
      </w:r>
    </w:p>
    <w:p w:rsidR="00DF4529" w:rsidRPr="00C813FE" w:rsidRDefault="00DF4529" w:rsidP="00DF4529"/>
    <w:p w:rsidR="00DF4529" w:rsidRPr="00C813FE" w:rsidRDefault="00DF4529" w:rsidP="00DF4529">
      <w:r w:rsidRPr="00C813FE">
        <w:t xml:space="preserve">2. </w:t>
      </w:r>
      <w:r w:rsidRPr="00C813FE">
        <w:tab/>
        <w:t>Členské státy zajistí, aby sběr údajů o stážích na vnitrostátní úrovni probíhal v souladu s pokyny Komise uvedenými v odstavci 1. Shromážděné údaje předkládají každoročně Komisi.</w:t>
      </w:r>
    </w:p>
    <w:p w:rsidR="00DF4529" w:rsidRPr="00C813FE" w:rsidRDefault="00DF4529" w:rsidP="00DF4529"/>
    <w:p w:rsidR="00DF4529" w:rsidRPr="00C813FE" w:rsidRDefault="00DF4529" w:rsidP="00DF4529">
      <w:pPr>
        <w:jc w:val="center"/>
        <w:rPr>
          <w:i/>
        </w:rPr>
      </w:pPr>
      <w:r w:rsidRPr="00C813FE">
        <w:rPr>
          <w:i/>
        </w:rPr>
        <w:t>Článek 11</w:t>
      </w:r>
    </w:p>
    <w:p w:rsidR="00DF4529" w:rsidRPr="00C813FE" w:rsidRDefault="00DF4529" w:rsidP="00DF4529">
      <w:pPr>
        <w:jc w:val="center"/>
        <w:rPr>
          <w:i/>
        </w:rPr>
      </w:pPr>
      <w:r w:rsidRPr="00C813FE">
        <w:rPr>
          <w:i/>
        </w:rPr>
        <w:t>Zprávy a přezkum</w:t>
      </w:r>
    </w:p>
    <w:p w:rsidR="00DF4529" w:rsidRPr="00C813FE" w:rsidRDefault="00DF4529" w:rsidP="00DF4529">
      <w:pPr>
        <w:rPr>
          <w:i/>
        </w:rPr>
      </w:pPr>
    </w:p>
    <w:p w:rsidR="00DF4529" w:rsidRPr="00C813FE" w:rsidRDefault="00DF4529" w:rsidP="00DF4529">
      <w:r w:rsidRPr="00C813FE">
        <w:t>Do ...</w:t>
      </w:r>
      <w:r w:rsidR="00F058DB">
        <w:t xml:space="preserve"> </w:t>
      </w:r>
      <w:r w:rsidRPr="00C813FE">
        <w:t xml:space="preserve">[tři roky ode dne vstupu této směrnice v platnost] Komise posoudí provádění této směrnice a její dopad v praxi a předloží Evropskému parlamentu a Radě zprávu. </w:t>
      </w:r>
    </w:p>
    <w:p w:rsidR="00DF4529" w:rsidRPr="00C813FE" w:rsidRDefault="00DF4529" w:rsidP="00DF4529"/>
    <w:p w:rsidR="00DF4529" w:rsidRPr="00C813FE" w:rsidRDefault="00DF4529" w:rsidP="00DF4529">
      <w:pPr>
        <w:jc w:val="center"/>
        <w:rPr>
          <w:i/>
        </w:rPr>
      </w:pPr>
      <w:r w:rsidRPr="00C813FE">
        <w:rPr>
          <w:i/>
        </w:rPr>
        <w:t>Článek 12</w:t>
      </w:r>
    </w:p>
    <w:p w:rsidR="00DF4529" w:rsidRPr="00C813FE" w:rsidRDefault="00DF4529" w:rsidP="00DF4529">
      <w:pPr>
        <w:jc w:val="center"/>
        <w:rPr>
          <w:i/>
        </w:rPr>
      </w:pPr>
      <w:r w:rsidRPr="00C813FE">
        <w:rPr>
          <w:i/>
        </w:rPr>
        <w:t>Provedení ve vnitrostátním právu</w:t>
      </w:r>
    </w:p>
    <w:p w:rsidR="00DF4529" w:rsidRPr="00C813FE" w:rsidRDefault="00DF4529" w:rsidP="00DF4529"/>
    <w:p w:rsidR="00DF4529" w:rsidRPr="00C813FE" w:rsidRDefault="00DF4529" w:rsidP="00DF4529">
      <w:r w:rsidRPr="00C813FE">
        <w:t xml:space="preserve">1. </w:t>
      </w:r>
      <w:r w:rsidRPr="00C813FE">
        <w:tab/>
        <w:t>Členské státy uvedou v účinnost právní a správní předpisy nezbytné pro dosažení souladu s touto směrnicí do ... [</w:t>
      </w:r>
      <w:r w:rsidR="00F5511C" w:rsidRPr="00C813FE">
        <w:t>d</w:t>
      </w:r>
      <w:r w:rsidRPr="00C813FE">
        <w:t xml:space="preserve">va roky ode dne vstupu této směrnice v platnost]. Neprodleně </w:t>
      </w:r>
      <w:r w:rsidRPr="00C813FE">
        <w:lastRenderedPageBreak/>
        <w:t>o nich uvědomí Komisi.</w:t>
      </w:r>
    </w:p>
    <w:p w:rsidR="00DF4529" w:rsidRPr="00C813FE" w:rsidRDefault="00DF4529" w:rsidP="00DF4529"/>
    <w:p w:rsidR="00DF4529" w:rsidRPr="00C813FE" w:rsidRDefault="00DF4529" w:rsidP="00DF4529">
      <w:r w:rsidRPr="00C813FE">
        <w:t xml:space="preserve">2. </w:t>
      </w:r>
      <w:r w:rsidRPr="00C813FE">
        <w:tab/>
        <w:t>Tyto předpisy přijaté členskými státy musí obsahovat odkaz na tuto směrnici nebo musí být takový odkaz učiněn při jejich úředním vyhlášení. Způsob, jakým je tento odkaz proveden, si stanoví členské státy.</w:t>
      </w:r>
    </w:p>
    <w:p w:rsidR="00DF4529" w:rsidRPr="00C813FE" w:rsidRDefault="00DF4529" w:rsidP="00DF4529"/>
    <w:p w:rsidR="00DF4529" w:rsidRPr="00C813FE" w:rsidRDefault="00DF4529" w:rsidP="00DF4529">
      <w:pPr>
        <w:jc w:val="center"/>
        <w:rPr>
          <w:i/>
        </w:rPr>
      </w:pPr>
      <w:r w:rsidRPr="00C813FE">
        <w:rPr>
          <w:i/>
        </w:rPr>
        <w:t>Článek 13</w:t>
      </w:r>
    </w:p>
    <w:p w:rsidR="00DF4529" w:rsidRPr="00C813FE" w:rsidRDefault="00DF4529" w:rsidP="00DF4529">
      <w:pPr>
        <w:jc w:val="center"/>
        <w:rPr>
          <w:i/>
        </w:rPr>
      </w:pPr>
      <w:r w:rsidRPr="00C813FE">
        <w:rPr>
          <w:i/>
        </w:rPr>
        <w:t>Vstup v platnost</w:t>
      </w:r>
    </w:p>
    <w:p w:rsidR="00DF4529" w:rsidRPr="00C813FE" w:rsidRDefault="00DF4529" w:rsidP="00DF4529">
      <w:pPr>
        <w:rPr>
          <w:i/>
        </w:rPr>
      </w:pPr>
    </w:p>
    <w:p w:rsidR="00DF4529" w:rsidRPr="00C813FE" w:rsidRDefault="00DF4529" w:rsidP="00DF4529">
      <w:r w:rsidRPr="00C813FE">
        <w:t xml:space="preserve">Tato směrnice vstupuje v platnost prvním dnem po vyhlášení v </w:t>
      </w:r>
      <w:r w:rsidRPr="00C813FE">
        <w:rPr>
          <w:i/>
          <w:iCs/>
        </w:rPr>
        <w:t>Úředním věstníku Evropské unie</w:t>
      </w:r>
      <w:r w:rsidRPr="00C813FE">
        <w:t>.</w:t>
      </w:r>
    </w:p>
    <w:p w:rsidR="00DF4529" w:rsidRPr="00C813FE" w:rsidRDefault="00DF4529" w:rsidP="00DF4529">
      <w:pPr>
        <w:rPr>
          <w:bCs/>
          <w:i/>
          <w:iCs/>
          <w:sz w:val="23"/>
          <w:szCs w:val="23"/>
        </w:rPr>
      </w:pPr>
    </w:p>
    <w:p w:rsidR="00DF4529" w:rsidRPr="00C813FE" w:rsidRDefault="00DF4529" w:rsidP="00DF4529">
      <w:pPr>
        <w:jc w:val="center"/>
        <w:rPr>
          <w:bCs/>
          <w:i/>
          <w:iCs/>
          <w:sz w:val="23"/>
          <w:szCs w:val="23"/>
        </w:rPr>
      </w:pPr>
      <w:r w:rsidRPr="00C813FE">
        <w:rPr>
          <w:i/>
          <w:sz w:val="23"/>
        </w:rPr>
        <w:t>Článek </w:t>
      </w:r>
      <w:r w:rsidR="00F5511C" w:rsidRPr="00C813FE">
        <w:rPr>
          <w:i/>
          <w:sz w:val="23"/>
        </w:rPr>
        <w:t>14</w:t>
      </w:r>
    </w:p>
    <w:p w:rsidR="00DF4529" w:rsidRPr="00C813FE" w:rsidRDefault="00DF4529" w:rsidP="00DF4529">
      <w:pPr>
        <w:jc w:val="center"/>
        <w:rPr>
          <w:bCs/>
          <w:iCs/>
          <w:sz w:val="23"/>
          <w:szCs w:val="23"/>
        </w:rPr>
      </w:pPr>
      <w:r w:rsidRPr="00C813FE">
        <w:rPr>
          <w:i/>
          <w:sz w:val="23"/>
        </w:rPr>
        <w:t>Určení</w:t>
      </w:r>
    </w:p>
    <w:p w:rsidR="00DF4529" w:rsidRPr="00C813FE" w:rsidRDefault="00DF4529" w:rsidP="00DF4529">
      <w:pPr>
        <w:rPr>
          <w:bCs/>
          <w:iCs/>
          <w:sz w:val="23"/>
          <w:szCs w:val="23"/>
        </w:rPr>
      </w:pPr>
    </w:p>
    <w:p w:rsidR="00DF4529" w:rsidRPr="00C813FE" w:rsidRDefault="00DF4529" w:rsidP="00DF4529">
      <w:pPr>
        <w:rPr>
          <w:bCs/>
          <w:iCs/>
          <w:sz w:val="23"/>
          <w:szCs w:val="23"/>
        </w:rPr>
      </w:pPr>
      <w:r w:rsidRPr="00C813FE">
        <w:rPr>
          <w:sz w:val="23"/>
        </w:rPr>
        <w:t>Tato směrnice je určena členským státům.</w:t>
      </w:r>
    </w:p>
    <w:p w:rsidR="00DF4529" w:rsidRPr="00C813FE" w:rsidRDefault="00DF4529" w:rsidP="00DF4529">
      <w:pPr>
        <w:rPr>
          <w:bCs/>
          <w:iCs/>
          <w:sz w:val="23"/>
          <w:szCs w:val="23"/>
        </w:rPr>
      </w:pPr>
    </w:p>
    <w:p w:rsidR="00DF4529" w:rsidRPr="00C813FE" w:rsidRDefault="00DF4529" w:rsidP="00DF4529">
      <w:pPr>
        <w:spacing w:before="120" w:line="360" w:lineRule="auto"/>
        <w:rPr>
          <w:rFonts w:eastAsia="Calibri"/>
          <w:noProof/>
          <w:szCs w:val="22"/>
        </w:rPr>
      </w:pPr>
      <w:r w:rsidRPr="00C813FE">
        <w:t>V … dne …</w:t>
      </w:r>
    </w:p>
    <w:p w:rsidR="00DF4529" w:rsidRPr="00C813FE" w:rsidRDefault="00DF4529" w:rsidP="00DF4529">
      <w:pPr>
        <w:tabs>
          <w:tab w:val="left" w:pos="4252"/>
        </w:tabs>
        <w:spacing w:before="720" w:line="360" w:lineRule="auto"/>
        <w:jc w:val="both"/>
        <w:rPr>
          <w:rFonts w:eastAsia="Calibri"/>
          <w:i/>
          <w:noProof/>
          <w:szCs w:val="22"/>
        </w:rPr>
      </w:pPr>
      <w:r w:rsidRPr="00C813FE">
        <w:rPr>
          <w:i/>
        </w:rPr>
        <w:t>Za Evropský parlament</w:t>
      </w:r>
      <w:r w:rsidRPr="00C813FE">
        <w:rPr>
          <w:i/>
        </w:rPr>
        <w:tab/>
      </w:r>
      <w:r w:rsidRPr="00C813FE">
        <w:rPr>
          <w:i/>
        </w:rPr>
        <w:tab/>
      </w:r>
      <w:r w:rsidRPr="00C813FE">
        <w:rPr>
          <w:i/>
        </w:rPr>
        <w:tab/>
      </w:r>
      <w:r w:rsidRPr="00C813FE">
        <w:rPr>
          <w:i/>
        </w:rPr>
        <w:tab/>
        <w:t>Za Radu</w:t>
      </w:r>
    </w:p>
    <w:p w:rsidR="00DF4529" w:rsidRPr="00C813FE" w:rsidRDefault="00DF4529" w:rsidP="00DF4529">
      <w:pPr>
        <w:tabs>
          <w:tab w:val="left" w:pos="4252"/>
        </w:tabs>
        <w:spacing w:line="360" w:lineRule="auto"/>
      </w:pPr>
      <w:r w:rsidRPr="00C813FE">
        <w:rPr>
          <w:i/>
        </w:rPr>
        <w:t>předsedkyně</w:t>
      </w:r>
      <w:r w:rsidRPr="00C813FE">
        <w:rPr>
          <w:i/>
        </w:rPr>
        <w:tab/>
      </w:r>
      <w:r w:rsidRPr="00C813FE">
        <w:rPr>
          <w:i/>
        </w:rPr>
        <w:tab/>
      </w:r>
      <w:r w:rsidRPr="00C813FE">
        <w:rPr>
          <w:i/>
        </w:rPr>
        <w:tab/>
      </w:r>
      <w:r w:rsidRPr="00C813FE">
        <w:rPr>
          <w:i/>
        </w:rPr>
        <w:tab/>
        <w:t>předseda</w:t>
      </w:r>
      <w:r w:rsidR="00F5511C" w:rsidRPr="00C813FE">
        <w:rPr>
          <w:i/>
        </w:rPr>
        <w:t xml:space="preserve"> </w:t>
      </w:r>
      <w:r w:rsidR="00F5511C" w:rsidRPr="00C813FE">
        <w:t>nebo</w:t>
      </w:r>
      <w:r w:rsidR="00F5511C" w:rsidRPr="00C813FE">
        <w:rPr>
          <w:i/>
        </w:rPr>
        <w:t xml:space="preserve"> </w:t>
      </w:r>
      <w:r w:rsidRPr="00C813FE">
        <w:rPr>
          <w:i/>
        </w:rPr>
        <w:t>předsedkyně</w:t>
      </w:r>
    </w:p>
    <w:p w:rsidR="00DF4529" w:rsidRPr="00C813FE" w:rsidRDefault="00DF4529" w:rsidP="00DF4529"/>
    <w:p w:rsidR="00DF4529" w:rsidRPr="00C813FE" w:rsidRDefault="00DF4529" w:rsidP="00DF4529">
      <w:pPr>
        <w:widowControl/>
      </w:pPr>
      <w:r w:rsidRPr="00C813FE">
        <w:br w:type="page"/>
      </w:r>
    </w:p>
    <w:p w:rsidR="00DF4529" w:rsidRPr="00C813FE" w:rsidRDefault="00DF4529" w:rsidP="00DF4529">
      <w:pPr>
        <w:pStyle w:val="PageHeading"/>
      </w:pPr>
      <w:bookmarkStart w:id="12" w:name="_Toc135752086"/>
      <w:bookmarkStart w:id="13" w:name="_Toc135994938"/>
      <w:bookmarkStart w:id="14" w:name="_Toc137115716"/>
      <w:r w:rsidRPr="00C813FE">
        <w:lastRenderedPageBreak/>
        <w:t>PŘÍLOHA II USNESENÍ</w:t>
      </w:r>
      <w:bookmarkEnd w:id="12"/>
      <w:bookmarkEnd w:id="13"/>
      <w:bookmarkEnd w:id="14"/>
    </w:p>
    <w:p w:rsidR="00DF4529" w:rsidRPr="008D44C1" w:rsidRDefault="00DF4529" w:rsidP="008D44C1">
      <w:pPr>
        <w:autoSpaceDE w:val="0"/>
        <w:autoSpaceDN w:val="0"/>
        <w:adjustRightInd w:val="0"/>
        <w:jc w:val="center"/>
        <w:rPr>
          <w:b/>
        </w:rPr>
      </w:pPr>
      <w:r w:rsidRPr="00C813FE">
        <w:rPr>
          <w:b/>
        </w:rPr>
        <w:t>Návrh rozhodnutí Evropského parlamentu a Rady</w:t>
      </w:r>
      <w:r w:rsidR="008D44C1">
        <w:rPr>
          <w:b/>
        </w:rPr>
        <w:t xml:space="preserve"> </w:t>
      </w:r>
      <w:bookmarkStart w:id="15" w:name="_GoBack"/>
      <w:bookmarkEnd w:id="15"/>
      <w:r w:rsidRPr="00C813FE">
        <w:rPr>
          <w:b/>
        </w:rPr>
        <w:t xml:space="preserve">o rámci pro kvalitu stáží </w:t>
      </w:r>
    </w:p>
    <w:p w:rsidR="00DF4529" w:rsidRPr="00C813FE" w:rsidRDefault="00DF4529" w:rsidP="00DF4529">
      <w:pPr>
        <w:pStyle w:val="CM3"/>
        <w:spacing w:before="60" w:after="60"/>
        <w:rPr>
          <w:rFonts w:cs="EUAlbertina"/>
        </w:rPr>
      </w:pPr>
    </w:p>
    <w:p w:rsidR="00DF4529" w:rsidRPr="00C813FE" w:rsidRDefault="00DF4529" w:rsidP="00DF4529">
      <w:pPr>
        <w:pStyle w:val="CM4"/>
        <w:spacing w:before="60" w:after="60"/>
        <w:rPr>
          <w:rFonts w:ascii="Times New Roman" w:hAnsi="Times New Roman"/>
        </w:rPr>
      </w:pPr>
    </w:p>
    <w:p w:rsidR="00DF4529" w:rsidRPr="00C813FE" w:rsidRDefault="00DF4529" w:rsidP="00DF4529">
      <w:pPr>
        <w:pStyle w:val="CM4"/>
        <w:spacing w:before="60" w:after="60"/>
        <w:rPr>
          <w:rFonts w:ascii="Times New Roman" w:hAnsi="Times New Roman"/>
        </w:rPr>
      </w:pPr>
      <w:r w:rsidRPr="00C813FE">
        <w:rPr>
          <w:rFonts w:ascii="Times New Roman" w:hAnsi="Times New Roman"/>
        </w:rPr>
        <w:t xml:space="preserve">EVROPSKÝ PARLAMENT A RADA EVROPSKÉ UNIE, </w:t>
      </w:r>
    </w:p>
    <w:p w:rsidR="00DF4529" w:rsidRPr="00C813FE" w:rsidRDefault="00DF4529" w:rsidP="00DF4529">
      <w:pPr>
        <w:pStyle w:val="Default"/>
        <w:rPr>
          <w:color w:val="auto"/>
        </w:rPr>
      </w:pPr>
    </w:p>
    <w:p w:rsidR="00DF4529" w:rsidRPr="00C813FE" w:rsidRDefault="00DF4529" w:rsidP="00DF4529">
      <w:pPr>
        <w:pStyle w:val="CM4"/>
        <w:spacing w:before="60" w:after="60"/>
        <w:rPr>
          <w:rFonts w:ascii="Times New Roman" w:hAnsi="Times New Roman"/>
        </w:rPr>
      </w:pPr>
      <w:r w:rsidRPr="00C813FE">
        <w:rPr>
          <w:rFonts w:ascii="Times New Roman" w:hAnsi="Times New Roman"/>
        </w:rPr>
        <w:t xml:space="preserve">s ohledem na Smlouvu o fungování Evropské unie, a zejména na čl. 166 odst. 4 </w:t>
      </w:r>
      <w:proofErr w:type="gramStart"/>
      <w:r w:rsidRPr="00C813FE">
        <w:rPr>
          <w:rFonts w:ascii="Times New Roman" w:hAnsi="Times New Roman"/>
        </w:rPr>
        <w:t>této</w:t>
      </w:r>
      <w:proofErr w:type="gramEnd"/>
      <w:r w:rsidRPr="00C813FE">
        <w:rPr>
          <w:rFonts w:ascii="Times New Roman" w:hAnsi="Times New Roman"/>
        </w:rPr>
        <w:t xml:space="preserve"> smlouvy, </w:t>
      </w:r>
    </w:p>
    <w:p w:rsidR="00DF4529" w:rsidRPr="00C813FE" w:rsidRDefault="00DF4529" w:rsidP="00DF4529">
      <w:pPr>
        <w:pStyle w:val="Default"/>
        <w:rPr>
          <w:color w:val="auto"/>
        </w:rPr>
      </w:pPr>
    </w:p>
    <w:p w:rsidR="00DF4529" w:rsidRPr="00C813FE" w:rsidRDefault="00DF4529" w:rsidP="00DF4529">
      <w:pPr>
        <w:pStyle w:val="CM4"/>
        <w:spacing w:before="60" w:after="60"/>
        <w:rPr>
          <w:rFonts w:ascii="Times New Roman" w:hAnsi="Times New Roman"/>
        </w:rPr>
      </w:pPr>
      <w:r w:rsidRPr="00C813FE">
        <w:rPr>
          <w:rFonts w:ascii="Times New Roman" w:hAnsi="Times New Roman"/>
        </w:rPr>
        <w:t xml:space="preserve">s ohledem na návrh Evropské komise, </w:t>
      </w:r>
    </w:p>
    <w:p w:rsidR="00DF4529" w:rsidRPr="00C813FE" w:rsidRDefault="00DF4529" w:rsidP="00DF4529">
      <w:pPr>
        <w:pStyle w:val="Default"/>
        <w:rPr>
          <w:color w:val="auto"/>
        </w:rPr>
      </w:pPr>
    </w:p>
    <w:p w:rsidR="00DF4529" w:rsidRPr="00C813FE" w:rsidRDefault="00DF4529" w:rsidP="00DF4529">
      <w:pPr>
        <w:pStyle w:val="Default"/>
        <w:rPr>
          <w:color w:val="auto"/>
        </w:rPr>
      </w:pPr>
      <w:r w:rsidRPr="00C813FE">
        <w:rPr>
          <w:color w:val="auto"/>
        </w:rPr>
        <w:t>s ohledem na stanovisko Evropského hospodářského a sociálního výboru,</w:t>
      </w:r>
    </w:p>
    <w:p w:rsidR="00DF4529" w:rsidRPr="00C813FE" w:rsidRDefault="00DF4529" w:rsidP="00DF4529">
      <w:pPr>
        <w:pStyle w:val="Default"/>
        <w:rPr>
          <w:color w:val="auto"/>
        </w:rPr>
      </w:pPr>
    </w:p>
    <w:p w:rsidR="00DF4529" w:rsidRPr="00C813FE" w:rsidRDefault="00DF4529" w:rsidP="00DF4529">
      <w:pPr>
        <w:pStyle w:val="Default"/>
        <w:rPr>
          <w:color w:val="auto"/>
        </w:rPr>
      </w:pPr>
      <w:r w:rsidRPr="00C813FE">
        <w:rPr>
          <w:color w:val="auto"/>
        </w:rPr>
        <w:t>s ohledem na stanovisko Výboru regionů,</w:t>
      </w:r>
    </w:p>
    <w:p w:rsidR="00DF4529" w:rsidRPr="00C813FE" w:rsidRDefault="00DF4529" w:rsidP="00DF4529">
      <w:pPr>
        <w:pStyle w:val="Default"/>
        <w:rPr>
          <w:color w:val="auto"/>
        </w:rPr>
      </w:pPr>
    </w:p>
    <w:p w:rsidR="00DF4529" w:rsidRPr="00C813FE" w:rsidRDefault="00DF4529" w:rsidP="00DF4529">
      <w:pPr>
        <w:pStyle w:val="Default"/>
        <w:rPr>
          <w:color w:val="auto"/>
        </w:rPr>
      </w:pPr>
      <w:r w:rsidRPr="00C813FE">
        <w:rPr>
          <w:color w:val="auto"/>
        </w:rPr>
        <w:t>v souladu s řádným legislativním postupem,</w:t>
      </w:r>
    </w:p>
    <w:p w:rsidR="000918D9" w:rsidRPr="00C813FE" w:rsidRDefault="000918D9" w:rsidP="00DF4529">
      <w:pPr>
        <w:pStyle w:val="Default"/>
        <w:rPr>
          <w:color w:val="auto"/>
        </w:rPr>
      </w:pPr>
    </w:p>
    <w:p w:rsidR="000918D9" w:rsidRPr="00C813FE" w:rsidRDefault="000918D9" w:rsidP="00DF4529">
      <w:pPr>
        <w:pStyle w:val="Default"/>
        <w:rPr>
          <w:color w:val="auto"/>
        </w:rPr>
      </w:pPr>
      <w:r w:rsidRPr="00C813FE">
        <w:rPr>
          <w:color w:val="auto"/>
        </w:rPr>
        <w:t>vzhledem k těmto důvodům:</w:t>
      </w:r>
    </w:p>
    <w:p w:rsidR="00DF4529" w:rsidRPr="00C813FE" w:rsidRDefault="00DF4529" w:rsidP="00DF4529">
      <w:pPr>
        <w:rPr>
          <w:rFonts w:cs="EUAlbertina"/>
          <w:sz w:val="17"/>
          <w:szCs w:val="17"/>
        </w:rPr>
      </w:pPr>
    </w:p>
    <w:p w:rsidR="00DF4529" w:rsidRPr="00C813FE" w:rsidRDefault="00DF4529" w:rsidP="00DF4529">
      <w:r w:rsidRPr="00C813FE">
        <w:t>(1)</w:t>
      </w:r>
      <w:r w:rsidRPr="00C813FE">
        <w:tab/>
      </w:r>
      <w:r w:rsidR="000918D9" w:rsidRPr="00C813FE">
        <w:t>Z</w:t>
      </w:r>
      <w:r w:rsidRPr="00C813FE">
        <w:t xml:space="preserve">ásada </w:t>
      </w:r>
      <w:r w:rsidR="000918D9" w:rsidRPr="00C813FE">
        <w:t xml:space="preserve">1 </w:t>
      </w:r>
      <w:r w:rsidRPr="00C813FE">
        <w:t xml:space="preserve">evropského pilíře sociálních práv stanoví, že každý má právo na kvalitní a inkluzivní všeobecné a odborné vzdělávání a celoživotní </w:t>
      </w:r>
      <w:r w:rsidR="00C537FB" w:rsidRPr="00C813FE">
        <w:t>vzdělávání</w:t>
      </w:r>
      <w:r w:rsidRPr="00C813FE">
        <w:t xml:space="preserve">, aby si udržel a nabyl dovednosti, které mu umožní účastnit se plně na životě společnosti a úspěšně zvládat přechody na trhu práce. Zásada </w:t>
      </w:r>
      <w:proofErr w:type="gramStart"/>
      <w:r w:rsidRPr="00C813FE">
        <w:t>č. 3 evropského</w:t>
      </w:r>
      <w:proofErr w:type="gramEnd"/>
      <w:r w:rsidRPr="00C813FE">
        <w:t xml:space="preserve"> pilíře sociálních práv zdůrazňuje, že bez ohledu na pohlaví, rasový nebo etnický původ, náboženské vyznání nebo přesvědčení, zdravotní postižení, věk nebo sexuální orientaci má každý právo na rovné zacházení a příležitosti, </w:t>
      </w:r>
      <w:r w:rsidR="00B936A5" w:rsidRPr="00C813FE">
        <w:t>pokud jde mimo jiné o</w:t>
      </w:r>
      <w:r w:rsidRPr="00C813FE">
        <w:t xml:space="preserve"> zaměstnání a vzdělávání.</w:t>
      </w:r>
    </w:p>
    <w:p w:rsidR="00DF4529" w:rsidRPr="00C813FE" w:rsidRDefault="00DF4529" w:rsidP="00DF4529"/>
    <w:p w:rsidR="00DF4529" w:rsidRPr="00C813FE" w:rsidRDefault="00DF4529" w:rsidP="00DF4529">
      <w:r w:rsidRPr="00C813FE">
        <w:t xml:space="preserve">(2) </w:t>
      </w:r>
      <w:r w:rsidRPr="00C813FE">
        <w:tab/>
        <w:t xml:space="preserve">V čl. 14 odst. 1 Listiny základních práv Evropské unie 28 se stanoví, že každý má právo na vzdělání a </w:t>
      </w:r>
      <w:r w:rsidR="00B936A5" w:rsidRPr="00C813FE">
        <w:t xml:space="preserve">na </w:t>
      </w:r>
      <w:r w:rsidRPr="00C813FE">
        <w:t>přístup k odbornému a dalšímu vzdělávání.</w:t>
      </w:r>
    </w:p>
    <w:p w:rsidR="00DF4529" w:rsidRPr="00C813FE" w:rsidRDefault="00DF4529" w:rsidP="00DF4529"/>
    <w:p w:rsidR="00DF4529" w:rsidRPr="00C813FE" w:rsidRDefault="00DF4529" w:rsidP="00DF4529">
      <w:r w:rsidRPr="00C813FE">
        <w:t xml:space="preserve">(3) </w:t>
      </w:r>
      <w:r w:rsidRPr="00C813FE">
        <w:tab/>
        <w:t xml:space="preserve">Cílem Strategie práv osob se zdravotním postižením na období 2021–2030 je zajistit plné zapojení osob </w:t>
      </w:r>
      <w:r w:rsidR="000918D9" w:rsidRPr="00C813FE">
        <w:t xml:space="preserve">se zdravotním postižením </w:t>
      </w:r>
      <w:r w:rsidRPr="00C813FE">
        <w:t>do společnosti na rovnoprávném základě s ostatními lidmi v Unii i mimo ni. V rámci uvedené strategie se Evropská komise zavazuje k tomu, že zajistí, aby se osoby se zdravotním postižením mohly účastnit odborné přípravy a učit se novým dovednostem, což je základní předpoklad pro výkon zaměstnání a nezávislost.</w:t>
      </w:r>
    </w:p>
    <w:p w:rsidR="00DF4529" w:rsidRPr="00C813FE" w:rsidRDefault="00DF4529" w:rsidP="00DF4529"/>
    <w:p w:rsidR="00DF4529" w:rsidRPr="00C813FE" w:rsidRDefault="00DF4529" w:rsidP="00DF4529">
      <w:r w:rsidRPr="00C813FE">
        <w:t xml:space="preserve">(4) </w:t>
      </w:r>
      <w:r w:rsidRPr="00C813FE">
        <w:tab/>
        <w:t>Stáže absolvované za účelem získání vzdělání mají studentům nabídnout konkrétní zkušenosti s učením v rámci pracovního procesu tím, že propojují akademické znalosti s praktickými zkušenostmi, a poskytují jim příležitost najít si profesní oblasti zájmů a zvyšují jejich zaměstnatelnost.</w:t>
      </w:r>
    </w:p>
    <w:p w:rsidR="00DF4529" w:rsidRPr="00C813FE" w:rsidRDefault="00DF4529" w:rsidP="00DF4529">
      <w:pPr>
        <w:pStyle w:val="ListParagraph"/>
        <w:ind w:left="360"/>
        <w:jc w:val="left"/>
      </w:pPr>
    </w:p>
    <w:p w:rsidR="00DF4529" w:rsidRPr="00C813FE" w:rsidRDefault="00DF4529" w:rsidP="00DF4529">
      <w:r w:rsidRPr="00C813FE">
        <w:t xml:space="preserve">(5) </w:t>
      </w:r>
      <w:r w:rsidRPr="00C813FE">
        <w:tab/>
        <w:t>Pokud stáže, obzvláště opakované, nahrazují řádné zaměstnání, zejména nástupní pozice pro začínající pracovníky, které jsou obvykle stážistům nabízeny, vznikají socioekonomické náklady. Mimoto nekvalitní stáže, zejména stáže s malým vzdělávacím obsahem, nevedou k zaměstnatelnosti stážisty a nepřinášejí prospěch žádné ze stran. Sociální náklady mohou rovněž vzniknout v souvislosti s neplacenými stážemi, které mohou omezit možnosti profesního uplatnění osob pocházejících ze znevýhodněného prostředí.</w:t>
      </w:r>
    </w:p>
    <w:p w:rsidR="00DF4529" w:rsidRPr="00C813FE" w:rsidRDefault="00DF4529" w:rsidP="00DF4529"/>
    <w:p w:rsidR="00DF4529" w:rsidRPr="00C813FE" w:rsidRDefault="00DF4529" w:rsidP="00DF4529">
      <w:r w:rsidRPr="00C813FE">
        <w:lastRenderedPageBreak/>
        <w:t xml:space="preserve">(6) </w:t>
      </w:r>
      <w:r w:rsidRPr="00C813FE">
        <w:tab/>
        <w:t>Jsou k dispozici důkazy o spojitosti mezi kvalitou stáže a zaměstnaností. Význam stáže při usnadnění přechodu do zaměstnání závisí na její kvalitě, pokud jde o vzdělávací obsah a podmínky stáže. Kvalitní stáže motivují mladé lidi ke vstupu na trh práce, zlepšují budoucí vyhlídky a duševní stabilitu, posilují soulad mezi nabízenými a požadovanými dovednostmi na trhu práce, přinášejí přímé výhody v oblasti produktivity a podporují mobilitu, zejména snižováním nákladů na hledání a na soulad mezi požadavky na trhu práce, a to jak na straně podniků, tak účastníků stáží.</w:t>
      </w:r>
    </w:p>
    <w:p w:rsidR="00DF4529" w:rsidRPr="00C813FE" w:rsidRDefault="00DF4529" w:rsidP="00DF4529"/>
    <w:p w:rsidR="00DF4529" w:rsidRPr="00C813FE" w:rsidRDefault="00DF4529" w:rsidP="00DF4529">
      <w:r w:rsidRPr="00C813FE">
        <w:t xml:space="preserve">(7) </w:t>
      </w:r>
      <w:r w:rsidRPr="00C813FE">
        <w:tab/>
        <w:t>Existují důkazy o tom, že značný počet stáží postrádá souvislost mezi úkoly a vzdělávacími cíli. Kvalitní stáž musí nabízet náležitý a smysluplný vzdělávací obsah. To mimo jiné znamená stanovení konkrétních dovedností, které si má stážista osvojit, zajištění dohledu nad stážistou a jeho odborného vedení a sledování jeho pokroku v průběhu celé stáže.</w:t>
      </w:r>
    </w:p>
    <w:p w:rsidR="00DF4529" w:rsidRPr="00C813FE" w:rsidRDefault="00DF4529" w:rsidP="00DF4529"/>
    <w:p w:rsidR="00DF4529" w:rsidRPr="00C813FE" w:rsidRDefault="00DF4529" w:rsidP="00DF4529">
      <w:r w:rsidRPr="00C813FE">
        <w:t xml:space="preserve">(8) </w:t>
      </w:r>
      <w:r w:rsidRPr="00C813FE">
        <w:tab/>
        <w:t>Byly rovněž zjištěny problémy týkající se podmínek stáží, jako je např. dlouhá pracovní doba, nedostatečné sociální zabezpečení, nedostatečné zdravotní a úrazové pojištění, jakož i nemocenská, ochrana před zdravotními a bezpečnostními nebo pracovními riziky, nízká nebo žádná odměna a nejasnost podmínek stanovených v dohodách o stáži.</w:t>
      </w:r>
    </w:p>
    <w:p w:rsidR="00DF4529" w:rsidRPr="00C813FE" w:rsidRDefault="00DF4529" w:rsidP="00DF4529"/>
    <w:p w:rsidR="00DF4529" w:rsidRPr="00C813FE" w:rsidRDefault="00DF4529" w:rsidP="00DF4529">
      <w:r w:rsidRPr="00C813FE">
        <w:t xml:space="preserve">(9) </w:t>
      </w:r>
      <w:r w:rsidRPr="00C813FE">
        <w:tab/>
        <w:t>V některých členských státech jsou stáže vykonávané za účelem získání kvalifikace v</w:t>
      </w:r>
      <w:r w:rsidR="00B936A5" w:rsidRPr="00C813FE">
        <w:t> </w:t>
      </w:r>
      <w:r w:rsidRPr="00C813FE">
        <w:t xml:space="preserve">rámci vzdělání stále neregulované. </w:t>
      </w:r>
      <w:r w:rsidR="00B936A5" w:rsidRPr="00C813FE">
        <w:t>Pokud</w:t>
      </w:r>
      <w:r w:rsidRPr="00C813FE">
        <w:t xml:space="preserve"> neexistuje regulační rámec nebo nástroj nebo není zajištěna dostatečná transparentnost, pokud jde o podmínky odborné přípravy v průběhu stáže a její vzdělávací obsah, může řada poskytovatelů stáží využívat stážisty jako levnou, či dokonce neplacenou pracovní sílu.</w:t>
      </w:r>
    </w:p>
    <w:p w:rsidR="00DF4529" w:rsidRPr="00C813FE" w:rsidRDefault="00DF4529" w:rsidP="00DF4529"/>
    <w:p w:rsidR="00DF4529" w:rsidRPr="00C813FE" w:rsidRDefault="00DF4529" w:rsidP="00DF4529">
      <w:r w:rsidRPr="00C813FE">
        <w:t xml:space="preserve">(10) </w:t>
      </w:r>
      <w:r w:rsidRPr="00C813FE">
        <w:tab/>
        <w:t xml:space="preserve">Silnější a aktualizovaný rámec pro kvalitu stáží podpoří zlepšení podmínek odborné přípravy a vzdělávacího obsahu stáží. Hlavním prvkem rámce pro kvalitu stáží je písemná dohoda o stáži, která uvádí vzdělávací cíle, důstojné  podmínky stáže včetně výše odměny, která bude odpovídat životním nákladům, práva a povinnosti a požadavky týkající se omezení stáže na přiměřenou dobu. </w:t>
      </w:r>
    </w:p>
    <w:p w:rsidR="00DF4529" w:rsidRPr="00C813FE" w:rsidRDefault="00DF4529" w:rsidP="00DF4529"/>
    <w:p w:rsidR="00DF4529" w:rsidRPr="00C813FE" w:rsidRDefault="00DF4529" w:rsidP="00DF4529">
      <w:r w:rsidRPr="00C813FE">
        <w:t xml:space="preserve">(11) </w:t>
      </w:r>
      <w:r w:rsidRPr="00C813FE">
        <w:tab/>
        <w:t xml:space="preserve">Jednou z příčin nízké kvality stáží je nedostatek informací, přičemž u stáží je tento problém mnohem rozšířenějším jevem než v případě řádného zaměstnání. Větší požadavky na transparentnost a </w:t>
      </w:r>
      <w:proofErr w:type="spellStart"/>
      <w:r w:rsidRPr="00C813FE">
        <w:t>genderově</w:t>
      </w:r>
      <w:proofErr w:type="spellEnd"/>
      <w:r w:rsidRPr="00C813FE">
        <w:t xml:space="preserve"> neutrální a inkluzivní oznámení nebo inzeráty nabízející volná místa pro stážisty zlepšují dostupnost</w:t>
      </w:r>
      <w:r w:rsidR="004807E5" w:rsidRPr="00C813FE">
        <w:t xml:space="preserve"> stáží</w:t>
      </w:r>
      <w:r w:rsidRPr="00C813FE">
        <w:t>.</w:t>
      </w:r>
    </w:p>
    <w:p w:rsidR="00DF4529" w:rsidRPr="00C813FE" w:rsidRDefault="00DF4529" w:rsidP="00DF4529"/>
    <w:p w:rsidR="00DF4529" w:rsidRPr="00C813FE" w:rsidRDefault="00DF4529" w:rsidP="00DF4529">
      <w:r w:rsidRPr="00C813FE">
        <w:t xml:space="preserve">(12) </w:t>
      </w:r>
      <w:r w:rsidRPr="00C813FE">
        <w:tab/>
        <w:t>Klíčové zúčastněné strany, jako jsou sociální partneři, studentské svazy, zástupci studentů, mládežnické organizace a poskytovatelé služeb v oblasti celoživotního profesního poradenství, hrají klíčovou úlohu při navrhování, provádění a monitorování politik a programů odborné přípravy. Jejich vzájemná spolupráce by mohla stážistům poskytnout cílené informace o dostupných kariérních příležitostech a požadovaných dovednostech na trzích práce, jakož i o právech a povinnostech stážistů.</w:t>
      </w:r>
    </w:p>
    <w:p w:rsidR="00DF4529" w:rsidRPr="00C813FE" w:rsidRDefault="00DF4529" w:rsidP="00DF4529"/>
    <w:p w:rsidR="00DF4529" w:rsidRPr="00C813FE" w:rsidRDefault="00DF4529" w:rsidP="00DF4529">
      <w:r w:rsidRPr="00C813FE">
        <w:t xml:space="preserve">(13) </w:t>
      </w:r>
      <w:r w:rsidRPr="00C813FE">
        <w:tab/>
        <w:t xml:space="preserve">Jednou z příležitostí je zvýšení přeshraniční mobility stážistů v Unii. Nedostatek důstojné finanční náhrady představuje překážku pro rozvoj přeshraniční mobility stážistů, zejména pro studenty pocházející ze znevýhodněných skupin. V některých případech bylo kromě toho zjištěno, že správní a právní překážky bránící přeshraniční mobilitě stážistů mají dopad na několik přijímajících členských států. V této souvislosti jsou důležité informace o právu na přeshraniční mobilitu stážistů. Rámec pro kvalitu stáží </w:t>
      </w:r>
      <w:r w:rsidR="000918D9" w:rsidRPr="00C813FE">
        <w:t xml:space="preserve">by rovněž </w:t>
      </w:r>
      <w:r w:rsidRPr="00C813FE">
        <w:t>usnadn</w:t>
      </w:r>
      <w:r w:rsidR="000918D9" w:rsidRPr="00C813FE">
        <w:t>il</w:t>
      </w:r>
      <w:r w:rsidRPr="00C813FE">
        <w:t xml:space="preserve"> přístup ke stážím v zahraničí tím, že poskytne zásady a pokyny, které poslouží jako zdroj informací.</w:t>
      </w:r>
    </w:p>
    <w:p w:rsidR="00DF4529" w:rsidRPr="00C813FE" w:rsidRDefault="00DF4529" w:rsidP="00DF4529">
      <w:pPr>
        <w:autoSpaceDE w:val="0"/>
        <w:autoSpaceDN w:val="0"/>
        <w:adjustRightInd w:val="0"/>
        <w:rPr>
          <w:bCs/>
          <w:iCs/>
        </w:rPr>
      </w:pPr>
      <w:r w:rsidRPr="00C813FE">
        <w:t xml:space="preserve">(14) </w:t>
      </w:r>
      <w:r w:rsidRPr="00C813FE">
        <w:tab/>
        <w:t xml:space="preserve">Poskytovatelé stáží, kteří dodržují rámec pro kvalitu stáží, mohou získat finanční </w:t>
      </w:r>
      <w:r w:rsidRPr="00C813FE">
        <w:lastRenderedPageBreak/>
        <w:t>podporu z unijních a vnitrostátních zdrojů. To zahrnuje možný příspěvek na náklady na stáže určený pro poskytovatele stáží.</w:t>
      </w:r>
    </w:p>
    <w:p w:rsidR="00DF4529" w:rsidRPr="00C813FE" w:rsidRDefault="00DF4529" w:rsidP="00DF4529">
      <w:pPr>
        <w:autoSpaceDE w:val="0"/>
        <w:autoSpaceDN w:val="0"/>
        <w:adjustRightInd w:val="0"/>
        <w:rPr>
          <w:bCs/>
          <w:iCs/>
        </w:rPr>
      </w:pPr>
    </w:p>
    <w:p w:rsidR="00DF4529" w:rsidRPr="00C813FE" w:rsidRDefault="00DF4529" w:rsidP="00DF4529">
      <w:r w:rsidRPr="00C813FE">
        <w:t>(15)</w:t>
      </w:r>
      <w:r w:rsidRPr="00C813FE">
        <w:tab/>
        <w:t>Evropský parlament opakovaně odsoudil praxi neplacených stáží jako formu vykořisťování mladých pracovníků a porušování jejich práv a vyzval k vytvoření společného právního rámce, který by zajistil spravedlivou odměnu za stáže, aby se zabránilo vykořisťujícím praktikám.</w:t>
      </w:r>
    </w:p>
    <w:p w:rsidR="00DF4529" w:rsidRPr="00C813FE" w:rsidRDefault="00DF4529" w:rsidP="00DF4529"/>
    <w:p w:rsidR="00DF4529" w:rsidRPr="00C813FE" w:rsidRDefault="00DF4529" w:rsidP="00DF4529">
      <w:r w:rsidRPr="00C813FE">
        <w:t xml:space="preserve">(16) </w:t>
      </w:r>
      <w:r w:rsidRPr="00C813FE">
        <w:tab/>
        <w:t>Rámec pro kvalitu stáží je důležitým referenčním bodem pro určení toho, co představuje kvalitní stáž.</w:t>
      </w:r>
    </w:p>
    <w:p w:rsidR="00DF4529" w:rsidRPr="00C813FE" w:rsidRDefault="00DF4529" w:rsidP="00DF4529"/>
    <w:p w:rsidR="00DF4529" w:rsidRPr="00C813FE" w:rsidRDefault="00DF4529" w:rsidP="00DF4529">
      <w:r w:rsidRPr="00C813FE">
        <w:t xml:space="preserve">(17) </w:t>
      </w:r>
      <w:r w:rsidRPr="00C813FE">
        <w:tab/>
        <w:t xml:space="preserve">Toto rozhodnutí </w:t>
      </w:r>
      <w:r w:rsidR="00CE0579" w:rsidRPr="00C813FE">
        <w:t xml:space="preserve">by </w:t>
      </w:r>
      <w:r w:rsidRPr="00C813FE">
        <w:t xml:space="preserve">se </w:t>
      </w:r>
      <w:r w:rsidR="00CE0579" w:rsidRPr="00C813FE">
        <w:t xml:space="preserve">mělo </w:t>
      </w:r>
      <w:r w:rsidRPr="00C813FE">
        <w:t>vztah</w:t>
      </w:r>
      <w:r w:rsidR="00CE0579" w:rsidRPr="00C813FE">
        <w:t>ovat</w:t>
      </w:r>
      <w:r w:rsidRPr="00C813FE">
        <w:t xml:space="preserve"> na stážisty vykonávající stáže za účelem získání kvalifikace v rámci vzdělání.</w:t>
      </w:r>
    </w:p>
    <w:p w:rsidR="00DF4529" w:rsidRPr="00C813FE" w:rsidRDefault="00DF4529" w:rsidP="00DF4529">
      <w:r w:rsidRPr="00C813FE">
        <w:t xml:space="preserve">(18) </w:t>
      </w:r>
      <w:r w:rsidRPr="00C813FE">
        <w:tab/>
        <w:t xml:space="preserve">Stážisté, na něž se vztahuje toto rozhodnutí, by měli mít přístup k přiměřené náhradě stanovené každým členským státem s ohledem na vnitrostátní socioekonomické podmínky a životní náklady. Měla by pokrývat alespoň základní životní potřeby, jako je strava, ubytování a doprava. Měla by být finanční nebo jinak doplněna věcnými dávkami. </w:t>
      </w:r>
    </w:p>
    <w:p w:rsidR="00DF4529" w:rsidRPr="00C813FE" w:rsidRDefault="00DF4529" w:rsidP="00DF4529"/>
    <w:p w:rsidR="00DF4529" w:rsidRPr="00C813FE" w:rsidRDefault="00DF4529" w:rsidP="00DF4529">
      <w:r w:rsidRPr="00C813FE">
        <w:t>(19)</w:t>
      </w:r>
      <w:r w:rsidRPr="00C813FE">
        <w:tab/>
        <w:t xml:space="preserve"> Toto rozhodnutí by s ohledem na svou povahu a cíl nemělo být vykládáno v tom smyslu, že brání členským státům v zachování nebo zavedení ustanovení, která jsou pro stážisty příznivější,</w:t>
      </w:r>
    </w:p>
    <w:p w:rsidR="00DF4529" w:rsidRPr="00C813FE" w:rsidRDefault="00DF4529" w:rsidP="00DF4529"/>
    <w:p w:rsidR="00DF4529" w:rsidRPr="00C813FE" w:rsidRDefault="00DF4529" w:rsidP="00DF4529"/>
    <w:p w:rsidR="00DF4529" w:rsidRPr="00C813FE" w:rsidRDefault="00DF4529" w:rsidP="00DF4529">
      <w:r w:rsidRPr="00C813FE">
        <w:t>PŘIJALY TOTO ROZHODNUTÍ:</w:t>
      </w:r>
    </w:p>
    <w:p w:rsidR="00DF4529" w:rsidRPr="00C813FE" w:rsidRDefault="00DF4529" w:rsidP="00DF4529"/>
    <w:p w:rsidR="00DF4529" w:rsidRPr="00C813FE" w:rsidRDefault="00DF4529" w:rsidP="00DF4529">
      <w:pPr>
        <w:jc w:val="center"/>
        <w:rPr>
          <w:i/>
        </w:rPr>
      </w:pPr>
      <w:r w:rsidRPr="00C813FE">
        <w:rPr>
          <w:i/>
        </w:rPr>
        <w:t>Článek 1</w:t>
      </w:r>
    </w:p>
    <w:p w:rsidR="00DF4529" w:rsidRPr="00C813FE" w:rsidRDefault="00DF4529" w:rsidP="00DF4529">
      <w:pPr>
        <w:jc w:val="center"/>
        <w:rPr>
          <w:i/>
        </w:rPr>
      </w:pPr>
      <w:r w:rsidRPr="00C813FE">
        <w:rPr>
          <w:i/>
        </w:rPr>
        <w:t>Cíle</w:t>
      </w:r>
    </w:p>
    <w:p w:rsidR="00DF4529" w:rsidRPr="00C813FE" w:rsidRDefault="00DF4529" w:rsidP="00DF4529"/>
    <w:p w:rsidR="00DF4529" w:rsidRPr="00C813FE" w:rsidRDefault="00DF4529" w:rsidP="00DF4529">
      <w:r w:rsidRPr="00C813FE">
        <w:t xml:space="preserve">Cílem rámce pro kvalitu stáží je zlepšit: </w:t>
      </w:r>
    </w:p>
    <w:p w:rsidR="00DF4529" w:rsidRPr="00C813FE" w:rsidRDefault="00DF4529" w:rsidP="00DF4529">
      <w:r w:rsidRPr="00C813FE">
        <w:t xml:space="preserve"> </w:t>
      </w:r>
    </w:p>
    <w:p w:rsidR="00DF4529" w:rsidRPr="00C813FE" w:rsidRDefault="00DF4529" w:rsidP="00DF4529">
      <w:r w:rsidRPr="00C813FE">
        <w:t xml:space="preserve">a) </w:t>
      </w:r>
      <w:r w:rsidRPr="00C813FE">
        <w:tab/>
        <w:t>kvalitu stáží vykonávaných za účelem získání vzdělání, zejména pokud jde o obsah vzdělávání a odborné přípravy a podmínky odborné přípravy s cílem usnadnit přechod do zaměstnání;</w:t>
      </w:r>
    </w:p>
    <w:p w:rsidR="00DF4529" w:rsidRPr="00C813FE" w:rsidRDefault="00DF4529" w:rsidP="00DF4529"/>
    <w:p w:rsidR="00DF4529" w:rsidRPr="00C813FE" w:rsidRDefault="00DF4529" w:rsidP="00DF4529">
      <w:r w:rsidRPr="00C813FE">
        <w:t>b) dostupnost těchto stáží, zejména za účelem zvýšení účasti mladých lidí ze znevýhodněných skupin a osob se zdravotním postižením, a to na základě provádění článků 2 až 13.</w:t>
      </w:r>
    </w:p>
    <w:p w:rsidR="00DF4529" w:rsidRPr="00C813FE" w:rsidRDefault="00DF4529" w:rsidP="00DF4529"/>
    <w:p w:rsidR="00DF4529" w:rsidRPr="00C813FE" w:rsidRDefault="00DF4529" w:rsidP="00DF4529"/>
    <w:p w:rsidR="00DF4529" w:rsidRPr="00C813FE" w:rsidRDefault="00DF4529" w:rsidP="00DF4529">
      <w:pPr>
        <w:jc w:val="center"/>
        <w:rPr>
          <w:i/>
        </w:rPr>
      </w:pPr>
      <w:r w:rsidRPr="00C813FE">
        <w:rPr>
          <w:i/>
        </w:rPr>
        <w:t>Článek 2</w:t>
      </w:r>
    </w:p>
    <w:p w:rsidR="00DF4529" w:rsidRPr="00C813FE" w:rsidRDefault="00DF4529" w:rsidP="00DF4529">
      <w:pPr>
        <w:jc w:val="center"/>
        <w:rPr>
          <w:i/>
        </w:rPr>
      </w:pPr>
      <w:r w:rsidRPr="00C813FE">
        <w:rPr>
          <w:i/>
        </w:rPr>
        <w:t>Uzavření písemné dohody o stáži</w:t>
      </w:r>
    </w:p>
    <w:p w:rsidR="00DF4529" w:rsidRPr="00C813FE" w:rsidRDefault="00DF4529" w:rsidP="00DF4529">
      <w:pPr>
        <w:rPr>
          <w:i/>
        </w:rPr>
      </w:pPr>
    </w:p>
    <w:p w:rsidR="00DF4529" w:rsidRPr="00C813FE" w:rsidRDefault="00DF4529" w:rsidP="00DF4529">
      <w:r w:rsidRPr="00C813FE">
        <w:t xml:space="preserve">1. </w:t>
      </w:r>
      <w:r w:rsidRPr="00C813FE">
        <w:tab/>
        <w:t>Členské státy vyžadují, aby byly stáže založeny na písemné dohodě, která je na začátku stáže uzavřena mezi stážistou a poskytovatelem stáže.</w:t>
      </w:r>
    </w:p>
    <w:p w:rsidR="00DF4529" w:rsidRPr="00C813FE" w:rsidRDefault="00DF4529" w:rsidP="00DF4529"/>
    <w:p w:rsidR="00DF4529" w:rsidRPr="00C813FE" w:rsidRDefault="00DF4529" w:rsidP="00DF4529">
      <w:r w:rsidRPr="00C813FE">
        <w:t xml:space="preserve">2. </w:t>
      </w:r>
      <w:r w:rsidRPr="00C813FE">
        <w:tab/>
        <w:t>Členské státy vyžadují, aby byly v dohodách o stáži uvedeny vzdělávací cíle, podmínky odborné přípravy, odpovídající náhrada poskytovaná stážistovi poskytovatelem stáže, práva a povinnosti stran podle použitelných právních předpisů Unie a vnitrostátních právních předpisů a doba trvání stáže.</w:t>
      </w:r>
    </w:p>
    <w:p w:rsidR="00DF4529" w:rsidRPr="00C813FE" w:rsidRDefault="00DF4529" w:rsidP="00DF4529"/>
    <w:p w:rsidR="00DF4529" w:rsidRPr="00C813FE" w:rsidRDefault="00DF4529" w:rsidP="00DF4529">
      <w:pPr>
        <w:jc w:val="center"/>
        <w:rPr>
          <w:i/>
        </w:rPr>
      </w:pPr>
      <w:r w:rsidRPr="00C813FE">
        <w:rPr>
          <w:i/>
        </w:rPr>
        <w:t>Článek 3</w:t>
      </w:r>
    </w:p>
    <w:p w:rsidR="00DF4529" w:rsidRPr="00C813FE" w:rsidRDefault="00DF4529" w:rsidP="00DF4529">
      <w:pPr>
        <w:jc w:val="center"/>
        <w:rPr>
          <w:i/>
        </w:rPr>
      </w:pPr>
      <w:r w:rsidRPr="00C813FE">
        <w:rPr>
          <w:i/>
        </w:rPr>
        <w:lastRenderedPageBreak/>
        <w:t>Cíle v oblasti vzdělávání a odborné přípravy</w:t>
      </w:r>
    </w:p>
    <w:p w:rsidR="00DF4529" w:rsidRPr="00C813FE" w:rsidRDefault="00DF4529" w:rsidP="00DF4529">
      <w:pPr>
        <w:rPr>
          <w:i/>
        </w:rPr>
      </w:pPr>
    </w:p>
    <w:p w:rsidR="00DF4529" w:rsidRPr="00C813FE" w:rsidRDefault="00DF4529" w:rsidP="00DF4529">
      <w:r w:rsidRPr="00C813FE">
        <w:t xml:space="preserve">1. </w:t>
      </w:r>
      <w:r w:rsidRPr="00C813FE">
        <w:tab/>
        <w:t>Členské státy podporují osvědčené postupy, pokud jde o cíle v oblasti vzdělávání a odborné přípravy, jež stanoví společně stážista, poskytovatel stáží a vzdělávací instituce, a to s cílem pomoci stážistům získat praktické zkušenosti a příslušné dovednosti; úkoly přidělené stážistovi by měly umožnit, aby byly tyto cíle splněny.</w:t>
      </w:r>
    </w:p>
    <w:p w:rsidR="00DF4529" w:rsidRPr="00C813FE" w:rsidRDefault="00DF4529" w:rsidP="00DF4529"/>
    <w:p w:rsidR="00DF4529" w:rsidRPr="00C813FE" w:rsidRDefault="00DF4529" w:rsidP="00DF4529">
      <w:r w:rsidRPr="00C813FE">
        <w:t xml:space="preserve">2. </w:t>
      </w:r>
      <w:r w:rsidRPr="00C813FE">
        <w:tab/>
        <w:t>Členské státy vybízejí poskytovatele stáží, aby určili mentora pro stážisty, který budou stážistům poskytovat vedení při plnění přidělených úkolů a sledovat a monitorovat jejich pokrok, přičemž současně zajistí mezigenerační přenos dovedností.</w:t>
      </w:r>
    </w:p>
    <w:p w:rsidR="00DF4529" w:rsidRPr="00C813FE" w:rsidRDefault="00DF4529" w:rsidP="00DF4529"/>
    <w:p w:rsidR="00DF4529" w:rsidRPr="00C813FE" w:rsidRDefault="00DF4529" w:rsidP="00DF4529">
      <w:pPr>
        <w:jc w:val="center"/>
        <w:rPr>
          <w:i/>
        </w:rPr>
      </w:pPr>
      <w:r w:rsidRPr="00C813FE">
        <w:rPr>
          <w:i/>
        </w:rPr>
        <w:t>Článek 4</w:t>
      </w:r>
    </w:p>
    <w:p w:rsidR="00DF4529" w:rsidRPr="00C813FE" w:rsidRDefault="00DF4529" w:rsidP="00DF4529">
      <w:pPr>
        <w:jc w:val="center"/>
        <w:rPr>
          <w:i/>
        </w:rPr>
      </w:pPr>
      <w:r w:rsidRPr="00C813FE">
        <w:rPr>
          <w:i/>
        </w:rPr>
        <w:t>Podmínky odborné přípravy platné pro stážisty</w:t>
      </w:r>
    </w:p>
    <w:p w:rsidR="00DF4529" w:rsidRPr="00C813FE" w:rsidRDefault="00DF4529" w:rsidP="00DF4529"/>
    <w:p w:rsidR="00DF4529" w:rsidRPr="00C813FE" w:rsidRDefault="00DF4529" w:rsidP="00DF4529">
      <w:r w:rsidRPr="00C813FE">
        <w:t xml:space="preserve">1. </w:t>
      </w:r>
      <w:r w:rsidRPr="00C813FE">
        <w:tab/>
        <w:t>Členské státy zajistí, aby byla dodržována práva, podmínky odborné přípravy a přístup k sociální ochraně stážistů podle platných právních předpisů Unie a vnitrostátních právních předpisů, včetně omezení maximální týdenní pracovní doby, minimální denní a týdenní doby odpočinku, minimálních nároků na dovolenou, nároku na nemocenskou, práv na práci z</w:t>
      </w:r>
      <w:r w:rsidR="00B936A5" w:rsidRPr="00C813FE">
        <w:t> </w:t>
      </w:r>
      <w:r w:rsidRPr="00C813FE">
        <w:t>domova a přístup k zastoupení, a aby počet hodin a délka odborné přípravy byly v souladu s příslušným studijním plánem v případě, že odborná příprava a vzdělávání mají být prováděny současně.</w:t>
      </w:r>
    </w:p>
    <w:p w:rsidR="00DF4529" w:rsidRPr="00C813FE" w:rsidRDefault="00DF4529" w:rsidP="00DF4529"/>
    <w:p w:rsidR="00DF4529" w:rsidRPr="00C813FE" w:rsidRDefault="00DF4529" w:rsidP="00DF4529">
      <w:r w:rsidRPr="00C813FE">
        <w:t xml:space="preserve">2. </w:t>
      </w:r>
      <w:r w:rsidRPr="00C813FE">
        <w:tab/>
        <w:t>Členské státy by měly zajistit, aby se na stážisty vztahovalo zdravotní a úrazové pojištění, jakož i nárok na nemocenskou v souladu s vnitrostátními právními předpisy a zvyklostmi.</w:t>
      </w:r>
    </w:p>
    <w:p w:rsidR="00DF4529" w:rsidRPr="00C813FE" w:rsidRDefault="00DF4529" w:rsidP="00DF4529"/>
    <w:p w:rsidR="00DF4529" w:rsidRPr="00C813FE" w:rsidRDefault="00DF4529" w:rsidP="00DF4529">
      <w:r w:rsidRPr="00C813FE">
        <w:t xml:space="preserve">3. </w:t>
      </w:r>
      <w:r w:rsidRPr="00C813FE">
        <w:tab/>
        <w:t>Členské státy zajistí, aby stážisté, na něž se vztahuje toto rozhodnutí, měli přístup k přiměřené náhradě stanovené každým členským státem s ohledem na vnitrostátní socioekonomické podmínky a životní náklady.</w:t>
      </w:r>
    </w:p>
    <w:p w:rsidR="00DF4529" w:rsidRPr="00C813FE" w:rsidRDefault="00DF4529" w:rsidP="00DF4529"/>
    <w:p w:rsidR="00DF4529" w:rsidRPr="00C813FE" w:rsidRDefault="00DF4529" w:rsidP="00DF4529">
      <w:r w:rsidRPr="00C813FE">
        <w:t xml:space="preserve">4. Členské státy zajistí, aby každá část stáže </w:t>
      </w:r>
      <w:r w:rsidR="00CE0579" w:rsidRPr="00C813FE">
        <w:t xml:space="preserve">provedená </w:t>
      </w:r>
      <w:r w:rsidRPr="00C813FE">
        <w:t xml:space="preserve">na dálku splňovala podmínky odborné přípravy, byla řádně sledována mentorem a plně prováděla rámec pro kvalitu stáží. </w:t>
      </w:r>
    </w:p>
    <w:p w:rsidR="00DF4529" w:rsidRPr="00C813FE" w:rsidRDefault="00DF4529" w:rsidP="00DF4529"/>
    <w:p w:rsidR="00DF4529" w:rsidRPr="00C813FE" w:rsidRDefault="00DF4529" w:rsidP="00DF4529">
      <w:r w:rsidRPr="00C813FE">
        <w:t xml:space="preserve">5. </w:t>
      </w:r>
      <w:r w:rsidRPr="00C813FE">
        <w:tab/>
        <w:t xml:space="preserve">Členské státy zajistí, aby vnitrostátní inspektoráty práce a příslušné orgány měly mechanismy pro oznamování nekalých praktik a špatných podmínek pro stážisty. </w:t>
      </w:r>
    </w:p>
    <w:p w:rsidR="00DF4529" w:rsidRPr="00C813FE" w:rsidRDefault="00DF4529" w:rsidP="00DF4529"/>
    <w:p w:rsidR="00DF4529" w:rsidRPr="00C813FE" w:rsidRDefault="00DF4529" w:rsidP="00DF4529"/>
    <w:p w:rsidR="00DF4529" w:rsidRPr="00C813FE" w:rsidRDefault="00DF4529" w:rsidP="00DF4529">
      <w:pPr>
        <w:jc w:val="center"/>
        <w:rPr>
          <w:i/>
          <w:iCs/>
        </w:rPr>
      </w:pPr>
      <w:r w:rsidRPr="00C813FE">
        <w:rPr>
          <w:i/>
        </w:rPr>
        <w:t>Článek 5</w:t>
      </w:r>
    </w:p>
    <w:p w:rsidR="00DF4529" w:rsidRPr="00C813FE" w:rsidRDefault="00DF4529" w:rsidP="00DF4529">
      <w:pPr>
        <w:jc w:val="center"/>
        <w:rPr>
          <w:i/>
          <w:iCs/>
        </w:rPr>
      </w:pPr>
      <w:r w:rsidRPr="00C813FE">
        <w:rPr>
          <w:i/>
        </w:rPr>
        <w:t>Práva a povinnosti</w:t>
      </w:r>
    </w:p>
    <w:p w:rsidR="00DF4529" w:rsidRPr="00C813FE" w:rsidRDefault="00DF4529" w:rsidP="00DF4529"/>
    <w:p w:rsidR="00DF4529" w:rsidRPr="00C813FE" w:rsidRDefault="00DF4529" w:rsidP="00DF4529">
      <w:r w:rsidRPr="00C813FE">
        <w:t>Členské státy vybízejí dotčené strany k zajištění toho, aby byly v dohodě o stáži stanoveny práva a povinnosti stážisty a poskytovatele stáže, případně aby v dohodě o stáži byly uvedeny politiky poskytovatele stáže týkající se důvěrnosti údajů a vlastnictví práv duševního vlastnictví.</w:t>
      </w:r>
    </w:p>
    <w:p w:rsidR="00DF4529" w:rsidRPr="00C813FE" w:rsidRDefault="00DF4529" w:rsidP="00DF4529"/>
    <w:p w:rsidR="00DF4529" w:rsidRPr="00C813FE" w:rsidRDefault="00DF4529" w:rsidP="00DF4529">
      <w:pPr>
        <w:jc w:val="center"/>
        <w:rPr>
          <w:i/>
          <w:iCs/>
        </w:rPr>
      </w:pPr>
      <w:r w:rsidRPr="00C813FE">
        <w:rPr>
          <w:i/>
        </w:rPr>
        <w:t>Článek 6</w:t>
      </w:r>
    </w:p>
    <w:p w:rsidR="00DF4529" w:rsidRPr="00C813FE" w:rsidRDefault="00DF4529" w:rsidP="00DF4529">
      <w:pPr>
        <w:jc w:val="center"/>
        <w:rPr>
          <w:i/>
          <w:iCs/>
        </w:rPr>
      </w:pPr>
      <w:r w:rsidRPr="00C813FE">
        <w:rPr>
          <w:i/>
        </w:rPr>
        <w:t>Délka stáže</w:t>
      </w:r>
    </w:p>
    <w:p w:rsidR="00DF4529" w:rsidRPr="00C813FE" w:rsidRDefault="00DF4529" w:rsidP="00DF4529"/>
    <w:p w:rsidR="00DF4529" w:rsidRPr="00C813FE" w:rsidRDefault="00DF4529" w:rsidP="00DF4529">
      <w:r w:rsidRPr="00C813FE">
        <w:t xml:space="preserve">1. </w:t>
      </w:r>
      <w:r w:rsidRPr="00C813FE">
        <w:tab/>
        <w:t xml:space="preserve">Členské státy zajistí přiměřenou dobu trvání stáže, která  zpravidla nepřesahuje dobu šesti měsíců s výjimkou případů, kdy je delší stáž řádně odůvodněna, přičemž se zohlední </w:t>
      </w:r>
      <w:r w:rsidRPr="00C813FE">
        <w:lastRenderedPageBreak/>
        <w:t>národní zvyklosti.</w:t>
      </w:r>
    </w:p>
    <w:p w:rsidR="00DF4529" w:rsidRPr="00C813FE" w:rsidRDefault="00DF4529" w:rsidP="00DF4529">
      <w:r w:rsidRPr="00C813FE">
        <w:t xml:space="preserve"> </w:t>
      </w:r>
    </w:p>
    <w:p w:rsidR="00DF4529" w:rsidRPr="00C813FE" w:rsidRDefault="00DF4529" w:rsidP="00DF4529">
      <w:r w:rsidRPr="00C813FE">
        <w:t xml:space="preserve">2. </w:t>
      </w:r>
      <w:r w:rsidRPr="00C813FE">
        <w:tab/>
        <w:t>Členské státy podporují to, aby v dohodě o stáži bylo stanoveno, že stážista nebo poskytovatel stáže mohou stáž ukončit podáním písemného oznámení všem zúčastněným stranám, a to s dostatečným časovým předstihem s ohledem na délku stáže a příslušné vnitrostátní postupy</w:t>
      </w:r>
    </w:p>
    <w:p w:rsidR="00DF4529" w:rsidRPr="00C813FE" w:rsidRDefault="00DF4529" w:rsidP="00DF4529"/>
    <w:p w:rsidR="00DF4529" w:rsidRPr="00C813FE" w:rsidRDefault="00DF4529" w:rsidP="00DF4529">
      <w:pPr>
        <w:jc w:val="center"/>
        <w:rPr>
          <w:i/>
          <w:iCs/>
        </w:rPr>
      </w:pPr>
      <w:r w:rsidRPr="00C813FE">
        <w:rPr>
          <w:i/>
        </w:rPr>
        <w:t>Článek 7</w:t>
      </w:r>
    </w:p>
    <w:p w:rsidR="00DF4529" w:rsidRPr="00C813FE" w:rsidRDefault="00DF4529" w:rsidP="00DF4529">
      <w:pPr>
        <w:jc w:val="center"/>
        <w:rPr>
          <w:i/>
          <w:iCs/>
        </w:rPr>
      </w:pPr>
      <w:r w:rsidRPr="00C813FE">
        <w:rPr>
          <w:i/>
        </w:rPr>
        <w:t>Uznávání stáží</w:t>
      </w:r>
    </w:p>
    <w:p w:rsidR="00DF4529" w:rsidRPr="00C813FE" w:rsidRDefault="00DF4529" w:rsidP="00DF4529"/>
    <w:p w:rsidR="00DF4529" w:rsidRPr="00C813FE" w:rsidRDefault="00DF4529" w:rsidP="00DF4529">
      <w:r w:rsidRPr="00C813FE">
        <w:t>Členské státy zajistí uznávání, validaci a certifikaci znalostí, dovedností a kompetencí získaných během stáží jak poskytovatelem stáží, tak vzdělávací institucí.</w:t>
      </w:r>
    </w:p>
    <w:p w:rsidR="00DF4529" w:rsidRPr="00C813FE" w:rsidRDefault="00DF4529" w:rsidP="00DF4529"/>
    <w:p w:rsidR="00DF4529" w:rsidRPr="00C813FE" w:rsidRDefault="00DF4529" w:rsidP="00DF4529">
      <w:pPr>
        <w:jc w:val="center"/>
        <w:rPr>
          <w:i/>
        </w:rPr>
      </w:pPr>
      <w:r w:rsidRPr="00C813FE">
        <w:rPr>
          <w:i/>
        </w:rPr>
        <w:t>Článek 8</w:t>
      </w:r>
    </w:p>
    <w:p w:rsidR="00DF4529" w:rsidRPr="00C813FE" w:rsidRDefault="00DF4529" w:rsidP="00DF4529">
      <w:pPr>
        <w:jc w:val="center"/>
        <w:rPr>
          <w:i/>
        </w:rPr>
      </w:pPr>
      <w:r w:rsidRPr="00C813FE">
        <w:rPr>
          <w:i/>
        </w:rPr>
        <w:t>Přístupnost stáží</w:t>
      </w:r>
    </w:p>
    <w:p w:rsidR="00DF4529" w:rsidRPr="00C813FE" w:rsidRDefault="00DF4529" w:rsidP="00DF4529"/>
    <w:p w:rsidR="00DF4529" w:rsidRPr="00C813FE" w:rsidRDefault="00DF4529" w:rsidP="00DF4529">
      <w:r w:rsidRPr="00C813FE">
        <w:t xml:space="preserve">1. </w:t>
      </w:r>
      <w:r w:rsidRPr="00C813FE">
        <w:tab/>
        <w:t>Členské státy podporují lepší přístup ke stážím pro stážisty ze zranitelného prostředí, včetně stážistů se zdravotním postižením.</w:t>
      </w:r>
    </w:p>
    <w:p w:rsidR="00DF4529" w:rsidRPr="00C813FE" w:rsidRDefault="00DF4529" w:rsidP="00DF4529"/>
    <w:p w:rsidR="00DF4529" w:rsidRPr="00C813FE" w:rsidRDefault="00DF4529" w:rsidP="00DF4529">
      <w:r w:rsidRPr="00C813FE">
        <w:t xml:space="preserve">2. </w:t>
      </w:r>
      <w:r w:rsidRPr="00C813FE">
        <w:tab/>
        <w:t>Členské státy zajistí, aby pracoviště byla přizpůsobena tak, aby byla přístupná stážistům se zdravotním postižením.</w:t>
      </w:r>
    </w:p>
    <w:p w:rsidR="00DF4529" w:rsidRPr="00C813FE" w:rsidRDefault="00DF4529" w:rsidP="00DF4529"/>
    <w:p w:rsidR="00DF4529" w:rsidRPr="00C813FE" w:rsidRDefault="00DF4529" w:rsidP="00DF4529"/>
    <w:p w:rsidR="00DF4529" w:rsidRPr="00C813FE" w:rsidRDefault="00DF4529" w:rsidP="00DF4529">
      <w:pPr>
        <w:jc w:val="center"/>
        <w:rPr>
          <w:i/>
        </w:rPr>
      </w:pPr>
      <w:r w:rsidRPr="00C813FE">
        <w:rPr>
          <w:i/>
        </w:rPr>
        <w:t>Článek 9</w:t>
      </w:r>
    </w:p>
    <w:p w:rsidR="00DF4529" w:rsidRPr="00C813FE" w:rsidRDefault="00DF4529" w:rsidP="00DF4529">
      <w:pPr>
        <w:jc w:val="center"/>
        <w:rPr>
          <w:i/>
        </w:rPr>
      </w:pPr>
      <w:r w:rsidRPr="00C813FE">
        <w:rPr>
          <w:i/>
        </w:rPr>
        <w:t>Požadavky na transparentnost</w:t>
      </w:r>
    </w:p>
    <w:p w:rsidR="00DF4529" w:rsidRPr="00C813FE" w:rsidRDefault="00DF4529" w:rsidP="00DF4529">
      <w:pPr>
        <w:rPr>
          <w:i/>
        </w:rPr>
      </w:pPr>
    </w:p>
    <w:p w:rsidR="00DF4529" w:rsidRPr="00C813FE" w:rsidRDefault="00DF4529" w:rsidP="00DF4529">
      <w:r w:rsidRPr="00C813FE">
        <w:t xml:space="preserve">Členské státy vybízejí poskytovatele stáží, aby do svých </w:t>
      </w:r>
      <w:proofErr w:type="spellStart"/>
      <w:r w:rsidRPr="00C813FE">
        <w:t>genderově</w:t>
      </w:r>
      <w:proofErr w:type="spellEnd"/>
      <w:r w:rsidRPr="00C813FE">
        <w:t xml:space="preserve"> neutrálních a inkluzivních oznámení a inzerátů o volných místech pro stážisty zahrnuli informace o podmínkách stáže, zejména pokud jde o náhradu, zdravotní a úrazové pojištění a očekávané úkoly, a aby poskytovali informace o náborových politikách, včetně podílu stážistů přijatých v posledních letech.</w:t>
      </w:r>
    </w:p>
    <w:p w:rsidR="00DF4529" w:rsidRPr="00C813FE" w:rsidRDefault="00DF4529" w:rsidP="00DF4529"/>
    <w:p w:rsidR="00DF4529" w:rsidRPr="00C813FE" w:rsidRDefault="00DF4529" w:rsidP="00DF4529">
      <w:pPr>
        <w:jc w:val="center"/>
        <w:rPr>
          <w:i/>
          <w:iCs/>
        </w:rPr>
      </w:pPr>
      <w:r w:rsidRPr="00C813FE">
        <w:rPr>
          <w:i/>
        </w:rPr>
        <w:t>Článek 10</w:t>
      </w:r>
    </w:p>
    <w:p w:rsidR="00DF4529" w:rsidRPr="00C813FE" w:rsidRDefault="00DF4529" w:rsidP="00DF4529">
      <w:pPr>
        <w:jc w:val="center"/>
        <w:rPr>
          <w:i/>
          <w:iCs/>
        </w:rPr>
      </w:pPr>
      <w:r w:rsidRPr="00C813FE">
        <w:rPr>
          <w:i/>
        </w:rPr>
        <w:t>Přeshraniční stáže</w:t>
      </w:r>
    </w:p>
    <w:p w:rsidR="00DF4529" w:rsidRPr="00C813FE" w:rsidRDefault="00DF4529" w:rsidP="00DF4529"/>
    <w:p w:rsidR="00DF4529" w:rsidRPr="00C813FE" w:rsidRDefault="00DF4529" w:rsidP="00DF4529">
      <w:r w:rsidRPr="00C813FE">
        <w:t xml:space="preserve">1. </w:t>
      </w:r>
      <w:r w:rsidRPr="00C813FE">
        <w:tab/>
        <w:t xml:space="preserve">Členské státy usnadňují přeshraniční mobilitu stážistů v Unii, mimo jiné upřesněním vnitrostátního právního rámce pro stáže, stanovením jednoznačných pravidel pro přijímání stážistů z jiných členských států a pro vysílání stážistů do jiných členských států a omezením administrativních formalit. </w:t>
      </w:r>
    </w:p>
    <w:p w:rsidR="00DF4529" w:rsidRPr="00C813FE" w:rsidRDefault="00DF4529" w:rsidP="00DF4529"/>
    <w:p w:rsidR="00DF4529" w:rsidRPr="00C813FE" w:rsidRDefault="00DF4529" w:rsidP="00DF4529">
      <w:r w:rsidRPr="00C813FE">
        <w:t xml:space="preserve">2. </w:t>
      </w:r>
      <w:r w:rsidRPr="00C813FE">
        <w:tab/>
        <w:t>V případě státních příslušníků třetích zemí vykonávajících stáže v rámci Unie usnadní členské státy uplatňování rámce pro kvalitu stáží i na tyto stážisty.</w:t>
      </w:r>
    </w:p>
    <w:p w:rsidR="00DF4529" w:rsidRPr="00C813FE" w:rsidRDefault="00DF4529" w:rsidP="00DF4529"/>
    <w:p w:rsidR="00DF4529" w:rsidRPr="00C813FE" w:rsidRDefault="00DF4529" w:rsidP="00DF4529">
      <w:r w:rsidRPr="00C813FE">
        <w:t>3. V případě mobility mimo Unii členské státy podporují dodržování rámce pro kvalitu stáží v dohodách mezi vzdělávacími institucemi a poskytovateli stáží.</w:t>
      </w:r>
    </w:p>
    <w:p w:rsidR="00DF4529" w:rsidRPr="00C813FE" w:rsidRDefault="00DF4529" w:rsidP="00DF4529"/>
    <w:p w:rsidR="00DF4529" w:rsidRPr="00C813FE" w:rsidRDefault="00DF4529" w:rsidP="00DF4529"/>
    <w:p w:rsidR="00DF4529" w:rsidRPr="00C813FE" w:rsidRDefault="00DF4529" w:rsidP="00DF4529">
      <w:pPr>
        <w:autoSpaceDE w:val="0"/>
        <w:autoSpaceDN w:val="0"/>
        <w:adjustRightInd w:val="0"/>
        <w:jc w:val="center"/>
        <w:rPr>
          <w:bCs/>
          <w:i/>
          <w:iCs/>
        </w:rPr>
      </w:pPr>
      <w:r w:rsidRPr="00C813FE">
        <w:rPr>
          <w:i/>
        </w:rPr>
        <w:t>Článek 11</w:t>
      </w:r>
    </w:p>
    <w:p w:rsidR="00DF4529" w:rsidRPr="00C813FE" w:rsidRDefault="00DF4529" w:rsidP="00DF4529">
      <w:pPr>
        <w:autoSpaceDE w:val="0"/>
        <w:autoSpaceDN w:val="0"/>
        <w:adjustRightInd w:val="0"/>
        <w:jc w:val="center"/>
        <w:rPr>
          <w:bCs/>
          <w:i/>
          <w:iCs/>
        </w:rPr>
      </w:pPr>
      <w:r w:rsidRPr="00C813FE">
        <w:rPr>
          <w:i/>
        </w:rPr>
        <w:t>Finanční podpora</w:t>
      </w:r>
    </w:p>
    <w:p w:rsidR="00DF4529" w:rsidRPr="00C813FE" w:rsidRDefault="00DF4529" w:rsidP="00DF4529">
      <w:pPr>
        <w:autoSpaceDE w:val="0"/>
        <w:autoSpaceDN w:val="0"/>
        <w:adjustRightInd w:val="0"/>
        <w:rPr>
          <w:b/>
          <w:bCs/>
          <w:i/>
          <w:iCs/>
        </w:rPr>
      </w:pPr>
    </w:p>
    <w:p w:rsidR="00DF4529" w:rsidRPr="00C813FE" w:rsidRDefault="00DF4529" w:rsidP="00DF4529">
      <w:pPr>
        <w:autoSpaceDE w:val="0"/>
        <w:autoSpaceDN w:val="0"/>
        <w:adjustRightInd w:val="0"/>
        <w:rPr>
          <w:bCs/>
          <w:iCs/>
        </w:rPr>
      </w:pPr>
      <w:r w:rsidRPr="00C813FE">
        <w:lastRenderedPageBreak/>
        <w:t xml:space="preserve">Členské státy podporují, aby byly ve prospěch poskytovatelů stáží, kteří dodržují rámec pro kvalitu stáží, využívány vnitrostátní a/nebo unijní finanční prostředky, například </w:t>
      </w:r>
      <w:r w:rsidR="00B936A5" w:rsidRPr="00C813FE">
        <w:t xml:space="preserve">  </w:t>
      </w:r>
      <w:r w:rsidRPr="00C813FE">
        <w:t xml:space="preserve"> </w:t>
      </w:r>
      <w:r w:rsidR="00CE0579" w:rsidRPr="00C813FE">
        <w:t>Evropského sociálního fondu plus</w:t>
      </w:r>
      <w:r w:rsidRPr="00C813FE">
        <w:t xml:space="preserve">, </w:t>
      </w:r>
      <w:r w:rsidR="00CE0579" w:rsidRPr="00C813FE">
        <w:t>Evropského fondu pro regionální rozvoj</w:t>
      </w:r>
      <w:r w:rsidRPr="00C813FE">
        <w:t xml:space="preserve"> a Nástroje pro oživení a odolnost.</w:t>
      </w:r>
    </w:p>
    <w:p w:rsidR="00DF4529" w:rsidRPr="00C813FE" w:rsidRDefault="00DF4529" w:rsidP="00DF4529"/>
    <w:p w:rsidR="00DF4529" w:rsidRPr="00C813FE" w:rsidRDefault="00DF4529" w:rsidP="00DF4529"/>
    <w:p w:rsidR="00DF4529" w:rsidRPr="00C813FE" w:rsidRDefault="00DF4529" w:rsidP="00DF4529">
      <w:pPr>
        <w:jc w:val="center"/>
        <w:rPr>
          <w:i/>
        </w:rPr>
      </w:pPr>
      <w:r w:rsidRPr="00C813FE">
        <w:rPr>
          <w:i/>
        </w:rPr>
        <w:t>Článek 12</w:t>
      </w:r>
    </w:p>
    <w:p w:rsidR="00DF4529" w:rsidRPr="00C813FE" w:rsidRDefault="00DF4529" w:rsidP="00DF4529">
      <w:pPr>
        <w:jc w:val="center"/>
        <w:rPr>
          <w:i/>
        </w:rPr>
      </w:pPr>
      <w:r w:rsidRPr="00C813FE">
        <w:rPr>
          <w:i/>
        </w:rPr>
        <w:t>Shromažďování údajů, monitorování a hodnocení</w:t>
      </w:r>
    </w:p>
    <w:p w:rsidR="00DF4529" w:rsidRPr="00C813FE" w:rsidRDefault="00DF4529" w:rsidP="00DF4529">
      <w:pPr>
        <w:rPr>
          <w:i/>
        </w:rPr>
      </w:pPr>
    </w:p>
    <w:p w:rsidR="00DF4529" w:rsidRPr="00C813FE" w:rsidRDefault="00DF4529" w:rsidP="00DF4529">
      <w:r w:rsidRPr="00C813FE">
        <w:t xml:space="preserve">1. </w:t>
      </w:r>
      <w:r w:rsidRPr="00C813FE">
        <w:tab/>
        <w:t>Komise zveřejní pokyny pro odpovídající systémy sledování s cílem zaručit jednotnost sběru údajů, aby se tak zajistil sběr kvalitnějších a srovnatelnějších údajů o stážích na vnitrostátní úrovni.</w:t>
      </w:r>
    </w:p>
    <w:p w:rsidR="00DF4529" w:rsidRPr="00C813FE" w:rsidRDefault="00DF4529" w:rsidP="00DF4529"/>
    <w:p w:rsidR="00DF4529" w:rsidRPr="00C813FE" w:rsidRDefault="00DF4529" w:rsidP="00DF4529">
      <w:r w:rsidRPr="00C813FE">
        <w:t xml:space="preserve">2. </w:t>
      </w:r>
      <w:r w:rsidRPr="00C813FE">
        <w:tab/>
        <w:t>Na základě pokynů zveřejněných podle odstavce 1 Komise ve spolupráci s členskými státy a zejména prostřednictvím Výboru pro zaměstnanost sleduje pokrok při provádění rámce pro kvalitu stáží podle tohoto rozhodnutí a analyzuje dopad zavedených politik.</w:t>
      </w:r>
    </w:p>
    <w:p w:rsidR="00DF4529" w:rsidRPr="00C813FE" w:rsidRDefault="00DF4529" w:rsidP="00DF4529"/>
    <w:p w:rsidR="00DF4529" w:rsidRPr="00C813FE" w:rsidRDefault="00DF4529" w:rsidP="00DF4529">
      <w:pPr>
        <w:jc w:val="center"/>
        <w:rPr>
          <w:i/>
          <w:iCs/>
        </w:rPr>
      </w:pPr>
      <w:r w:rsidRPr="00C813FE">
        <w:rPr>
          <w:i/>
        </w:rPr>
        <w:t>Článek 13</w:t>
      </w:r>
    </w:p>
    <w:p w:rsidR="00DF4529" w:rsidRPr="00C813FE" w:rsidRDefault="00DF4529" w:rsidP="00DF4529">
      <w:pPr>
        <w:jc w:val="center"/>
        <w:rPr>
          <w:i/>
          <w:iCs/>
        </w:rPr>
      </w:pPr>
      <w:r w:rsidRPr="00C813FE">
        <w:rPr>
          <w:i/>
        </w:rPr>
        <w:t>Provádění rámce pro kvalitu stáží</w:t>
      </w:r>
    </w:p>
    <w:p w:rsidR="00DF4529" w:rsidRPr="00C813FE" w:rsidRDefault="00DF4529" w:rsidP="00DF4529"/>
    <w:p w:rsidR="00DF4529" w:rsidRPr="00C813FE" w:rsidRDefault="00DF4529" w:rsidP="00DF4529">
      <w:r w:rsidRPr="00C813FE">
        <w:t xml:space="preserve">1. </w:t>
      </w:r>
      <w:r w:rsidRPr="00C813FE">
        <w:tab/>
        <w:t>Členské státy přijmou vhodná opatření, aby rámec pro kvalitu stáží zavedly co nejdříve.</w:t>
      </w:r>
    </w:p>
    <w:p w:rsidR="00DF4529" w:rsidRPr="00C813FE" w:rsidRDefault="00DF4529" w:rsidP="00DF4529">
      <w:r w:rsidRPr="00C813FE">
        <w:t xml:space="preserve"> </w:t>
      </w:r>
    </w:p>
    <w:p w:rsidR="00DF4529" w:rsidRPr="00C813FE" w:rsidRDefault="00DF4529" w:rsidP="00DF4529">
      <w:r w:rsidRPr="00C813FE">
        <w:t>2.</w:t>
      </w:r>
      <w:r w:rsidRPr="00C813FE">
        <w:tab/>
        <w:t>Členské státy poskytnou Komisi informace do</w:t>
      </w:r>
      <w:r w:rsidR="00CE0579" w:rsidRPr="00C813FE">
        <w:t xml:space="preserve"> </w:t>
      </w:r>
      <w:r w:rsidRPr="00C813FE">
        <w:t>...</w:t>
      </w:r>
      <w:r w:rsidR="00CE0579" w:rsidRPr="00C813FE">
        <w:t xml:space="preserve"> </w:t>
      </w:r>
      <w:r w:rsidRPr="00C813FE">
        <w:t>[tři roky ode dne přijetí tohoto rozhodnutí] o opatřeních přijatých v souladu s tímto rozhodnutím.</w:t>
      </w:r>
    </w:p>
    <w:p w:rsidR="00DF4529" w:rsidRPr="00C813FE" w:rsidRDefault="00DF4529" w:rsidP="00DF4529"/>
    <w:p w:rsidR="00DF4529" w:rsidRPr="00C813FE" w:rsidRDefault="00DF4529" w:rsidP="00DF4529">
      <w:r w:rsidRPr="00C813FE">
        <w:t xml:space="preserve">3. </w:t>
      </w:r>
      <w:r w:rsidRPr="00C813FE">
        <w:tab/>
        <w:t>Členské státy podporují, aby do provádění rámce pro kvalitu stáží byly aktivně zapojeny zúčastněné strany, zejména sociální partneři, studentské svazy, zástupci studentů</w:t>
      </w:r>
      <w:r w:rsidR="00CE0579" w:rsidRPr="00C813FE">
        <w:t>,</w:t>
      </w:r>
      <w:r w:rsidRPr="00C813FE">
        <w:t xml:space="preserve"> mládežnické organizace a poskytovatelé služeb celoživotního profesního poradenství.</w:t>
      </w:r>
    </w:p>
    <w:p w:rsidR="00DF4529" w:rsidRPr="00C813FE" w:rsidRDefault="00DF4529" w:rsidP="00DF4529"/>
    <w:p w:rsidR="00DF4529" w:rsidRPr="00C813FE" w:rsidRDefault="00DF4529" w:rsidP="00DF4529">
      <w:pPr>
        <w:autoSpaceDE w:val="0"/>
        <w:autoSpaceDN w:val="0"/>
        <w:adjustRightInd w:val="0"/>
        <w:jc w:val="center"/>
        <w:rPr>
          <w:bCs/>
          <w:i/>
          <w:iCs/>
          <w:sz w:val="23"/>
          <w:szCs w:val="23"/>
        </w:rPr>
      </w:pPr>
      <w:r w:rsidRPr="00C813FE">
        <w:rPr>
          <w:i/>
          <w:sz w:val="23"/>
        </w:rPr>
        <w:t>Článek 14</w:t>
      </w:r>
    </w:p>
    <w:p w:rsidR="00DF4529" w:rsidRPr="00C813FE" w:rsidRDefault="00DF4529" w:rsidP="00DF4529">
      <w:pPr>
        <w:autoSpaceDE w:val="0"/>
        <w:autoSpaceDN w:val="0"/>
        <w:adjustRightInd w:val="0"/>
        <w:jc w:val="center"/>
        <w:rPr>
          <w:bCs/>
          <w:i/>
          <w:iCs/>
          <w:sz w:val="23"/>
          <w:szCs w:val="23"/>
        </w:rPr>
      </w:pPr>
      <w:r w:rsidRPr="00C813FE">
        <w:rPr>
          <w:i/>
          <w:sz w:val="23"/>
        </w:rPr>
        <w:t>Vstup v platnost</w:t>
      </w:r>
    </w:p>
    <w:p w:rsidR="00DF4529" w:rsidRPr="00C813FE" w:rsidRDefault="00DF4529" w:rsidP="00DF4529">
      <w:pPr>
        <w:autoSpaceDE w:val="0"/>
        <w:autoSpaceDN w:val="0"/>
        <w:adjustRightInd w:val="0"/>
        <w:rPr>
          <w:sz w:val="23"/>
          <w:szCs w:val="23"/>
        </w:rPr>
      </w:pPr>
    </w:p>
    <w:p w:rsidR="00DF4529" w:rsidRPr="00C813FE" w:rsidRDefault="00DF4529" w:rsidP="00DF4529">
      <w:pPr>
        <w:rPr>
          <w:bCs/>
          <w:iCs/>
          <w:sz w:val="23"/>
          <w:szCs w:val="23"/>
        </w:rPr>
      </w:pPr>
      <w:r w:rsidRPr="00C813FE">
        <w:rPr>
          <w:sz w:val="23"/>
        </w:rPr>
        <w:t>Toto rozhodnutí vstupuje v platnost prvním dnem po vyhlášení v </w:t>
      </w:r>
      <w:r w:rsidRPr="00C813FE">
        <w:rPr>
          <w:i/>
          <w:iCs/>
          <w:sz w:val="23"/>
        </w:rPr>
        <w:t>Úředním věstníku Evropské unie</w:t>
      </w:r>
      <w:r w:rsidRPr="00C813FE">
        <w:rPr>
          <w:sz w:val="23"/>
        </w:rPr>
        <w:t>.</w:t>
      </w:r>
    </w:p>
    <w:p w:rsidR="00DF4529" w:rsidRPr="00C813FE" w:rsidRDefault="00DF4529" w:rsidP="00DF4529">
      <w:pPr>
        <w:rPr>
          <w:bCs/>
          <w:iCs/>
          <w:sz w:val="23"/>
          <w:szCs w:val="23"/>
        </w:rPr>
      </w:pPr>
    </w:p>
    <w:p w:rsidR="00DF4529" w:rsidRPr="00C813FE" w:rsidRDefault="00DF4529" w:rsidP="00DF4529">
      <w:pPr>
        <w:jc w:val="center"/>
        <w:rPr>
          <w:bCs/>
          <w:i/>
          <w:iCs/>
          <w:sz w:val="23"/>
          <w:szCs w:val="23"/>
        </w:rPr>
      </w:pPr>
      <w:r w:rsidRPr="00C813FE">
        <w:rPr>
          <w:i/>
          <w:sz w:val="23"/>
        </w:rPr>
        <w:t>Článek 15</w:t>
      </w:r>
    </w:p>
    <w:p w:rsidR="00DF4529" w:rsidRPr="00C813FE" w:rsidRDefault="00DF4529" w:rsidP="00DF4529">
      <w:pPr>
        <w:jc w:val="center"/>
        <w:rPr>
          <w:bCs/>
          <w:iCs/>
          <w:sz w:val="23"/>
          <w:szCs w:val="23"/>
        </w:rPr>
      </w:pPr>
      <w:r w:rsidRPr="00C813FE">
        <w:rPr>
          <w:i/>
          <w:sz w:val="23"/>
        </w:rPr>
        <w:t>Určení</w:t>
      </w:r>
    </w:p>
    <w:p w:rsidR="00DF4529" w:rsidRPr="00C813FE" w:rsidRDefault="00DF4529" w:rsidP="00DF4529">
      <w:pPr>
        <w:rPr>
          <w:bCs/>
          <w:iCs/>
          <w:sz w:val="23"/>
          <w:szCs w:val="23"/>
        </w:rPr>
      </w:pPr>
    </w:p>
    <w:p w:rsidR="00DF4529" w:rsidRPr="00C813FE" w:rsidRDefault="00DF4529" w:rsidP="00DF4529">
      <w:pPr>
        <w:rPr>
          <w:bCs/>
          <w:iCs/>
          <w:sz w:val="23"/>
          <w:szCs w:val="23"/>
        </w:rPr>
      </w:pPr>
      <w:r w:rsidRPr="00C813FE">
        <w:rPr>
          <w:sz w:val="23"/>
        </w:rPr>
        <w:t>Toto rozhodnutí je určeno členským státům.</w:t>
      </w:r>
    </w:p>
    <w:p w:rsidR="00DF4529" w:rsidRPr="00C813FE" w:rsidRDefault="00DF4529" w:rsidP="00DF4529">
      <w:pPr>
        <w:rPr>
          <w:bCs/>
          <w:iCs/>
          <w:sz w:val="23"/>
          <w:szCs w:val="23"/>
        </w:rPr>
      </w:pPr>
    </w:p>
    <w:p w:rsidR="00DF4529" w:rsidRPr="00C813FE" w:rsidRDefault="00DF4529" w:rsidP="00DF4529">
      <w:pPr>
        <w:spacing w:before="120" w:line="360" w:lineRule="auto"/>
        <w:rPr>
          <w:rFonts w:eastAsia="Calibri"/>
          <w:noProof/>
          <w:szCs w:val="22"/>
        </w:rPr>
      </w:pPr>
      <w:r w:rsidRPr="00C813FE">
        <w:t>V … dne …</w:t>
      </w:r>
    </w:p>
    <w:p w:rsidR="00DF4529" w:rsidRPr="00C813FE" w:rsidRDefault="00DF4529" w:rsidP="00DF4529">
      <w:pPr>
        <w:tabs>
          <w:tab w:val="left" w:pos="4252"/>
        </w:tabs>
        <w:spacing w:before="720" w:line="360" w:lineRule="auto"/>
        <w:jc w:val="both"/>
        <w:rPr>
          <w:rFonts w:eastAsia="Calibri"/>
          <w:i/>
          <w:noProof/>
          <w:szCs w:val="22"/>
        </w:rPr>
      </w:pPr>
      <w:r w:rsidRPr="00C813FE">
        <w:rPr>
          <w:i/>
        </w:rPr>
        <w:t>Za Evropský parlament</w:t>
      </w:r>
      <w:r w:rsidRPr="00C813FE">
        <w:rPr>
          <w:i/>
        </w:rPr>
        <w:tab/>
      </w:r>
      <w:r w:rsidRPr="00C813FE">
        <w:rPr>
          <w:i/>
        </w:rPr>
        <w:tab/>
      </w:r>
      <w:r w:rsidRPr="00C813FE">
        <w:rPr>
          <w:i/>
        </w:rPr>
        <w:tab/>
      </w:r>
      <w:r w:rsidRPr="00C813FE">
        <w:rPr>
          <w:i/>
        </w:rPr>
        <w:tab/>
        <w:t>Za Radu</w:t>
      </w:r>
    </w:p>
    <w:p w:rsidR="00E365E1" w:rsidRPr="009F1468" w:rsidRDefault="00DF4529" w:rsidP="00DD020E">
      <w:pPr>
        <w:tabs>
          <w:tab w:val="left" w:pos="4252"/>
        </w:tabs>
        <w:spacing w:line="360" w:lineRule="auto"/>
      </w:pPr>
      <w:r w:rsidRPr="00C813FE">
        <w:rPr>
          <w:i/>
        </w:rPr>
        <w:t>předsedkyně</w:t>
      </w:r>
      <w:r w:rsidRPr="00C813FE">
        <w:rPr>
          <w:i/>
        </w:rPr>
        <w:tab/>
      </w:r>
      <w:r w:rsidRPr="00C813FE">
        <w:rPr>
          <w:i/>
        </w:rPr>
        <w:tab/>
      </w:r>
      <w:r w:rsidRPr="00C813FE">
        <w:rPr>
          <w:i/>
        </w:rPr>
        <w:tab/>
      </w:r>
      <w:r w:rsidRPr="00C813FE">
        <w:rPr>
          <w:i/>
        </w:rPr>
        <w:tab/>
        <w:t>předseda</w:t>
      </w:r>
      <w:r w:rsidR="00CE0579" w:rsidRPr="00C813FE">
        <w:rPr>
          <w:i/>
        </w:rPr>
        <w:t xml:space="preserve"> </w:t>
      </w:r>
      <w:r w:rsidR="00CE0579" w:rsidRPr="00C813FE">
        <w:t>nebo</w:t>
      </w:r>
      <w:r w:rsidR="00CE0579" w:rsidRPr="00C813FE">
        <w:rPr>
          <w:i/>
        </w:rPr>
        <w:t xml:space="preserve"> </w:t>
      </w:r>
      <w:r w:rsidRPr="00C813FE">
        <w:rPr>
          <w:i/>
        </w:rPr>
        <w:t>předsedkyně</w:t>
      </w:r>
    </w:p>
    <w:sectPr w:rsidR="00E365E1" w:rsidRPr="009F1468" w:rsidSect="009F1468">
      <w:headerReference w:type="even" r:id="rId11"/>
      <w:headerReference w:type="default" r:id="rId12"/>
      <w:footerReference w:type="even" r:id="rId13"/>
      <w:footerReference w:type="default" r:id="rId14"/>
      <w:headerReference w:type="first" r:id="rId15"/>
      <w:footerReference w:type="first" r:id="rId16"/>
      <w:footnotePr>
        <w:numRestart w:val="eachPage"/>
      </w:footnotePr>
      <w:endnotePr>
        <w:numFmt w:val="decimal"/>
      </w:endnotePr>
      <w:pgSz w:w="11906" w:h="16838" w:code="9"/>
      <w:pgMar w:top="1134" w:right="1418" w:bottom="1418" w:left="1418" w:header="1134" w:footer="567"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34CD" w:rsidRPr="009F1468" w:rsidRDefault="00E934CD">
      <w:r w:rsidRPr="009F1468">
        <w:separator/>
      </w:r>
    </w:p>
  </w:endnote>
  <w:endnote w:type="continuationSeparator" w:id="0">
    <w:p w:rsidR="00E934CD" w:rsidRPr="009F1468" w:rsidRDefault="00E934CD">
      <w:r w:rsidRPr="009F146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EUAlbertina">
    <w:panose1 w:val="00000000000000000000"/>
    <w:charset w:val="00"/>
    <w:family w:val="auto"/>
    <w:pitch w:val="variable"/>
    <w:sig w:usb0="800002EF" w:usb1="1000E0FB"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okChampa">
    <w:altName w:val="Leelawadee UI"/>
    <w:charset w:val="00"/>
    <w:family w:val="swiss"/>
    <w:pitch w:val="variable"/>
    <w:sig w:usb0="03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34CD" w:rsidRPr="009F1468" w:rsidRDefault="00E934CD" w:rsidP="00001C9E">
    <w:pPr>
      <w:pStyle w:val="EPFooter"/>
    </w:pPr>
    <w:r w:rsidRPr="009F1468">
      <w:t>PE</w:t>
    </w:r>
    <w:r w:rsidRPr="009F1468">
      <w:rPr>
        <w:rStyle w:val="HideTWBExt"/>
      </w:rPr>
      <w:t>&lt;NoPE&gt;</w:t>
    </w:r>
    <w:r w:rsidRPr="009F1468">
      <w:t>739.586</w:t>
    </w:r>
    <w:r w:rsidRPr="009F1468">
      <w:rPr>
        <w:rStyle w:val="HideTWBExt"/>
      </w:rPr>
      <w:t>&lt;/NoPE&gt;&lt;Version&gt;</w:t>
    </w:r>
    <w:r w:rsidRPr="009F1468">
      <w:t>v03-00</w:t>
    </w:r>
    <w:r w:rsidRPr="009F1468">
      <w:rPr>
        <w:rStyle w:val="HideTWBExt"/>
      </w:rPr>
      <w:t>&lt;/Version&gt;</w:t>
    </w:r>
    <w:r w:rsidRPr="009F1468">
      <w:tab/>
    </w:r>
    <w:r w:rsidRPr="009F1468">
      <w:fldChar w:fldCharType="begin"/>
    </w:r>
    <w:r w:rsidRPr="009F1468">
      <w:instrText xml:space="preserve"> PAGE  \* MERGEFORMAT </w:instrText>
    </w:r>
    <w:r w:rsidRPr="009F1468">
      <w:fldChar w:fldCharType="separate"/>
    </w:r>
    <w:r w:rsidRPr="009F1468">
      <w:rPr>
        <w:noProof/>
      </w:rPr>
      <w:t>2</w:t>
    </w:r>
    <w:r w:rsidRPr="009F1468">
      <w:fldChar w:fldCharType="end"/>
    </w:r>
    <w:r w:rsidRPr="009F1468">
      <w:t>/</w:t>
    </w:r>
    <w:r w:rsidR="008D44C1">
      <w:fldChar w:fldCharType="begin"/>
    </w:r>
    <w:r w:rsidR="008D44C1">
      <w:instrText xml:space="preserve"> NUMPAGES  \* MERGEFORMAT </w:instrText>
    </w:r>
    <w:r w:rsidR="008D44C1">
      <w:fldChar w:fldCharType="separate"/>
    </w:r>
    <w:r w:rsidRPr="009F1468">
      <w:rPr>
        <w:noProof/>
      </w:rPr>
      <w:t>27</w:t>
    </w:r>
    <w:r w:rsidR="008D44C1">
      <w:rPr>
        <w:noProof/>
      </w:rPr>
      <w:fldChar w:fldCharType="end"/>
    </w:r>
    <w:r w:rsidRPr="009F1468">
      <w:tab/>
    </w:r>
    <w:r w:rsidRPr="009F1468">
      <w:rPr>
        <w:rStyle w:val="HideTWBExt"/>
      </w:rPr>
      <w:t>&lt;PathFdR&gt;</w:t>
    </w:r>
    <w:r w:rsidRPr="009F1468">
      <w:t>RR\1279350CS.docx</w:t>
    </w:r>
    <w:r w:rsidRPr="009F1468">
      <w:rPr>
        <w:rStyle w:val="HideTWBExt"/>
      </w:rPr>
      <w:t>&lt;/PathFdR&gt;</w:t>
    </w:r>
  </w:p>
  <w:p w:rsidR="00E934CD" w:rsidRPr="009F1468" w:rsidRDefault="00E934CD" w:rsidP="00001C9E">
    <w:pPr>
      <w:pStyle w:val="EPFooter2"/>
    </w:pPr>
    <w:r w:rsidRPr="009F1468">
      <w:t>CS</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34CD" w:rsidRPr="009F1468" w:rsidRDefault="00E934CD" w:rsidP="00001C9E">
    <w:pPr>
      <w:pStyle w:val="EPFooter"/>
    </w:pPr>
    <w:r w:rsidRPr="009F1468">
      <w:rPr>
        <w:rStyle w:val="HideTWBExt"/>
      </w:rPr>
      <w:t>&lt;PathFdR&gt;</w:t>
    </w:r>
    <w:r w:rsidRPr="009F1468">
      <w:t>RR\1279350CS.docx</w:t>
    </w:r>
    <w:r w:rsidRPr="009F1468">
      <w:rPr>
        <w:rStyle w:val="HideTWBExt"/>
      </w:rPr>
      <w:t>&lt;/PathFdR&gt;</w:t>
    </w:r>
    <w:r w:rsidRPr="009F1468">
      <w:tab/>
    </w:r>
    <w:r w:rsidRPr="009F1468">
      <w:tab/>
      <w:t>PE</w:t>
    </w:r>
    <w:r w:rsidRPr="009F1468">
      <w:rPr>
        <w:rStyle w:val="HideTWBExt"/>
      </w:rPr>
      <w:t>&lt;NoPE&gt;</w:t>
    </w:r>
    <w:r w:rsidRPr="009F1468">
      <w:t>739.586</w:t>
    </w:r>
    <w:r w:rsidRPr="009F1468">
      <w:rPr>
        <w:rStyle w:val="HideTWBExt"/>
      </w:rPr>
      <w:t>&lt;/NoPE&gt;&lt;Version&gt;</w:t>
    </w:r>
    <w:r w:rsidRPr="009F1468">
      <w:t>v03-00</w:t>
    </w:r>
    <w:r w:rsidRPr="009F1468">
      <w:rPr>
        <w:rStyle w:val="HideTWBExt"/>
      </w:rPr>
      <w:t>&lt;/Version&gt;</w:t>
    </w:r>
  </w:p>
  <w:p w:rsidR="00E934CD" w:rsidRPr="009F1468" w:rsidRDefault="00E934CD" w:rsidP="00001C9E">
    <w:pPr>
      <w:pStyle w:val="EPFooter2"/>
    </w:pPr>
    <w:r w:rsidRPr="009F1468">
      <w:t>CS</w:t>
    </w:r>
    <w:r w:rsidRPr="009F1468">
      <w:tab/>
    </w:r>
    <w:r w:rsidRPr="009F1468">
      <w:rPr>
        <w:b w:val="0"/>
        <w:i/>
        <w:color w:val="C0C0C0"/>
        <w:sz w:val="22"/>
      </w:rPr>
      <w:t>Jednotná v rozmanitosti</w:t>
    </w:r>
    <w:r w:rsidRPr="009F1468">
      <w:tab/>
      <w:t>CS</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34CD" w:rsidRPr="009F1468" w:rsidRDefault="00E934CD"/>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34CD" w:rsidRPr="009F1468" w:rsidRDefault="00E934CD"/>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34CD" w:rsidRPr="009F1468" w:rsidRDefault="00E934CD"/>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34CD" w:rsidRPr="009F1468" w:rsidRDefault="00E934CD">
      <w:r w:rsidRPr="009F1468">
        <w:separator/>
      </w:r>
    </w:p>
  </w:footnote>
  <w:footnote w:type="continuationSeparator" w:id="0">
    <w:p w:rsidR="00E934CD" w:rsidRPr="009F1468" w:rsidRDefault="00E934CD">
      <w:r w:rsidRPr="009F1468">
        <w:continuationSeparator/>
      </w:r>
    </w:p>
  </w:footnote>
  <w:footnote w:id="1">
    <w:p w:rsidR="00E934CD" w:rsidRPr="00F058DB" w:rsidRDefault="00E934CD" w:rsidP="009F1468">
      <w:pPr>
        <w:pStyle w:val="FootnoteText"/>
        <w:ind w:left="567" w:hanging="567"/>
        <w:rPr>
          <w:sz w:val="24"/>
          <w:szCs w:val="24"/>
          <w:lang w:val="cs-CZ"/>
        </w:rPr>
      </w:pPr>
      <w:r w:rsidRPr="00F058DB">
        <w:rPr>
          <w:rStyle w:val="FootnoteReference"/>
          <w:sz w:val="24"/>
          <w:szCs w:val="24"/>
          <w:lang w:val="cs-CZ"/>
        </w:rPr>
        <w:footnoteRef/>
      </w:r>
      <w:r w:rsidRPr="00F058DB">
        <w:rPr>
          <w:sz w:val="24"/>
          <w:szCs w:val="24"/>
          <w:lang w:val="cs-CZ"/>
        </w:rPr>
        <w:t xml:space="preserve"> </w:t>
      </w:r>
      <w:r w:rsidRPr="00F058DB">
        <w:rPr>
          <w:sz w:val="24"/>
          <w:szCs w:val="24"/>
          <w:lang w:val="cs-CZ"/>
        </w:rPr>
        <w:tab/>
      </w:r>
      <w:proofErr w:type="spellStart"/>
      <w:r w:rsidRPr="00F058DB">
        <w:rPr>
          <w:sz w:val="24"/>
          <w:szCs w:val="24"/>
          <w:lang w:val="cs-CZ"/>
        </w:rPr>
        <w:t>Úř</w:t>
      </w:r>
      <w:proofErr w:type="spellEnd"/>
      <w:r w:rsidRPr="00F058DB">
        <w:rPr>
          <w:sz w:val="24"/>
          <w:szCs w:val="24"/>
          <w:lang w:val="cs-CZ"/>
        </w:rPr>
        <w:t xml:space="preserve">. </w:t>
      </w:r>
      <w:proofErr w:type="spellStart"/>
      <w:proofErr w:type="gramStart"/>
      <w:r w:rsidRPr="00F058DB">
        <w:rPr>
          <w:sz w:val="24"/>
          <w:szCs w:val="24"/>
          <w:lang w:val="cs-CZ"/>
        </w:rPr>
        <w:t>věst</w:t>
      </w:r>
      <w:proofErr w:type="spellEnd"/>
      <w:proofErr w:type="gramEnd"/>
      <w:r w:rsidRPr="00F058DB">
        <w:rPr>
          <w:sz w:val="24"/>
          <w:szCs w:val="24"/>
          <w:lang w:val="cs-CZ"/>
        </w:rPr>
        <w:t xml:space="preserve">. C 88, </w:t>
      </w:r>
      <w:proofErr w:type="gramStart"/>
      <w:r w:rsidRPr="00F058DB">
        <w:rPr>
          <w:sz w:val="24"/>
          <w:szCs w:val="24"/>
          <w:lang w:val="cs-CZ"/>
        </w:rPr>
        <w:t>27.3.2014</w:t>
      </w:r>
      <w:proofErr w:type="gramEnd"/>
      <w:r w:rsidRPr="00F058DB">
        <w:rPr>
          <w:sz w:val="24"/>
          <w:szCs w:val="24"/>
          <w:lang w:val="cs-CZ"/>
        </w:rPr>
        <w:t>, s. 1.</w:t>
      </w:r>
    </w:p>
  </w:footnote>
  <w:footnote w:id="2">
    <w:p w:rsidR="00E934CD" w:rsidRPr="00F058DB" w:rsidRDefault="00E934CD" w:rsidP="009F1468">
      <w:pPr>
        <w:pStyle w:val="FootnoteText"/>
        <w:ind w:left="567" w:hanging="567"/>
        <w:rPr>
          <w:sz w:val="24"/>
          <w:szCs w:val="24"/>
          <w:lang w:val="cs-CZ"/>
        </w:rPr>
      </w:pPr>
      <w:r w:rsidRPr="00F058DB">
        <w:rPr>
          <w:rStyle w:val="FootnoteReference"/>
          <w:sz w:val="24"/>
          <w:szCs w:val="24"/>
          <w:lang w:val="cs-CZ"/>
        </w:rPr>
        <w:footnoteRef/>
      </w:r>
      <w:r w:rsidRPr="00F058DB">
        <w:rPr>
          <w:sz w:val="24"/>
          <w:szCs w:val="24"/>
          <w:lang w:val="cs-CZ"/>
        </w:rPr>
        <w:t xml:space="preserve"> </w:t>
      </w:r>
      <w:r w:rsidRPr="00F058DB">
        <w:rPr>
          <w:sz w:val="24"/>
          <w:szCs w:val="24"/>
          <w:lang w:val="cs-CZ"/>
        </w:rPr>
        <w:tab/>
        <w:t>https://ec.europa.eu/info/law/better-regulation/have-your-say/initiatives/13118-Quality-Framework-for-Traineeships-review-evaluation-/public-consultation_cs</w:t>
      </w:r>
    </w:p>
  </w:footnote>
  <w:footnote w:id="3">
    <w:p w:rsidR="00E934CD" w:rsidRPr="00F058DB" w:rsidRDefault="00E934CD" w:rsidP="009F1468">
      <w:pPr>
        <w:pStyle w:val="FootnoteText"/>
        <w:ind w:left="567" w:hanging="567"/>
        <w:rPr>
          <w:sz w:val="24"/>
          <w:szCs w:val="24"/>
          <w:lang w:val="cs-CZ"/>
        </w:rPr>
      </w:pPr>
      <w:r w:rsidRPr="00F058DB">
        <w:rPr>
          <w:rStyle w:val="FootnoteReference"/>
          <w:sz w:val="24"/>
          <w:szCs w:val="24"/>
          <w:lang w:val="cs-CZ"/>
        </w:rPr>
        <w:footnoteRef/>
      </w:r>
      <w:r w:rsidRPr="00F058DB">
        <w:rPr>
          <w:sz w:val="24"/>
          <w:szCs w:val="24"/>
          <w:lang w:val="cs-CZ"/>
        </w:rPr>
        <w:t xml:space="preserve"> </w:t>
      </w:r>
      <w:r w:rsidRPr="00F058DB">
        <w:rPr>
          <w:sz w:val="24"/>
          <w:szCs w:val="24"/>
          <w:lang w:val="cs-CZ"/>
        </w:rPr>
        <w:tab/>
        <w:t>https://www.eurofound.europa.eu/publications/information-sheet/2017/fraudulent-contracting-of-work-abusing-traineeship-status-austria-finland-spain-and-uk</w:t>
      </w:r>
    </w:p>
  </w:footnote>
  <w:footnote w:id="4">
    <w:p w:rsidR="00E934CD" w:rsidRPr="00F058DB" w:rsidRDefault="00E934CD" w:rsidP="009F1468">
      <w:pPr>
        <w:pStyle w:val="FootnoteText"/>
        <w:ind w:left="567" w:hanging="567"/>
        <w:rPr>
          <w:sz w:val="24"/>
          <w:szCs w:val="24"/>
          <w:lang w:val="cs-CZ"/>
        </w:rPr>
      </w:pPr>
      <w:r w:rsidRPr="00F058DB">
        <w:rPr>
          <w:rStyle w:val="FootnoteReference"/>
          <w:sz w:val="24"/>
          <w:szCs w:val="24"/>
          <w:lang w:val="cs-CZ"/>
        </w:rPr>
        <w:footnoteRef/>
      </w:r>
      <w:r w:rsidRPr="00F058DB">
        <w:rPr>
          <w:sz w:val="24"/>
          <w:szCs w:val="24"/>
          <w:lang w:val="cs-CZ"/>
        </w:rPr>
        <w:t xml:space="preserve"> </w:t>
      </w:r>
      <w:r w:rsidR="00C813FE" w:rsidRPr="00F058DB">
        <w:rPr>
          <w:sz w:val="24"/>
          <w:szCs w:val="24"/>
          <w:lang w:val="cs-CZ"/>
        </w:rPr>
        <w:tab/>
        <w:t>https://ec.europa.eu/social/main.jsp?catId=738&amp;lang</w:t>
      </w:r>
      <w:r w:rsidR="00C813FE" w:rsidRPr="00F058DB">
        <w:rPr>
          <w:sz w:val="24"/>
          <w:szCs w:val="24"/>
          <w:lang w:val="cs-CZ"/>
        </w:rPr>
        <w:br/>
        <w:t>Id=</w:t>
      </w:r>
      <w:proofErr w:type="spellStart"/>
      <w:r w:rsidR="00C813FE" w:rsidRPr="00F058DB">
        <w:rPr>
          <w:sz w:val="24"/>
          <w:szCs w:val="24"/>
          <w:lang w:val="cs-CZ"/>
        </w:rPr>
        <w:t>en&amp;pubId</w:t>
      </w:r>
      <w:proofErr w:type="spellEnd"/>
      <w:r w:rsidR="00C813FE" w:rsidRPr="00F058DB">
        <w:rPr>
          <w:sz w:val="24"/>
          <w:szCs w:val="24"/>
          <w:lang w:val="cs-CZ"/>
        </w:rPr>
        <w:t>=8163&amp;furtherPubs=</w:t>
      </w:r>
      <w:proofErr w:type="spellStart"/>
      <w:r w:rsidR="00C813FE" w:rsidRPr="00F058DB">
        <w:rPr>
          <w:sz w:val="24"/>
          <w:szCs w:val="24"/>
          <w:lang w:val="cs-CZ"/>
        </w:rPr>
        <w:t>yes</w:t>
      </w:r>
      <w:proofErr w:type="spellEnd"/>
    </w:p>
  </w:footnote>
  <w:footnote w:id="5">
    <w:p w:rsidR="00E934CD" w:rsidRPr="00F058DB" w:rsidRDefault="00E934CD" w:rsidP="00AA2919">
      <w:pPr>
        <w:pStyle w:val="FootnoteText"/>
        <w:ind w:left="567" w:hanging="567"/>
        <w:rPr>
          <w:sz w:val="24"/>
          <w:szCs w:val="24"/>
          <w:lang w:val="cs-CZ"/>
        </w:rPr>
      </w:pPr>
      <w:r w:rsidRPr="00F058DB">
        <w:rPr>
          <w:rStyle w:val="FootnoteReference"/>
          <w:sz w:val="24"/>
          <w:szCs w:val="24"/>
          <w:lang w:val="cs-CZ"/>
        </w:rPr>
        <w:footnoteRef/>
      </w:r>
      <w:r w:rsidRPr="00F058DB">
        <w:rPr>
          <w:sz w:val="24"/>
          <w:szCs w:val="24"/>
          <w:lang w:val="cs-CZ"/>
        </w:rPr>
        <w:t xml:space="preserve"> </w:t>
      </w:r>
      <w:r w:rsidRPr="00F058DB">
        <w:rPr>
          <w:sz w:val="24"/>
          <w:szCs w:val="24"/>
          <w:lang w:val="cs-CZ"/>
        </w:rPr>
        <w:tab/>
      </w:r>
      <w:proofErr w:type="spellStart"/>
      <w:r w:rsidRPr="00F058DB">
        <w:rPr>
          <w:sz w:val="24"/>
          <w:szCs w:val="24"/>
          <w:lang w:val="cs-CZ"/>
        </w:rPr>
        <w:t>Úř</w:t>
      </w:r>
      <w:proofErr w:type="spellEnd"/>
      <w:r w:rsidRPr="00F058DB">
        <w:rPr>
          <w:sz w:val="24"/>
          <w:szCs w:val="24"/>
          <w:lang w:val="cs-CZ"/>
        </w:rPr>
        <w:t xml:space="preserve">. </w:t>
      </w:r>
      <w:proofErr w:type="spellStart"/>
      <w:proofErr w:type="gramStart"/>
      <w:r w:rsidRPr="00F058DB">
        <w:rPr>
          <w:sz w:val="24"/>
          <w:szCs w:val="24"/>
          <w:lang w:val="cs-CZ"/>
        </w:rPr>
        <w:t>věst</w:t>
      </w:r>
      <w:proofErr w:type="spellEnd"/>
      <w:proofErr w:type="gramEnd"/>
      <w:r w:rsidRPr="00F058DB">
        <w:rPr>
          <w:sz w:val="24"/>
          <w:szCs w:val="24"/>
          <w:lang w:val="cs-CZ"/>
        </w:rPr>
        <w:t xml:space="preserve">. C 372, </w:t>
      </w:r>
      <w:proofErr w:type="gramStart"/>
      <w:r w:rsidRPr="00F058DB">
        <w:rPr>
          <w:sz w:val="24"/>
          <w:szCs w:val="24"/>
          <w:lang w:val="cs-CZ"/>
        </w:rPr>
        <w:t>4.11.2020</w:t>
      </w:r>
      <w:proofErr w:type="gramEnd"/>
      <w:r w:rsidRPr="00F058DB">
        <w:rPr>
          <w:sz w:val="24"/>
          <w:szCs w:val="24"/>
          <w:lang w:val="cs-CZ"/>
        </w:rPr>
        <w:t>, s. 1.</w:t>
      </w:r>
    </w:p>
  </w:footnote>
  <w:footnote w:id="6">
    <w:p w:rsidR="00E934CD" w:rsidRPr="00F058DB" w:rsidRDefault="00E934CD" w:rsidP="00C813FE">
      <w:pPr>
        <w:pStyle w:val="FootnoteText"/>
        <w:ind w:left="567" w:hanging="567"/>
        <w:rPr>
          <w:sz w:val="24"/>
          <w:szCs w:val="24"/>
          <w:lang w:val="cs-CZ"/>
        </w:rPr>
      </w:pPr>
      <w:r w:rsidRPr="00F058DB">
        <w:rPr>
          <w:rStyle w:val="FootnoteReference"/>
          <w:sz w:val="24"/>
          <w:szCs w:val="24"/>
        </w:rPr>
        <w:footnoteRef/>
      </w:r>
      <w:r w:rsidRPr="00F058DB">
        <w:rPr>
          <w:sz w:val="24"/>
          <w:szCs w:val="24"/>
          <w:lang w:val="cs-CZ"/>
        </w:rPr>
        <w:t xml:space="preserve"> </w:t>
      </w:r>
      <w:r w:rsidRPr="00F058DB">
        <w:rPr>
          <w:sz w:val="24"/>
          <w:szCs w:val="24"/>
          <w:lang w:val="cs-CZ"/>
        </w:rPr>
        <w:tab/>
      </w:r>
      <w:proofErr w:type="spellStart"/>
      <w:r w:rsidRPr="00F058DB">
        <w:rPr>
          <w:sz w:val="24"/>
          <w:szCs w:val="24"/>
          <w:lang w:val="cs-CZ"/>
        </w:rPr>
        <w:t>Úř</w:t>
      </w:r>
      <w:proofErr w:type="spellEnd"/>
      <w:r w:rsidRPr="00F058DB">
        <w:rPr>
          <w:sz w:val="24"/>
          <w:szCs w:val="24"/>
          <w:lang w:val="cs-CZ"/>
        </w:rPr>
        <w:t xml:space="preserve">. </w:t>
      </w:r>
      <w:proofErr w:type="spellStart"/>
      <w:proofErr w:type="gramStart"/>
      <w:r w:rsidRPr="00F058DB">
        <w:rPr>
          <w:sz w:val="24"/>
          <w:szCs w:val="24"/>
          <w:lang w:val="cs-CZ"/>
        </w:rPr>
        <w:t>věst</w:t>
      </w:r>
      <w:proofErr w:type="spellEnd"/>
      <w:proofErr w:type="gramEnd"/>
      <w:r w:rsidRPr="00F058DB">
        <w:rPr>
          <w:sz w:val="24"/>
          <w:szCs w:val="24"/>
          <w:lang w:val="cs-CZ"/>
        </w:rPr>
        <w:t xml:space="preserve">. C 395, </w:t>
      </w:r>
      <w:proofErr w:type="gramStart"/>
      <w:r w:rsidRPr="00F058DB">
        <w:rPr>
          <w:sz w:val="24"/>
          <w:szCs w:val="24"/>
          <w:lang w:val="cs-CZ"/>
        </w:rPr>
        <w:t>29.9.2021</w:t>
      </w:r>
      <w:proofErr w:type="gramEnd"/>
      <w:r w:rsidRPr="00F058DB">
        <w:rPr>
          <w:sz w:val="24"/>
          <w:szCs w:val="24"/>
          <w:lang w:val="cs-CZ"/>
        </w:rPr>
        <w:t>, s. 101.</w:t>
      </w:r>
    </w:p>
  </w:footnote>
  <w:footnote w:id="7">
    <w:p w:rsidR="00E934CD" w:rsidRPr="00F058DB" w:rsidRDefault="00E934CD" w:rsidP="00C813FE">
      <w:pPr>
        <w:pStyle w:val="FootnoteText"/>
        <w:ind w:left="567" w:hanging="567"/>
        <w:rPr>
          <w:sz w:val="24"/>
          <w:szCs w:val="24"/>
          <w:lang w:val="cs-CZ"/>
        </w:rPr>
      </w:pPr>
      <w:r w:rsidRPr="00F058DB">
        <w:rPr>
          <w:rStyle w:val="FootnoteReference"/>
          <w:sz w:val="24"/>
          <w:szCs w:val="24"/>
        </w:rPr>
        <w:footnoteRef/>
      </w:r>
      <w:r w:rsidR="008D44C1">
        <w:rPr>
          <w:sz w:val="24"/>
          <w:szCs w:val="24"/>
          <w:lang w:val="cs-CZ"/>
        </w:rPr>
        <w:t xml:space="preserve"> </w:t>
      </w:r>
      <w:r w:rsidR="008D44C1">
        <w:rPr>
          <w:sz w:val="24"/>
          <w:szCs w:val="24"/>
          <w:lang w:val="cs-CZ"/>
        </w:rPr>
        <w:tab/>
      </w:r>
      <w:proofErr w:type="spellStart"/>
      <w:r w:rsidR="008D44C1">
        <w:rPr>
          <w:sz w:val="24"/>
          <w:szCs w:val="24"/>
          <w:lang w:val="cs-CZ"/>
        </w:rPr>
        <w:t>Úř</w:t>
      </w:r>
      <w:proofErr w:type="spellEnd"/>
      <w:r w:rsidR="008D44C1">
        <w:rPr>
          <w:sz w:val="24"/>
          <w:szCs w:val="24"/>
          <w:lang w:val="cs-CZ"/>
        </w:rPr>
        <w:t>.</w:t>
      </w:r>
      <w:r w:rsidRPr="00F058DB">
        <w:rPr>
          <w:sz w:val="24"/>
          <w:szCs w:val="24"/>
          <w:lang w:val="cs-CZ"/>
        </w:rPr>
        <w:t xml:space="preserve"> </w:t>
      </w:r>
      <w:proofErr w:type="spellStart"/>
      <w:proofErr w:type="gramStart"/>
      <w:r w:rsidRPr="00F058DB">
        <w:rPr>
          <w:sz w:val="24"/>
          <w:szCs w:val="24"/>
          <w:lang w:val="cs-CZ"/>
        </w:rPr>
        <w:t>věst</w:t>
      </w:r>
      <w:proofErr w:type="spellEnd"/>
      <w:proofErr w:type="gramEnd"/>
      <w:r w:rsidRPr="00F058DB">
        <w:rPr>
          <w:sz w:val="24"/>
          <w:szCs w:val="24"/>
          <w:lang w:val="cs-CZ"/>
        </w:rPr>
        <w:t xml:space="preserve">. C 445, </w:t>
      </w:r>
      <w:proofErr w:type="gramStart"/>
      <w:r w:rsidRPr="00F058DB">
        <w:rPr>
          <w:sz w:val="24"/>
          <w:szCs w:val="24"/>
          <w:lang w:val="cs-CZ"/>
        </w:rPr>
        <w:t>29.10.2021</w:t>
      </w:r>
      <w:proofErr w:type="gramEnd"/>
      <w:r w:rsidRPr="00F058DB">
        <w:rPr>
          <w:sz w:val="24"/>
          <w:szCs w:val="24"/>
          <w:lang w:val="cs-CZ"/>
        </w:rPr>
        <w:t>, s. 75.</w:t>
      </w:r>
    </w:p>
  </w:footnote>
  <w:footnote w:id="8">
    <w:p w:rsidR="00E934CD" w:rsidRPr="00F058DB" w:rsidRDefault="00E934CD" w:rsidP="00C813FE">
      <w:pPr>
        <w:pStyle w:val="FootnoteText"/>
        <w:ind w:left="567" w:hanging="567"/>
        <w:rPr>
          <w:sz w:val="24"/>
          <w:szCs w:val="24"/>
          <w:lang w:val="cs-CZ"/>
        </w:rPr>
      </w:pPr>
      <w:r w:rsidRPr="00F058DB">
        <w:rPr>
          <w:rStyle w:val="FootnoteReference"/>
          <w:sz w:val="24"/>
          <w:szCs w:val="24"/>
        </w:rPr>
        <w:footnoteRef/>
      </w:r>
      <w:r w:rsidRPr="00F058DB">
        <w:rPr>
          <w:sz w:val="24"/>
          <w:szCs w:val="24"/>
          <w:lang w:val="cs-CZ"/>
        </w:rPr>
        <w:t xml:space="preserve"> </w:t>
      </w:r>
      <w:r w:rsidRPr="00F058DB">
        <w:rPr>
          <w:sz w:val="24"/>
          <w:szCs w:val="24"/>
          <w:lang w:val="cs-CZ"/>
        </w:rPr>
        <w:tab/>
      </w:r>
      <w:proofErr w:type="spellStart"/>
      <w:r w:rsidRPr="00F058DB">
        <w:rPr>
          <w:sz w:val="24"/>
          <w:szCs w:val="24"/>
          <w:lang w:val="cs-CZ"/>
        </w:rPr>
        <w:t>Úř</w:t>
      </w:r>
      <w:proofErr w:type="spellEnd"/>
      <w:r w:rsidRPr="00F058DB">
        <w:rPr>
          <w:sz w:val="24"/>
          <w:szCs w:val="24"/>
          <w:lang w:val="cs-CZ"/>
        </w:rPr>
        <w:t xml:space="preserve">. </w:t>
      </w:r>
      <w:proofErr w:type="spellStart"/>
      <w:proofErr w:type="gramStart"/>
      <w:r w:rsidRPr="00F058DB">
        <w:rPr>
          <w:sz w:val="24"/>
          <w:szCs w:val="24"/>
          <w:lang w:val="cs-CZ"/>
        </w:rPr>
        <w:t>věst</w:t>
      </w:r>
      <w:proofErr w:type="spellEnd"/>
      <w:proofErr w:type="gramEnd"/>
      <w:r w:rsidRPr="00F058DB">
        <w:rPr>
          <w:sz w:val="24"/>
          <w:szCs w:val="24"/>
          <w:lang w:val="cs-CZ"/>
        </w:rPr>
        <w:t xml:space="preserve">. C 342, </w:t>
      </w:r>
      <w:proofErr w:type="gramStart"/>
      <w:r w:rsidRPr="00F058DB">
        <w:rPr>
          <w:sz w:val="24"/>
          <w:szCs w:val="24"/>
          <w:lang w:val="cs-CZ"/>
        </w:rPr>
        <w:t>6.9.2022</w:t>
      </w:r>
      <w:proofErr w:type="gramEnd"/>
      <w:r w:rsidRPr="00F058DB">
        <w:rPr>
          <w:sz w:val="24"/>
          <w:szCs w:val="24"/>
          <w:lang w:val="cs-CZ"/>
        </w:rPr>
        <w:t>, s. 265.</w:t>
      </w:r>
    </w:p>
  </w:footnote>
  <w:footnote w:id="9">
    <w:p w:rsidR="00E934CD" w:rsidRPr="00F058DB" w:rsidRDefault="00E934CD" w:rsidP="00C813FE">
      <w:pPr>
        <w:pStyle w:val="FootnoteText"/>
        <w:ind w:left="567" w:hanging="567"/>
        <w:rPr>
          <w:sz w:val="24"/>
          <w:szCs w:val="24"/>
          <w:lang w:val="cs-CZ"/>
        </w:rPr>
      </w:pPr>
      <w:r w:rsidRPr="00F058DB">
        <w:rPr>
          <w:rStyle w:val="FootnoteReference"/>
          <w:sz w:val="24"/>
          <w:szCs w:val="24"/>
        </w:rPr>
        <w:footnoteRef/>
      </w:r>
      <w:r w:rsidRPr="00F058DB">
        <w:rPr>
          <w:sz w:val="24"/>
          <w:szCs w:val="24"/>
          <w:lang w:val="cs-CZ"/>
        </w:rPr>
        <w:t xml:space="preserve"> </w:t>
      </w:r>
      <w:r w:rsidRPr="00F058DB">
        <w:rPr>
          <w:sz w:val="24"/>
          <w:szCs w:val="24"/>
          <w:lang w:val="cs-CZ"/>
        </w:rPr>
        <w:tab/>
      </w:r>
      <w:proofErr w:type="spellStart"/>
      <w:r w:rsidR="004807E5" w:rsidRPr="00F058DB">
        <w:rPr>
          <w:sz w:val="24"/>
          <w:szCs w:val="24"/>
          <w:lang w:val="cs-CZ"/>
        </w:rPr>
        <w:t>Úř</w:t>
      </w:r>
      <w:proofErr w:type="spellEnd"/>
      <w:r w:rsidR="004807E5" w:rsidRPr="00F058DB">
        <w:rPr>
          <w:sz w:val="24"/>
          <w:szCs w:val="24"/>
          <w:lang w:val="cs-CZ"/>
        </w:rPr>
        <w:t xml:space="preserve">. </w:t>
      </w:r>
      <w:proofErr w:type="spellStart"/>
      <w:proofErr w:type="gramStart"/>
      <w:r w:rsidR="004807E5" w:rsidRPr="00F058DB">
        <w:rPr>
          <w:sz w:val="24"/>
          <w:szCs w:val="24"/>
          <w:lang w:val="cs-CZ"/>
        </w:rPr>
        <w:t>věst</w:t>
      </w:r>
      <w:proofErr w:type="spellEnd"/>
      <w:proofErr w:type="gramEnd"/>
      <w:r w:rsidR="004807E5" w:rsidRPr="00F058DB">
        <w:rPr>
          <w:sz w:val="24"/>
          <w:szCs w:val="24"/>
          <w:lang w:val="cs-CZ"/>
        </w:rPr>
        <w:t xml:space="preserve">. C 167, </w:t>
      </w:r>
      <w:proofErr w:type="gramStart"/>
      <w:r w:rsidR="004807E5" w:rsidRPr="00F058DB">
        <w:rPr>
          <w:sz w:val="24"/>
          <w:szCs w:val="24"/>
          <w:lang w:val="cs-CZ"/>
        </w:rPr>
        <w:t>11.5.2023</w:t>
      </w:r>
      <w:proofErr w:type="gramEnd"/>
      <w:r w:rsidR="004807E5" w:rsidRPr="00F058DB">
        <w:rPr>
          <w:sz w:val="24"/>
          <w:szCs w:val="24"/>
          <w:lang w:val="cs-CZ"/>
        </w:rPr>
        <w:t>, s. 83</w:t>
      </w:r>
      <w:r w:rsidRPr="00F058DB">
        <w:rPr>
          <w:sz w:val="24"/>
          <w:szCs w:val="24"/>
          <w:lang w:val="cs-CZ"/>
        </w:rPr>
        <w:t>.</w:t>
      </w:r>
    </w:p>
  </w:footnote>
  <w:footnote w:id="10">
    <w:p w:rsidR="00E934CD" w:rsidRPr="00F058DB" w:rsidRDefault="00E934CD" w:rsidP="00AA2919">
      <w:pPr>
        <w:pStyle w:val="FootnoteText"/>
        <w:ind w:left="567" w:hanging="567"/>
        <w:rPr>
          <w:sz w:val="24"/>
          <w:szCs w:val="24"/>
          <w:lang w:val="cs-CZ"/>
        </w:rPr>
      </w:pPr>
      <w:r w:rsidRPr="00F058DB">
        <w:rPr>
          <w:rStyle w:val="FootnoteReference"/>
          <w:sz w:val="24"/>
          <w:szCs w:val="24"/>
          <w:lang w:val="cs-CZ"/>
        </w:rPr>
        <w:footnoteRef/>
      </w:r>
      <w:r w:rsidRPr="00F058DB">
        <w:rPr>
          <w:sz w:val="24"/>
          <w:szCs w:val="24"/>
          <w:lang w:val="cs-CZ"/>
        </w:rPr>
        <w:t xml:space="preserve"> </w:t>
      </w:r>
      <w:r w:rsidRPr="00F058DB">
        <w:rPr>
          <w:sz w:val="24"/>
          <w:szCs w:val="24"/>
          <w:lang w:val="cs-CZ"/>
        </w:rPr>
        <w:tab/>
      </w:r>
      <w:proofErr w:type="spellStart"/>
      <w:r w:rsidRPr="00F058DB">
        <w:rPr>
          <w:sz w:val="24"/>
          <w:szCs w:val="24"/>
          <w:lang w:val="cs-CZ"/>
        </w:rPr>
        <w:t>Úř</w:t>
      </w:r>
      <w:proofErr w:type="spellEnd"/>
      <w:r w:rsidRPr="00F058DB">
        <w:rPr>
          <w:sz w:val="24"/>
          <w:szCs w:val="24"/>
          <w:lang w:val="cs-CZ"/>
        </w:rPr>
        <w:t xml:space="preserve">. </w:t>
      </w:r>
      <w:proofErr w:type="spellStart"/>
      <w:proofErr w:type="gramStart"/>
      <w:r w:rsidRPr="00F058DB">
        <w:rPr>
          <w:sz w:val="24"/>
          <w:szCs w:val="24"/>
          <w:lang w:val="cs-CZ"/>
        </w:rPr>
        <w:t>věst</w:t>
      </w:r>
      <w:proofErr w:type="spellEnd"/>
      <w:proofErr w:type="gramEnd"/>
      <w:r w:rsidRPr="00F058DB">
        <w:rPr>
          <w:sz w:val="24"/>
          <w:szCs w:val="24"/>
          <w:lang w:val="cs-CZ"/>
        </w:rPr>
        <w:t xml:space="preserve">. L 261 I, </w:t>
      </w:r>
      <w:proofErr w:type="gramStart"/>
      <w:r w:rsidRPr="00F058DB">
        <w:rPr>
          <w:sz w:val="24"/>
          <w:szCs w:val="24"/>
          <w:lang w:val="cs-CZ"/>
        </w:rPr>
        <w:t>14.10.2019</w:t>
      </w:r>
      <w:proofErr w:type="gramEnd"/>
      <w:r w:rsidRPr="00F058DB">
        <w:rPr>
          <w:sz w:val="24"/>
          <w:szCs w:val="24"/>
          <w:lang w:val="cs-CZ"/>
        </w:rPr>
        <w:t>, s. 1.</w:t>
      </w:r>
    </w:p>
  </w:footnote>
  <w:footnote w:id="11">
    <w:p w:rsidR="00E934CD" w:rsidRPr="00F058DB" w:rsidRDefault="00E934CD" w:rsidP="00C813FE">
      <w:pPr>
        <w:pStyle w:val="FootnoteText"/>
        <w:ind w:left="567" w:hanging="567"/>
        <w:rPr>
          <w:sz w:val="24"/>
          <w:szCs w:val="24"/>
          <w:lang w:val="cs-CZ"/>
        </w:rPr>
      </w:pPr>
      <w:r w:rsidRPr="00F058DB">
        <w:rPr>
          <w:rStyle w:val="FootnoteReference"/>
          <w:sz w:val="24"/>
          <w:szCs w:val="24"/>
        </w:rPr>
        <w:footnoteRef/>
      </w:r>
      <w:r w:rsidRPr="00F058DB">
        <w:rPr>
          <w:sz w:val="24"/>
          <w:szCs w:val="24"/>
          <w:lang w:val="cs-CZ"/>
        </w:rPr>
        <w:t xml:space="preserve"> </w:t>
      </w:r>
      <w:r w:rsidRPr="00F058DB">
        <w:rPr>
          <w:sz w:val="24"/>
          <w:szCs w:val="24"/>
          <w:lang w:val="cs-CZ"/>
        </w:rPr>
        <w:tab/>
      </w:r>
      <w:proofErr w:type="spellStart"/>
      <w:r w:rsidR="004807E5" w:rsidRPr="00F058DB">
        <w:rPr>
          <w:sz w:val="24"/>
          <w:szCs w:val="24"/>
          <w:lang w:val="cs-CZ"/>
        </w:rPr>
        <w:t>Úř</w:t>
      </w:r>
      <w:proofErr w:type="spellEnd"/>
      <w:r w:rsidR="004807E5" w:rsidRPr="00F058DB">
        <w:rPr>
          <w:sz w:val="24"/>
          <w:szCs w:val="24"/>
          <w:lang w:val="cs-CZ"/>
        </w:rPr>
        <w:t xml:space="preserve">. </w:t>
      </w:r>
      <w:proofErr w:type="spellStart"/>
      <w:proofErr w:type="gramStart"/>
      <w:r w:rsidR="004807E5" w:rsidRPr="00F058DB">
        <w:rPr>
          <w:sz w:val="24"/>
          <w:szCs w:val="24"/>
          <w:lang w:val="cs-CZ"/>
        </w:rPr>
        <w:t>věst</w:t>
      </w:r>
      <w:proofErr w:type="spellEnd"/>
      <w:proofErr w:type="gramEnd"/>
      <w:r w:rsidR="004807E5" w:rsidRPr="00F058DB">
        <w:rPr>
          <w:sz w:val="24"/>
          <w:szCs w:val="24"/>
          <w:lang w:val="cs-CZ"/>
        </w:rPr>
        <w:t xml:space="preserve">. C 177, </w:t>
      </w:r>
      <w:proofErr w:type="gramStart"/>
      <w:r w:rsidR="004807E5" w:rsidRPr="00F058DB">
        <w:rPr>
          <w:sz w:val="24"/>
          <w:szCs w:val="24"/>
          <w:lang w:val="cs-CZ"/>
        </w:rPr>
        <w:t>17.5.2023</w:t>
      </w:r>
      <w:proofErr w:type="gramEnd"/>
      <w:r w:rsidR="004807E5" w:rsidRPr="00F058DB">
        <w:rPr>
          <w:sz w:val="24"/>
          <w:szCs w:val="24"/>
          <w:lang w:val="cs-CZ"/>
        </w:rPr>
        <w:t>, s. 13.</w:t>
      </w:r>
    </w:p>
  </w:footnote>
  <w:footnote w:id="12">
    <w:p w:rsidR="00E934CD" w:rsidRPr="00F058DB" w:rsidRDefault="00E934CD" w:rsidP="009F1468">
      <w:pPr>
        <w:pStyle w:val="FootnoteText"/>
        <w:ind w:left="567" w:hanging="567"/>
        <w:rPr>
          <w:b/>
          <w:i/>
          <w:sz w:val="24"/>
          <w:szCs w:val="24"/>
          <w:lang w:val="cs-CZ"/>
        </w:rPr>
      </w:pPr>
      <w:r w:rsidRPr="00F058DB">
        <w:rPr>
          <w:rStyle w:val="FootnoteReference"/>
          <w:sz w:val="24"/>
          <w:szCs w:val="24"/>
          <w:lang w:val="cs-CZ"/>
        </w:rPr>
        <w:footnoteRef/>
      </w:r>
      <w:r w:rsidRPr="00F058DB">
        <w:rPr>
          <w:rStyle w:val="highlight-diff1"/>
          <w:sz w:val="24"/>
          <w:szCs w:val="24"/>
          <w:lang w:val="cs-CZ"/>
        </w:rPr>
        <w:t xml:space="preserve"> </w:t>
      </w:r>
      <w:r w:rsidRPr="00F058DB">
        <w:rPr>
          <w:rStyle w:val="highlight-diff1"/>
          <w:sz w:val="24"/>
          <w:szCs w:val="24"/>
          <w:lang w:val="cs-CZ"/>
        </w:rPr>
        <w:tab/>
      </w:r>
      <w:r w:rsidRPr="00F058DB">
        <w:rPr>
          <w:rStyle w:val="highlight-diff1"/>
          <w:b w:val="0"/>
          <w:i w:val="0"/>
          <w:sz w:val="24"/>
          <w:szCs w:val="24"/>
          <w:lang w:val="cs-CZ"/>
        </w:rPr>
        <w:t>Usnesení Evropského parlamentu ze dne 17. února 2022 o posílení postavení evropské mládeže: zaměstnanost a sociální oživení po pandemii (</w:t>
      </w:r>
      <w:proofErr w:type="spellStart"/>
      <w:r w:rsidR="004807E5" w:rsidRPr="00F058DB">
        <w:rPr>
          <w:rStyle w:val="highlight-diff1"/>
          <w:b w:val="0"/>
          <w:i w:val="0"/>
          <w:sz w:val="24"/>
          <w:szCs w:val="24"/>
          <w:lang w:val="cs-CZ"/>
        </w:rPr>
        <w:t>Úř</w:t>
      </w:r>
      <w:proofErr w:type="spellEnd"/>
      <w:r w:rsidR="004807E5" w:rsidRPr="00F058DB">
        <w:rPr>
          <w:rStyle w:val="highlight-diff1"/>
          <w:b w:val="0"/>
          <w:i w:val="0"/>
          <w:sz w:val="24"/>
          <w:szCs w:val="24"/>
          <w:lang w:val="cs-CZ"/>
        </w:rPr>
        <w:t xml:space="preserve">. </w:t>
      </w:r>
      <w:proofErr w:type="spellStart"/>
      <w:proofErr w:type="gramStart"/>
      <w:r w:rsidR="004807E5" w:rsidRPr="00F058DB">
        <w:rPr>
          <w:rStyle w:val="highlight-diff1"/>
          <w:b w:val="0"/>
          <w:i w:val="0"/>
          <w:sz w:val="24"/>
          <w:szCs w:val="24"/>
          <w:lang w:val="cs-CZ"/>
        </w:rPr>
        <w:t>věst</w:t>
      </w:r>
      <w:proofErr w:type="spellEnd"/>
      <w:proofErr w:type="gramEnd"/>
      <w:r w:rsidR="004807E5" w:rsidRPr="00F058DB">
        <w:rPr>
          <w:rStyle w:val="highlight-diff1"/>
          <w:b w:val="0"/>
          <w:i w:val="0"/>
          <w:sz w:val="24"/>
          <w:szCs w:val="24"/>
          <w:lang w:val="cs-CZ"/>
        </w:rPr>
        <w:t xml:space="preserve">. C 342, </w:t>
      </w:r>
      <w:proofErr w:type="gramStart"/>
      <w:r w:rsidR="004807E5" w:rsidRPr="00F058DB">
        <w:rPr>
          <w:rStyle w:val="highlight-diff1"/>
          <w:b w:val="0"/>
          <w:i w:val="0"/>
          <w:sz w:val="24"/>
          <w:szCs w:val="24"/>
          <w:lang w:val="cs-CZ"/>
        </w:rPr>
        <w:t>6.9.2022</w:t>
      </w:r>
      <w:proofErr w:type="gramEnd"/>
      <w:r w:rsidR="004807E5" w:rsidRPr="00F058DB">
        <w:rPr>
          <w:rStyle w:val="highlight-diff1"/>
          <w:b w:val="0"/>
          <w:i w:val="0"/>
          <w:sz w:val="24"/>
          <w:szCs w:val="24"/>
          <w:lang w:val="cs-CZ"/>
        </w:rPr>
        <w:t>, s. 265</w:t>
      </w:r>
      <w:r w:rsidRPr="00F058DB">
        <w:rPr>
          <w:rStyle w:val="highlight-diff1"/>
          <w:b w:val="0"/>
          <w:i w:val="0"/>
          <w:sz w:val="24"/>
          <w:szCs w:val="24"/>
          <w:lang w:val="cs-CZ"/>
        </w:rPr>
        <w:t>).</w:t>
      </w:r>
      <w:r w:rsidRPr="00F058DB">
        <w:rPr>
          <w:b/>
          <w:i/>
          <w:sz w:val="24"/>
          <w:szCs w:val="24"/>
          <w:lang w:val="cs-CZ"/>
        </w:rPr>
        <w:t xml:space="preserve"> </w:t>
      </w:r>
    </w:p>
  </w:footnote>
  <w:footnote w:id="13">
    <w:p w:rsidR="00E934CD" w:rsidRPr="00F058DB" w:rsidRDefault="00E934CD" w:rsidP="009F1468">
      <w:pPr>
        <w:pStyle w:val="FootnoteText"/>
        <w:ind w:left="567" w:hanging="567"/>
        <w:rPr>
          <w:sz w:val="24"/>
          <w:szCs w:val="24"/>
          <w:lang w:val="cs-CZ"/>
        </w:rPr>
      </w:pPr>
      <w:r w:rsidRPr="00F058DB">
        <w:rPr>
          <w:rStyle w:val="FootnoteReference"/>
          <w:sz w:val="24"/>
          <w:szCs w:val="24"/>
          <w:lang w:val="cs-CZ"/>
        </w:rPr>
        <w:footnoteRef/>
      </w:r>
      <w:r w:rsidRPr="00F058DB">
        <w:rPr>
          <w:sz w:val="24"/>
          <w:szCs w:val="24"/>
          <w:lang w:val="cs-CZ"/>
        </w:rPr>
        <w:t xml:space="preserve"> </w:t>
      </w:r>
      <w:r w:rsidRPr="00F058DB">
        <w:rPr>
          <w:sz w:val="24"/>
          <w:szCs w:val="24"/>
          <w:lang w:val="cs-CZ"/>
        </w:rPr>
        <w:tab/>
        <w:t>https://www.europarl.europa.eu/RegData/etudes/</w:t>
      </w:r>
      <w:r w:rsidRPr="00F058DB">
        <w:rPr>
          <w:sz w:val="24"/>
          <w:szCs w:val="24"/>
          <w:lang w:val="cs-CZ"/>
        </w:rPr>
        <w:br/>
        <w:t>STUD/2022/699459/EPRS_STU(2022)699459_EN.pdf, s. 1</w:t>
      </w:r>
    </w:p>
  </w:footnote>
  <w:footnote w:id="14">
    <w:p w:rsidR="00E934CD" w:rsidRPr="00F058DB" w:rsidRDefault="00E934CD" w:rsidP="009F1468">
      <w:pPr>
        <w:pStyle w:val="FootnoteText"/>
        <w:ind w:left="567" w:hanging="567"/>
        <w:rPr>
          <w:b/>
          <w:i/>
          <w:sz w:val="24"/>
          <w:szCs w:val="24"/>
          <w:lang w:val="cs-CZ"/>
        </w:rPr>
      </w:pPr>
      <w:r w:rsidRPr="00F058DB">
        <w:rPr>
          <w:rStyle w:val="FootnoteReference"/>
          <w:i/>
          <w:sz w:val="24"/>
          <w:szCs w:val="24"/>
          <w:lang w:val="cs-CZ"/>
        </w:rPr>
        <w:footnoteRef/>
      </w:r>
      <w:r w:rsidRPr="00F058DB">
        <w:rPr>
          <w:rStyle w:val="highlight-diff1"/>
          <w:sz w:val="24"/>
          <w:szCs w:val="24"/>
          <w:lang w:val="cs-CZ"/>
        </w:rPr>
        <w:t xml:space="preserve"> </w:t>
      </w:r>
      <w:r w:rsidRPr="00F058DB">
        <w:rPr>
          <w:rStyle w:val="highlight-diff1"/>
          <w:sz w:val="24"/>
          <w:szCs w:val="24"/>
          <w:lang w:val="cs-CZ"/>
        </w:rPr>
        <w:tab/>
      </w:r>
      <w:r w:rsidRPr="00F058DB">
        <w:rPr>
          <w:sz w:val="24"/>
          <w:szCs w:val="24"/>
          <w:lang w:val="cs-CZ"/>
        </w:rPr>
        <w:t>https://www.ilo.org/wcmsp5/groups/public/---</w:t>
      </w:r>
      <w:proofErr w:type="spellStart"/>
      <w:r w:rsidRPr="00F058DB">
        <w:rPr>
          <w:sz w:val="24"/>
          <w:szCs w:val="24"/>
          <w:lang w:val="cs-CZ"/>
        </w:rPr>
        <w:t>dgreports</w:t>
      </w:r>
      <w:proofErr w:type="spellEnd"/>
      <w:r w:rsidRPr="00F058DB">
        <w:rPr>
          <w:sz w:val="24"/>
          <w:szCs w:val="24"/>
          <w:lang w:val="cs-CZ"/>
        </w:rPr>
        <w:t>/---</w:t>
      </w:r>
      <w:proofErr w:type="spellStart"/>
      <w:r w:rsidRPr="00F058DB">
        <w:rPr>
          <w:sz w:val="24"/>
          <w:szCs w:val="24"/>
          <w:lang w:val="cs-CZ"/>
        </w:rPr>
        <w:t>dcomm</w:t>
      </w:r>
      <w:proofErr w:type="spellEnd"/>
      <w:r w:rsidRPr="00F058DB">
        <w:rPr>
          <w:sz w:val="24"/>
          <w:szCs w:val="24"/>
          <w:lang w:val="cs-CZ"/>
        </w:rPr>
        <w:t>/---</w:t>
      </w:r>
      <w:proofErr w:type="spellStart"/>
      <w:r w:rsidRPr="00F058DB">
        <w:rPr>
          <w:sz w:val="24"/>
          <w:szCs w:val="24"/>
          <w:lang w:val="cs-CZ"/>
        </w:rPr>
        <w:t>publ</w:t>
      </w:r>
      <w:proofErr w:type="spellEnd"/>
      <w:r w:rsidRPr="00F058DB">
        <w:rPr>
          <w:sz w:val="24"/>
          <w:szCs w:val="24"/>
          <w:lang w:val="cs-CZ"/>
        </w:rPr>
        <w:t>/</w:t>
      </w:r>
      <w:proofErr w:type="spellStart"/>
      <w:r w:rsidRPr="00F058DB">
        <w:rPr>
          <w:sz w:val="24"/>
          <w:szCs w:val="24"/>
          <w:lang w:val="cs-CZ"/>
        </w:rPr>
        <w:t>documents</w:t>
      </w:r>
      <w:proofErr w:type="spellEnd"/>
      <w:r w:rsidRPr="00F058DB">
        <w:rPr>
          <w:sz w:val="24"/>
          <w:szCs w:val="24"/>
          <w:lang w:val="cs-CZ"/>
        </w:rPr>
        <w:t>/</w:t>
      </w:r>
      <w:proofErr w:type="spellStart"/>
      <w:r w:rsidRPr="00F058DB">
        <w:rPr>
          <w:sz w:val="24"/>
          <w:szCs w:val="24"/>
          <w:lang w:val="cs-CZ"/>
        </w:rPr>
        <w:t>publication</w:t>
      </w:r>
      <w:proofErr w:type="spellEnd"/>
      <w:r w:rsidRPr="00F058DB">
        <w:rPr>
          <w:sz w:val="24"/>
          <w:szCs w:val="24"/>
          <w:lang w:val="cs-CZ"/>
        </w:rPr>
        <w:t>/wcms_799773.pdf</w:t>
      </w:r>
    </w:p>
  </w:footnote>
  <w:footnote w:id="15">
    <w:p w:rsidR="00E934CD" w:rsidRPr="00F058DB" w:rsidRDefault="00E934CD" w:rsidP="009F1468">
      <w:pPr>
        <w:pStyle w:val="FootnoteText"/>
        <w:ind w:left="567" w:hanging="567"/>
        <w:rPr>
          <w:b/>
          <w:i/>
          <w:sz w:val="24"/>
          <w:szCs w:val="24"/>
          <w:lang w:val="cs-CZ"/>
        </w:rPr>
      </w:pPr>
      <w:r w:rsidRPr="00F058DB">
        <w:rPr>
          <w:rStyle w:val="FootnoteReference"/>
          <w:b/>
          <w:i/>
          <w:sz w:val="24"/>
          <w:szCs w:val="24"/>
          <w:lang w:val="cs-CZ"/>
        </w:rPr>
        <w:footnoteRef/>
      </w:r>
      <w:r w:rsidRPr="00F058DB">
        <w:rPr>
          <w:rStyle w:val="highlight-diff1"/>
          <w:sz w:val="24"/>
          <w:szCs w:val="24"/>
          <w:lang w:val="cs-CZ"/>
        </w:rPr>
        <w:t xml:space="preserve"> </w:t>
      </w:r>
      <w:r w:rsidRPr="00F058DB">
        <w:rPr>
          <w:rStyle w:val="highlight-diff1"/>
          <w:sz w:val="24"/>
          <w:szCs w:val="24"/>
          <w:lang w:val="cs-CZ"/>
        </w:rPr>
        <w:tab/>
      </w:r>
      <w:r w:rsidRPr="00F058DB">
        <w:rPr>
          <w:rStyle w:val="highlight-diff1"/>
          <w:b w:val="0"/>
          <w:i w:val="0"/>
          <w:sz w:val="24"/>
          <w:szCs w:val="24"/>
          <w:lang w:val="cs-CZ"/>
        </w:rPr>
        <w:t>Článek 21 Listiny základních práv Evropské unie o nediskriminaci,</w:t>
      </w:r>
      <w:r w:rsidRPr="00F058DB">
        <w:rPr>
          <w:rStyle w:val="highlight-diff1"/>
          <w:sz w:val="24"/>
          <w:szCs w:val="24"/>
          <w:lang w:val="cs-CZ"/>
        </w:rPr>
        <w:t xml:space="preserve"> </w:t>
      </w:r>
      <w:r w:rsidRPr="00F058DB">
        <w:rPr>
          <w:sz w:val="24"/>
          <w:szCs w:val="24"/>
          <w:lang w:val="cs-CZ"/>
        </w:rPr>
        <w:t>https://fra.europa.eu/cs/eu-charter/article/21-zakaz-diskriminace</w:t>
      </w:r>
      <w:r w:rsidRPr="00F058DB">
        <w:rPr>
          <w:rStyle w:val="highlight-diff1"/>
          <w:sz w:val="24"/>
          <w:szCs w:val="24"/>
          <w:lang w:val="cs-CZ"/>
        </w:rPr>
        <w:t>.</w:t>
      </w:r>
    </w:p>
  </w:footnote>
  <w:footnote w:id="16">
    <w:p w:rsidR="00E934CD" w:rsidRPr="00F058DB" w:rsidRDefault="00E934CD" w:rsidP="009F1468">
      <w:pPr>
        <w:pStyle w:val="FootnoteText"/>
        <w:ind w:left="567" w:hanging="567"/>
        <w:rPr>
          <w:b/>
          <w:i/>
          <w:sz w:val="24"/>
          <w:szCs w:val="24"/>
          <w:lang w:val="cs-CZ"/>
        </w:rPr>
      </w:pPr>
      <w:r w:rsidRPr="00F058DB">
        <w:rPr>
          <w:rStyle w:val="FootnoteReference"/>
          <w:b/>
          <w:i/>
          <w:sz w:val="24"/>
          <w:szCs w:val="24"/>
          <w:lang w:val="cs-CZ"/>
        </w:rPr>
        <w:footnoteRef/>
      </w:r>
      <w:r w:rsidRPr="00F058DB">
        <w:rPr>
          <w:rStyle w:val="highlight-diff1"/>
          <w:sz w:val="24"/>
          <w:szCs w:val="24"/>
          <w:lang w:val="cs-CZ"/>
        </w:rPr>
        <w:t xml:space="preserve"> </w:t>
      </w:r>
      <w:r w:rsidRPr="00F058DB">
        <w:rPr>
          <w:rStyle w:val="highlight-diff1"/>
          <w:sz w:val="24"/>
          <w:szCs w:val="24"/>
          <w:lang w:val="cs-CZ"/>
        </w:rPr>
        <w:tab/>
      </w:r>
      <w:r w:rsidRPr="00F058DB">
        <w:rPr>
          <w:sz w:val="24"/>
          <w:szCs w:val="24"/>
          <w:lang w:val="cs-CZ"/>
        </w:rPr>
        <w:t>https://www.youthforum.org/files/230111-DP-CostUnpaidInternships.pdf</w:t>
      </w:r>
    </w:p>
  </w:footnote>
  <w:footnote w:id="17">
    <w:p w:rsidR="00E934CD" w:rsidRPr="00F058DB" w:rsidRDefault="00E934CD" w:rsidP="009F1468">
      <w:pPr>
        <w:pStyle w:val="FootnoteText"/>
        <w:ind w:left="567" w:hanging="567"/>
        <w:rPr>
          <w:sz w:val="24"/>
          <w:szCs w:val="24"/>
          <w:lang w:val="cs-CZ"/>
        </w:rPr>
      </w:pPr>
      <w:r w:rsidRPr="00F058DB">
        <w:rPr>
          <w:rStyle w:val="FootnoteReference"/>
          <w:sz w:val="24"/>
          <w:szCs w:val="24"/>
          <w:lang w:val="cs-CZ"/>
        </w:rPr>
        <w:footnoteRef/>
      </w:r>
      <w:r w:rsidRPr="00F058DB">
        <w:rPr>
          <w:sz w:val="24"/>
          <w:szCs w:val="24"/>
          <w:lang w:val="cs-CZ"/>
        </w:rPr>
        <w:t xml:space="preserve"> </w:t>
      </w:r>
      <w:r w:rsidRPr="00F058DB">
        <w:rPr>
          <w:sz w:val="24"/>
          <w:szCs w:val="24"/>
          <w:lang w:val="cs-CZ"/>
        </w:rPr>
        <w:tab/>
        <w:t>https://ec.europa.eu/social/main.jsp?catId=1146&amp;langId=cs</w:t>
      </w:r>
    </w:p>
  </w:footnote>
  <w:footnote w:id="18">
    <w:p w:rsidR="00E934CD" w:rsidRPr="00F058DB" w:rsidRDefault="00E934CD" w:rsidP="009F1468">
      <w:pPr>
        <w:pStyle w:val="FootnoteText"/>
        <w:ind w:left="567" w:hanging="567"/>
        <w:rPr>
          <w:b/>
          <w:i/>
          <w:sz w:val="24"/>
          <w:szCs w:val="24"/>
          <w:lang w:val="cs-CZ"/>
        </w:rPr>
      </w:pPr>
      <w:r w:rsidRPr="00F058DB">
        <w:rPr>
          <w:rStyle w:val="FootnoteReference"/>
          <w:b/>
          <w:i/>
          <w:sz w:val="24"/>
          <w:szCs w:val="24"/>
          <w:lang w:val="cs-CZ"/>
        </w:rPr>
        <w:footnoteRef/>
      </w:r>
      <w:r w:rsidRPr="00F058DB">
        <w:rPr>
          <w:rStyle w:val="highlight-diff1"/>
          <w:sz w:val="24"/>
          <w:szCs w:val="24"/>
          <w:lang w:val="cs-CZ"/>
        </w:rPr>
        <w:t xml:space="preserve"> </w:t>
      </w:r>
      <w:r w:rsidRPr="00F058DB">
        <w:rPr>
          <w:rStyle w:val="highlight-diff1"/>
          <w:sz w:val="24"/>
          <w:szCs w:val="24"/>
          <w:lang w:val="cs-CZ"/>
        </w:rPr>
        <w:tab/>
      </w:r>
      <w:r w:rsidRPr="00F058DB">
        <w:rPr>
          <w:sz w:val="24"/>
          <w:szCs w:val="24"/>
          <w:lang w:val="cs-CZ"/>
        </w:rPr>
        <w:t>https://www.cedefop.europa.eu/files/9173_en.pdf</w:t>
      </w:r>
    </w:p>
  </w:footnote>
  <w:footnote w:id="19">
    <w:p w:rsidR="00E934CD" w:rsidRPr="00F058DB" w:rsidRDefault="00E934CD" w:rsidP="009F1468">
      <w:pPr>
        <w:pStyle w:val="FootnoteText"/>
        <w:ind w:left="567" w:hanging="567"/>
        <w:rPr>
          <w:b/>
          <w:i/>
          <w:sz w:val="24"/>
          <w:szCs w:val="24"/>
          <w:lang w:val="cs-CZ"/>
        </w:rPr>
      </w:pPr>
      <w:r w:rsidRPr="00F058DB">
        <w:rPr>
          <w:rStyle w:val="FootnoteReference"/>
          <w:b/>
          <w:i/>
          <w:sz w:val="24"/>
          <w:szCs w:val="24"/>
          <w:lang w:val="cs-CZ"/>
        </w:rPr>
        <w:footnoteRef/>
      </w:r>
      <w:r w:rsidRPr="00F058DB">
        <w:rPr>
          <w:rStyle w:val="highlight-diff1"/>
          <w:sz w:val="24"/>
          <w:szCs w:val="24"/>
          <w:lang w:val="cs-CZ"/>
        </w:rPr>
        <w:t xml:space="preserve"> </w:t>
      </w:r>
      <w:r w:rsidRPr="00F058DB">
        <w:rPr>
          <w:rStyle w:val="highlight-diff1"/>
          <w:sz w:val="24"/>
          <w:szCs w:val="24"/>
          <w:lang w:val="cs-CZ"/>
        </w:rPr>
        <w:tab/>
      </w:r>
      <w:r w:rsidRPr="00F058DB">
        <w:rPr>
          <w:sz w:val="24"/>
          <w:szCs w:val="24"/>
          <w:lang w:val="cs-CZ"/>
        </w:rPr>
        <w:t>https://www.youthforum.org/files/230111-DP-CostUnpaidInternships.pdf</w:t>
      </w:r>
    </w:p>
  </w:footnote>
  <w:footnote w:id="20">
    <w:p w:rsidR="00E934CD" w:rsidRPr="00F058DB" w:rsidRDefault="00E934CD" w:rsidP="009F1468">
      <w:pPr>
        <w:pStyle w:val="FootnoteText"/>
        <w:ind w:left="567" w:hanging="567"/>
        <w:rPr>
          <w:sz w:val="24"/>
          <w:szCs w:val="24"/>
          <w:lang w:val="cs-CZ"/>
        </w:rPr>
      </w:pPr>
      <w:r w:rsidRPr="00F058DB">
        <w:rPr>
          <w:rStyle w:val="FootnoteReference"/>
          <w:sz w:val="24"/>
          <w:szCs w:val="24"/>
          <w:lang w:val="cs-CZ"/>
        </w:rPr>
        <w:footnoteRef/>
      </w:r>
      <w:r w:rsidRPr="00F058DB">
        <w:rPr>
          <w:sz w:val="24"/>
          <w:szCs w:val="24"/>
          <w:lang w:val="cs-CZ"/>
        </w:rPr>
        <w:t xml:space="preserve"> </w:t>
      </w:r>
      <w:r w:rsidRPr="00F058DB">
        <w:rPr>
          <w:sz w:val="24"/>
          <w:szCs w:val="24"/>
          <w:lang w:val="cs-CZ"/>
        </w:rPr>
        <w:tab/>
        <w:t>https://www.europarl.europa.eu/RegData/etudes/</w:t>
      </w:r>
      <w:r w:rsidRPr="00F058DB">
        <w:rPr>
          <w:sz w:val="24"/>
          <w:szCs w:val="24"/>
          <w:lang w:val="cs-CZ"/>
        </w:rPr>
        <w:br/>
        <w:t>STUD/2022/699459/EPRS_STU(2022)699459_EN.pdf, s. 2</w:t>
      </w:r>
    </w:p>
  </w:footnote>
  <w:footnote w:id="21">
    <w:p w:rsidR="00E934CD" w:rsidRPr="00F058DB" w:rsidRDefault="00E934CD" w:rsidP="009F1468">
      <w:pPr>
        <w:pStyle w:val="FootnoteText"/>
        <w:ind w:left="567" w:hanging="567"/>
        <w:rPr>
          <w:sz w:val="24"/>
          <w:szCs w:val="24"/>
          <w:lang w:val="cs-CZ"/>
        </w:rPr>
      </w:pPr>
      <w:r w:rsidRPr="00F058DB">
        <w:rPr>
          <w:rStyle w:val="FootnoteReference"/>
          <w:sz w:val="24"/>
          <w:szCs w:val="24"/>
          <w:lang w:val="cs-CZ"/>
        </w:rPr>
        <w:footnoteRef/>
      </w:r>
      <w:r w:rsidRPr="00F058DB">
        <w:rPr>
          <w:sz w:val="24"/>
          <w:szCs w:val="24"/>
          <w:lang w:val="cs-CZ"/>
        </w:rPr>
        <w:t xml:space="preserve"> </w:t>
      </w:r>
      <w:r w:rsidRPr="00F058DB">
        <w:rPr>
          <w:sz w:val="24"/>
          <w:szCs w:val="24"/>
          <w:lang w:val="cs-CZ"/>
        </w:rPr>
        <w:tab/>
        <w:t>https://europa.eu/eurobarometer/surveys/detail/1091</w:t>
      </w:r>
    </w:p>
  </w:footnote>
  <w:footnote w:id="22">
    <w:p w:rsidR="00E934CD" w:rsidRPr="00F058DB" w:rsidRDefault="00E934CD" w:rsidP="009F1468">
      <w:pPr>
        <w:pStyle w:val="FootnoteText"/>
        <w:ind w:left="567" w:hanging="567"/>
        <w:rPr>
          <w:sz w:val="24"/>
          <w:szCs w:val="24"/>
          <w:lang w:val="cs-CZ"/>
        </w:rPr>
      </w:pPr>
      <w:r w:rsidRPr="00F058DB">
        <w:rPr>
          <w:rStyle w:val="FootnoteReference"/>
          <w:sz w:val="24"/>
          <w:szCs w:val="24"/>
          <w:lang w:val="cs-CZ"/>
        </w:rPr>
        <w:footnoteRef/>
      </w:r>
      <w:r w:rsidRPr="00F058DB">
        <w:rPr>
          <w:sz w:val="24"/>
          <w:szCs w:val="24"/>
          <w:lang w:val="cs-CZ"/>
        </w:rPr>
        <w:t xml:space="preserve"> </w:t>
      </w:r>
      <w:r w:rsidRPr="00F058DB">
        <w:rPr>
          <w:sz w:val="24"/>
          <w:szCs w:val="24"/>
          <w:lang w:val="cs-CZ"/>
        </w:rPr>
        <w:tab/>
        <w:t>Posouzení dopadů připojené k návrhu doporučení Rady o rámci pro kvalitu stáží SWD(2013)0495.</w:t>
      </w:r>
    </w:p>
  </w:footnote>
  <w:footnote w:id="23">
    <w:p w:rsidR="00E934CD" w:rsidRPr="00F058DB" w:rsidRDefault="00E934CD" w:rsidP="009F1468">
      <w:pPr>
        <w:pStyle w:val="FootnoteText"/>
        <w:ind w:left="567" w:hanging="567"/>
        <w:rPr>
          <w:sz w:val="24"/>
          <w:szCs w:val="24"/>
          <w:lang w:val="cs-CZ"/>
        </w:rPr>
      </w:pPr>
      <w:r w:rsidRPr="00F058DB">
        <w:rPr>
          <w:rStyle w:val="FootnoteReference"/>
          <w:sz w:val="24"/>
          <w:szCs w:val="24"/>
          <w:lang w:val="cs-CZ"/>
        </w:rPr>
        <w:footnoteRef/>
      </w:r>
      <w:r w:rsidRPr="00F058DB">
        <w:rPr>
          <w:sz w:val="24"/>
          <w:szCs w:val="24"/>
          <w:lang w:val="cs-CZ"/>
        </w:rPr>
        <w:t xml:space="preserve"> </w:t>
      </w:r>
      <w:r w:rsidRPr="00F058DB">
        <w:rPr>
          <w:sz w:val="24"/>
          <w:szCs w:val="24"/>
          <w:lang w:val="cs-CZ"/>
        </w:rPr>
        <w:tab/>
        <w:t>Tamtéž.</w:t>
      </w:r>
    </w:p>
  </w:footnote>
  <w:footnote w:id="24">
    <w:p w:rsidR="00E934CD" w:rsidRPr="00F058DB" w:rsidRDefault="00E934CD" w:rsidP="009F1468">
      <w:pPr>
        <w:pStyle w:val="FootnoteText"/>
        <w:ind w:left="567" w:hanging="567"/>
        <w:rPr>
          <w:sz w:val="24"/>
          <w:szCs w:val="24"/>
          <w:lang w:val="cs-CZ"/>
        </w:rPr>
      </w:pPr>
      <w:r w:rsidRPr="00F058DB">
        <w:rPr>
          <w:rStyle w:val="FootnoteReference"/>
          <w:sz w:val="24"/>
          <w:szCs w:val="24"/>
          <w:lang w:val="cs-CZ"/>
        </w:rPr>
        <w:footnoteRef/>
      </w:r>
      <w:r w:rsidRPr="00F058DB">
        <w:rPr>
          <w:sz w:val="24"/>
          <w:szCs w:val="24"/>
          <w:lang w:val="cs-CZ"/>
        </w:rPr>
        <w:t xml:space="preserve"> </w:t>
      </w:r>
      <w:r w:rsidRPr="00F058DB">
        <w:rPr>
          <w:sz w:val="24"/>
          <w:szCs w:val="24"/>
          <w:lang w:val="cs-CZ"/>
        </w:rPr>
        <w:tab/>
        <w:t>Tamtéž.</w:t>
      </w:r>
    </w:p>
  </w:footnote>
  <w:footnote w:id="25">
    <w:p w:rsidR="00E934CD" w:rsidRPr="00F058DB" w:rsidRDefault="00E934CD" w:rsidP="009F1468">
      <w:pPr>
        <w:pStyle w:val="FootnoteText"/>
        <w:ind w:left="567" w:hanging="567"/>
        <w:rPr>
          <w:sz w:val="24"/>
          <w:szCs w:val="24"/>
          <w:lang w:val="cs-CZ"/>
        </w:rPr>
      </w:pPr>
      <w:r w:rsidRPr="00F058DB">
        <w:rPr>
          <w:rStyle w:val="FootnoteReference"/>
          <w:sz w:val="24"/>
          <w:szCs w:val="24"/>
          <w:lang w:val="cs-CZ"/>
        </w:rPr>
        <w:footnoteRef/>
      </w:r>
      <w:r w:rsidRPr="00F058DB">
        <w:rPr>
          <w:sz w:val="24"/>
          <w:szCs w:val="24"/>
          <w:lang w:val="cs-CZ"/>
        </w:rPr>
        <w:t xml:space="preserve"> </w:t>
      </w:r>
      <w:r w:rsidRPr="00F058DB">
        <w:rPr>
          <w:sz w:val="24"/>
          <w:szCs w:val="24"/>
          <w:lang w:val="cs-CZ"/>
        </w:rPr>
        <w:tab/>
        <w:t>https://eurlex.europa.eu/legalcontent/CS/TXT/</w:t>
      </w:r>
      <w:r w:rsidRPr="00F058DB">
        <w:rPr>
          <w:sz w:val="24"/>
          <w:szCs w:val="24"/>
          <w:lang w:val="cs-CZ"/>
        </w:rPr>
        <w:br/>
        <w:t>PDF/?</w:t>
      </w:r>
      <w:proofErr w:type="spellStart"/>
      <w:r w:rsidRPr="00F058DB">
        <w:rPr>
          <w:sz w:val="24"/>
          <w:szCs w:val="24"/>
          <w:lang w:val="cs-CZ"/>
        </w:rPr>
        <w:t>uri</w:t>
      </w:r>
      <w:proofErr w:type="spellEnd"/>
      <w:r w:rsidRPr="00F058DB">
        <w:rPr>
          <w:sz w:val="24"/>
          <w:szCs w:val="24"/>
          <w:lang w:val="cs-CZ"/>
        </w:rPr>
        <w:t>=CELEX:32021R1057&amp;from=CS</w:t>
      </w:r>
    </w:p>
  </w:footnote>
  <w:footnote w:id="26">
    <w:p w:rsidR="00E934CD" w:rsidRPr="00F058DB" w:rsidRDefault="00E934CD" w:rsidP="009F1468">
      <w:pPr>
        <w:pStyle w:val="FootnoteText"/>
        <w:ind w:left="567" w:hanging="567"/>
        <w:rPr>
          <w:b/>
          <w:i/>
          <w:sz w:val="24"/>
          <w:szCs w:val="24"/>
          <w:lang w:val="cs-CZ"/>
        </w:rPr>
      </w:pPr>
      <w:r w:rsidRPr="00F058DB">
        <w:rPr>
          <w:rStyle w:val="FootnoteReference"/>
          <w:sz w:val="24"/>
          <w:szCs w:val="24"/>
          <w:lang w:val="cs-CZ"/>
        </w:rPr>
        <w:footnoteRef/>
      </w:r>
      <w:r w:rsidRPr="00F058DB">
        <w:rPr>
          <w:rStyle w:val="highlight-diff1"/>
          <w:sz w:val="24"/>
          <w:szCs w:val="24"/>
          <w:lang w:val="cs-CZ"/>
        </w:rPr>
        <w:t xml:space="preserve"> </w:t>
      </w:r>
      <w:r w:rsidRPr="00F058DB">
        <w:rPr>
          <w:rStyle w:val="highlight-diff1"/>
          <w:b w:val="0"/>
          <w:i w:val="0"/>
          <w:sz w:val="24"/>
          <w:szCs w:val="24"/>
          <w:lang w:val="cs-CZ"/>
        </w:rPr>
        <w:tab/>
        <w:t xml:space="preserve">Článek 21 Listiny základních práv Evropské unie o nediskriminaci, </w:t>
      </w:r>
      <w:r w:rsidRPr="00F058DB">
        <w:rPr>
          <w:sz w:val="24"/>
          <w:szCs w:val="24"/>
          <w:lang w:val="cs-CZ"/>
        </w:rPr>
        <w:t>https://fra.europa.eu/cs/eu-charter/article/21-zakaz-diskriminace</w:t>
      </w:r>
      <w:r w:rsidRPr="00F058DB">
        <w:rPr>
          <w:rStyle w:val="highlight-diff1"/>
          <w:b w:val="0"/>
          <w:i w:val="0"/>
          <w:sz w:val="24"/>
          <w:szCs w:val="24"/>
          <w:lang w:val="cs-CZ"/>
        </w:rPr>
        <w:t>.</w:t>
      </w:r>
    </w:p>
  </w:footnote>
  <w:footnote w:id="27">
    <w:p w:rsidR="00E934CD" w:rsidRPr="00F058DB" w:rsidRDefault="00E934CD" w:rsidP="009F1468">
      <w:pPr>
        <w:pStyle w:val="FootnoteText"/>
        <w:ind w:left="567" w:hanging="567"/>
        <w:rPr>
          <w:b/>
          <w:i/>
          <w:sz w:val="24"/>
          <w:szCs w:val="24"/>
          <w:lang w:val="cs-CZ"/>
        </w:rPr>
      </w:pPr>
      <w:r w:rsidRPr="00F058DB">
        <w:rPr>
          <w:rStyle w:val="FootnoteReference"/>
          <w:sz w:val="24"/>
          <w:szCs w:val="24"/>
          <w:lang w:val="cs-CZ"/>
        </w:rPr>
        <w:footnoteRef/>
      </w:r>
      <w:r w:rsidRPr="00F058DB">
        <w:rPr>
          <w:rStyle w:val="highlight-diff1"/>
          <w:sz w:val="24"/>
          <w:szCs w:val="24"/>
          <w:lang w:val="cs-CZ"/>
        </w:rPr>
        <w:t xml:space="preserve"> </w:t>
      </w:r>
      <w:r w:rsidRPr="00F058DB">
        <w:rPr>
          <w:rStyle w:val="highlight-diff1"/>
          <w:b w:val="0"/>
          <w:i w:val="0"/>
          <w:sz w:val="24"/>
          <w:szCs w:val="24"/>
          <w:lang w:val="cs-CZ"/>
        </w:rPr>
        <w:tab/>
        <w:t>Směrnice Rady 2000/78/ES ze dne 27. listopadu 2000, kterou se stanoví obecný rámec pro rovné zacházení v zaměstnání a povolání (</w:t>
      </w:r>
      <w:proofErr w:type="spellStart"/>
      <w:r w:rsidRPr="00F058DB">
        <w:rPr>
          <w:rStyle w:val="highlight-diff1"/>
          <w:b w:val="0"/>
          <w:i w:val="0"/>
          <w:sz w:val="24"/>
          <w:szCs w:val="24"/>
          <w:lang w:val="cs-CZ"/>
        </w:rPr>
        <w:t>Úř</w:t>
      </w:r>
      <w:proofErr w:type="spellEnd"/>
      <w:r w:rsidRPr="00F058DB">
        <w:rPr>
          <w:rStyle w:val="highlight-diff1"/>
          <w:b w:val="0"/>
          <w:i w:val="0"/>
          <w:sz w:val="24"/>
          <w:szCs w:val="24"/>
          <w:lang w:val="cs-CZ"/>
        </w:rPr>
        <w:t xml:space="preserve">. </w:t>
      </w:r>
      <w:proofErr w:type="spellStart"/>
      <w:proofErr w:type="gramStart"/>
      <w:r w:rsidRPr="00F058DB">
        <w:rPr>
          <w:rStyle w:val="highlight-diff1"/>
          <w:b w:val="0"/>
          <w:i w:val="0"/>
          <w:sz w:val="24"/>
          <w:szCs w:val="24"/>
          <w:lang w:val="cs-CZ"/>
        </w:rPr>
        <w:t>věst</w:t>
      </w:r>
      <w:proofErr w:type="spellEnd"/>
      <w:proofErr w:type="gramEnd"/>
      <w:r w:rsidRPr="00F058DB">
        <w:rPr>
          <w:rStyle w:val="highlight-diff1"/>
          <w:b w:val="0"/>
          <w:i w:val="0"/>
          <w:sz w:val="24"/>
          <w:szCs w:val="24"/>
          <w:lang w:val="cs-CZ"/>
        </w:rPr>
        <w:t xml:space="preserve">. L 303, </w:t>
      </w:r>
      <w:proofErr w:type="gramStart"/>
      <w:r w:rsidRPr="00F058DB">
        <w:rPr>
          <w:rStyle w:val="highlight-diff1"/>
          <w:b w:val="0"/>
          <w:i w:val="0"/>
          <w:sz w:val="24"/>
          <w:szCs w:val="24"/>
          <w:lang w:val="cs-CZ"/>
        </w:rPr>
        <w:t>2.12.2000</w:t>
      </w:r>
      <w:proofErr w:type="gramEnd"/>
      <w:r w:rsidRPr="00F058DB">
        <w:rPr>
          <w:rStyle w:val="highlight-diff1"/>
          <w:b w:val="0"/>
          <w:i w:val="0"/>
          <w:sz w:val="24"/>
          <w:szCs w:val="24"/>
          <w:lang w:val="cs-CZ"/>
        </w:rPr>
        <w:t>, s. 16).</w:t>
      </w:r>
    </w:p>
  </w:footnote>
  <w:footnote w:id="28">
    <w:p w:rsidR="00E934CD" w:rsidRPr="00F058DB" w:rsidRDefault="00E934CD" w:rsidP="00AA2919">
      <w:pPr>
        <w:pStyle w:val="NormalWeb"/>
        <w:shd w:val="clear" w:color="auto" w:fill="FFFFFF"/>
        <w:spacing w:after="105"/>
        <w:ind w:left="567" w:hanging="567"/>
      </w:pPr>
      <w:r w:rsidRPr="00F058DB">
        <w:rPr>
          <w:rStyle w:val="FootnoteReference"/>
        </w:rPr>
        <w:footnoteRef/>
      </w:r>
      <w:r w:rsidRPr="00F058DB">
        <w:t xml:space="preserve"> </w:t>
      </w:r>
      <w:r w:rsidRPr="00F058DB">
        <w:tab/>
      </w:r>
      <w:r w:rsidR="00F058DB" w:rsidRPr="00F058DB">
        <w:t>https://ec.europa.eu/eurostat/statistics-explained/index.php?title=Statistics</w:t>
      </w:r>
      <w:r w:rsidR="00F058DB">
        <w:br/>
      </w:r>
      <w:r w:rsidRPr="00F058DB">
        <w:t>_on_young_people_neither_in_employment_nor_in_education_or_training#To_what_extent_are_young_adults_neither_in_employment_nor_in_education_or_training.3F_The_transition_from_education_to_work</w:t>
      </w:r>
    </w:p>
  </w:footnote>
  <w:footnote w:id="29">
    <w:p w:rsidR="00E934CD" w:rsidRPr="00F058DB" w:rsidRDefault="00E934CD" w:rsidP="00C813FE">
      <w:pPr>
        <w:pStyle w:val="FootnoteText"/>
        <w:ind w:left="567" w:hanging="567"/>
        <w:rPr>
          <w:sz w:val="24"/>
          <w:szCs w:val="24"/>
          <w:lang w:val="cs-CZ"/>
        </w:rPr>
      </w:pPr>
      <w:r w:rsidRPr="00F058DB">
        <w:rPr>
          <w:rStyle w:val="FootnoteReference"/>
          <w:sz w:val="24"/>
          <w:szCs w:val="24"/>
        </w:rPr>
        <w:footnoteRef/>
      </w:r>
      <w:r w:rsidRPr="00F058DB">
        <w:rPr>
          <w:sz w:val="24"/>
          <w:szCs w:val="24"/>
          <w:lang w:val="cs-CZ"/>
        </w:rPr>
        <w:t xml:space="preserve"> </w:t>
      </w:r>
      <w:r w:rsidRPr="00F058DB">
        <w:rPr>
          <w:sz w:val="24"/>
          <w:szCs w:val="24"/>
          <w:lang w:val="cs-CZ"/>
        </w:rPr>
        <w:tab/>
        <w:t>Směrnice Evropského parlamentu a Rady (EU) 2022/2041 ze dne 19. října 2022 o přiměřených minimálních mzdách v Evropské unii (</w:t>
      </w:r>
      <w:proofErr w:type="spellStart"/>
      <w:r w:rsidRPr="00F058DB">
        <w:rPr>
          <w:sz w:val="24"/>
          <w:szCs w:val="24"/>
          <w:lang w:val="cs-CZ"/>
        </w:rPr>
        <w:t>Úř</w:t>
      </w:r>
      <w:proofErr w:type="spellEnd"/>
      <w:r w:rsidRPr="00F058DB">
        <w:rPr>
          <w:sz w:val="24"/>
          <w:szCs w:val="24"/>
          <w:lang w:val="cs-CZ"/>
        </w:rPr>
        <w:t xml:space="preserve">. </w:t>
      </w:r>
      <w:proofErr w:type="spellStart"/>
      <w:proofErr w:type="gramStart"/>
      <w:r w:rsidRPr="00F058DB">
        <w:rPr>
          <w:sz w:val="24"/>
          <w:szCs w:val="24"/>
          <w:lang w:val="cs-CZ"/>
        </w:rPr>
        <w:t>věst</w:t>
      </w:r>
      <w:proofErr w:type="spellEnd"/>
      <w:proofErr w:type="gramEnd"/>
      <w:r w:rsidRPr="00F058DB">
        <w:rPr>
          <w:sz w:val="24"/>
          <w:szCs w:val="24"/>
          <w:lang w:val="cs-CZ"/>
        </w:rPr>
        <w:t xml:space="preserve">. L 275, </w:t>
      </w:r>
      <w:proofErr w:type="gramStart"/>
      <w:r w:rsidRPr="00F058DB">
        <w:rPr>
          <w:sz w:val="24"/>
          <w:szCs w:val="24"/>
          <w:lang w:val="cs-CZ"/>
        </w:rPr>
        <w:t>25.10.2022</w:t>
      </w:r>
      <w:proofErr w:type="gramEnd"/>
      <w:r w:rsidRPr="00F058DB">
        <w:rPr>
          <w:sz w:val="24"/>
          <w:szCs w:val="24"/>
          <w:lang w:val="cs-CZ"/>
        </w:rPr>
        <w:t>, s. 33).</w:t>
      </w:r>
    </w:p>
  </w:footnote>
  <w:footnote w:id="30">
    <w:p w:rsidR="00E934CD" w:rsidRPr="00F058DB" w:rsidRDefault="00E934CD" w:rsidP="00C813FE">
      <w:pPr>
        <w:pStyle w:val="FootnoteText"/>
        <w:ind w:left="567" w:hanging="567"/>
        <w:rPr>
          <w:sz w:val="24"/>
          <w:szCs w:val="24"/>
          <w:lang w:val="cs-CZ"/>
        </w:rPr>
      </w:pPr>
      <w:r w:rsidRPr="00F058DB">
        <w:rPr>
          <w:rStyle w:val="FootnoteReference"/>
          <w:sz w:val="24"/>
          <w:szCs w:val="24"/>
        </w:rPr>
        <w:footnoteRef/>
      </w:r>
      <w:r w:rsidRPr="00F058DB">
        <w:rPr>
          <w:sz w:val="24"/>
          <w:szCs w:val="24"/>
          <w:lang w:val="cs-CZ"/>
        </w:rPr>
        <w:t xml:space="preserve"> </w:t>
      </w:r>
      <w:r w:rsidRPr="00F058DB">
        <w:rPr>
          <w:sz w:val="24"/>
          <w:szCs w:val="24"/>
          <w:lang w:val="cs-CZ"/>
        </w:rPr>
        <w:tab/>
        <w:t>Směrnice Evropského parlamentu a Rady 2003/88/ES ze dne 4. listopadu 2003 o některých aspektech úpravy pracovní doby (</w:t>
      </w:r>
      <w:proofErr w:type="spellStart"/>
      <w:r w:rsidRPr="00F058DB">
        <w:rPr>
          <w:sz w:val="24"/>
          <w:szCs w:val="24"/>
          <w:lang w:val="cs-CZ"/>
        </w:rPr>
        <w:t>Úř</w:t>
      </w:r>
      <w:proofErr w:type="spellEnd"/>
      <w:r w:rsidRPr="00F058DB">
        <w:rPr>
          <w:sz w:val="24"/>
          <w:szCs w:val="24"/>
          <w:lang w:val="cs-CZ"/>
        </w:rPr>
        <w:t xml:space="preserve">. </w:t>
      </w:r>
      <w:proofErr w:type="spellStart"/>
      <w:proofErr w:type="gramStart"/>
      <w:r w:rsidRPr="00F058DB">
        <w:rPr>
          <w:sz w:val="24"/>
          <w:szCs w:val="24"/>
          <w:lang w:val="cs-CZ"/>
        </w:rPr>
        <w:t>věst</w:t>
      </w:r>
      <w:proofErr w:type="spellEnd"/>
      <w:proofErr w:type="gramEnd"/>
      <w:r w:rsidRPr="00F058DB">
        <w:rPr>
          <w:sz w:val="24"/>
          <w:szCs w:val="24"/>
          <w:lang w:val="cs-CZ"/>
        </w:rPr>
        <w:t xml:space="preserve">. L 299, </w:t>
      </w:r>
      <w:proofErr w:type="gramStart"/>
      <w:r w:rsidRPr="00F058DB">
        <w:rPr>
          <w:sz w:val="24"/>
          <w:szCs w:val="24"/>
          <w:lang w:val="cs-CZ"/>
        </w:rPr>
        <w:t>18.11.2003</w:t>
      </w:r>
      <w:proofErr w:type="gramEnd"/>
      <w:r w:rsidRPr="00F058DB">
        <w:rPr>
          <w:sz w:val="24"/>
          <w:szCs w:val="24"/>
          <w:lang w:val="cs-CZ"/>
        </w:rPr>
        <w:t>, s. 9).</w:t>
      </w:r>
    </w:p>
  </w:footnote>
  <w:footnote w:id="31">
    <w:p w:rsidR="00E934CD" w:rsidRPr="00F058DB" w:rsidRDefault="00E934CD" w:rsidP="00C813FE">
      <w:pPr>
        <w:pStyle w:val="FootnoteText"/>
        <w:ind w:left="567" w:hanging="567"/>
        <w:rPr>
          <w:sz w:val="24"/>
          <w:szCs w:val="24"/>
          <w:lang w:val="cs-CZ"/>
        </w:rPr>
      </w:pPr>
      <w:r w:rsidRPr="00F058DB">
        <w:rPr>
          <w:rStyle w:val="FootnoteReference"/>
          <w:sz w:val="24"/>
          <w:szCs w:val="24"/>
        </w:rPr>
        <w:footnoteRef/>
      </w:r>
      <w:r w:rsidRPr="00F058DB">
        <w:rPr>
          <w:sz w:val="24"/>
          <w:szCs w:val="24"/>
          <w:lang w:val="cs-CZ"/>
        </w:rPr>
        <w:t xml:space="preserve"> </w:t>
      </w:r>
      <w:r w:rsidRPr="00F058DB">
        <w:rPr>
          <w:sz w:val="24"/>
          <w:szCs w:val="24"/>
          <w:lang w:val="cs-CZ"/>
        </w:rPr>
        <w:tab/>
        <w:t>Směrnice Evropského parlamentu a Rady (EU) 2019/1152 ze dne 20. června 2019 o transparentních a předvídatelných pracovních podmínkách v Evropské unii (</w:t>
      </w:r>
      <w:proofErr w:type="spellStart"/>
      <w:r w:rsidRPr="00F058DB">
        <w:rPr>
          <w:sz w:val="24"/>
          <w:szCs w:val="24"/>
          <w:lang w:val="cs-CZ"/>
        </w:rPr>
        <w:t>Úř</w:t>
      </w:r>
      <w:proofErr w:type="spellEnd"/>
      <w:r w:rsidRPr="00F058DB">
        <w:rPr>
          <w:sz w:val="24"/>
          <w:szCs w:val="24"/>
          <w:lang w:val="cs-CZ"/>
        </w:rPr>
        <w:t xml:space="preserve">. </w:t>
      </w:r>
      <w:proofErr w:type="spellStart"/>
      <w:proofErr w:type="gramStart"/>
      <w:r w:rsidRPr="00F058DB">
        <w:rPr>
          <w:sz w:val="24"/>
          <w:szCs w:val="24"/>
          <w:lang w:val="cs-CZ"/>
        </w:rPr>
        <w:t>věst</w:t>
      </w:r>
      <w:proofErr w:type="spellEnd"/>
      <w:proofErr w:type="gramEnd"/>
      <w:r w:rsidRPr="00F058DB">
        <w:rPr>
          <w:sz w:val="24"/>
          <w:szCs w:val="24"/>
          <w:lang w:val="cs-CZ"/>
        </w:rPr>
        <w:t xml:space="preserve">. L 186, </w:t>
      </w:r>
      <w:proofErr w:type="gramStart"/>
      <w:r w:rsidRPr="00F058DB">
        <w:rPr>
          <w:sz w:val="24"/>
          <w:szCs w:val="24"/>
          <w:lang w:val="cs-CZ"/>
        </w:rPr>
        <w:t>11.7.2019</w:t>
      </w:r>
      <w:proofErr w:type="gramEnd"/>
      <w:r w:rsidRPr="00F058DB">
        <w:rPr>
          <w:sz w:val="24"/>
          <w:szCs w:val="24"/>
          <w:lang w:val="cs-CZ"/>
        </w:rPr>
        <w:t>, s. 105).</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34CD" w:rsidRPr="009F1468" w:rsidRDefault="00E934CD"/>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34CD" w:rsidRPr="009F1468" w:rsidRDefault="00E934CD"/>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34CD" w:rsidRPr="009F1468" w:rsidRDefault="00E934CD"/>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B22A8A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C0EE6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FB40F5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F525D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730919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026A28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CDC9AF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E120C2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92AAA7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B4278A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3C6E60"/>
    <w:multiLevelType w:val="multilevel"/>
    <w:tmpl w:val="BC64E536"/>
    <w:lvl w:ilvl="0">
      <w:start w:val="1"/>
      <w:numFmt w:val="decimal"/>
      <w:lvlText w:val="%1."/>
      <w:lvlJc w:val="left"/>
      <w:pPr>
        <w:tabs>
          <w:tab w:val="num" w:pos="360"/>
        </w:tabs>
        <w:ind w:left="360" w:hanging="360"/>
      </w:pPr>
    </w:lvl>
    <w:lvl w:ilvl="1">
      <w:start w:val="1"/>
      <w:numFmt w:val="decimal"/>
      <w:pStyle w:val="Heading2"/>
      <w:lvlText w:val="%1.%2."/>
      <w:lvlJc w:val="left"/>
      <w:pPr>
        <w:tabs>
          <w:tab w:val="num" w:pos="792"/>
        </w:tabs>
        <w:ind w:left="792" w:hanging="792"/>
      </w:pPr>
    </w:lvl>
    <w:lvl w:ilvl="2">
      <w:start w:val="1"/>
      <w:numFmt w:val="decimal"/>
      <w:pStyle w:val="Heading3"/>
      <w:lvlText w:val="%1.%2.%3."/>
      <w:lvlJc w:val="left"/>
      <w:pPr>
        <w:tabs>
          <w:tab w:val="num" w:pos="1224"/>
        </w:tabs>
        <w:ind w:left="1224" w:hanging="1224"/>
      </w:pPr>
    </w:lvl>
    <w:lvl w:ilvl="3">
      <w:start w:val="1"/>
      <w:numFmt w:val="decimal"/>
      <w:pStyle w:val="Heading4"/>
      <w:lvlText w:val="%1.%2.%3.%4."/>
      <w:lvlJc w:val="left"/>
      <w:pPr>
        <w:tabs>
          <w:tab w:val="num" w:pos="1728"/>
        </w:tabs>
        <w:ind w:left="1728" w:hanging="1728"/>
      </w:pPr>
    </w:lvl>
    <w:lvl w:ilvl="4">
      <w:start w:val="1"/>
      <w:numFmt w:val="decimal"/>
      <w:lvlText w:val="%1.%2.%3.%4.%5."/>
      <w:lvlJc w:val="left"/>
      <w:pPr>
        <w:tabs>
          <w:tab w:val="num" w:pos="2232"/>
        </w:tabs>
        <w:ind w:left="2232" w:hanging="2232"/>
      </w:pPr>
    </w:lvl>
    <w:lvl w:ilvl="5">
      <w:start w:val="1"/>
      <w:numFmt w:val="decimal"/>
      <w:lvlText w:val="%1.%2.%3.%4.%5.%6."/>
      <w:lvlJc w:val="left"/>
      <w:pPr>
        <w:tabs>
          <w:tab w:val="num" w:pos="2736"/>
        </w:tabs>
        <w:ind w:left="2736" w:hanging="2736"/>
      </w:pPr>
    </w:lvl>
    <w:lvl w:ilvl="6">
      <w:start w:val="1"/>
      <w:numFmt w:val="decimal"/>
      <w:lvlText w:val="%1.%2.%3.%4.%5.%6.%7."/>
      <w:lvlJc w:val="left"/>
      <w:pPr>
        <w:tabs>
          <w:tab w:val="num" w:pos="3240"/>
        </w:tabs>
        <w:ind w:left="3240" w:hanging="3240"/>
      </w:pPr>
    </w:lvl>
    <w:lvl w:ilvl="7">
      <w:start w:val="1"/>
      <w:numFmt w:val="decimal"/>
      <w:lvlText w:val="%1.%2.%3.%4.%5.%6.%7.%8."/>
      <w:lvlJc w:val="left"/>
      <w:pPr>
        <w:tabs>
          <w:tab w:val="num" w:pos="3744"/>
        </w:tabs>
        <w:ind w:left="3744" w:hanging="3744"/>
      </w:pPr>
    </w:lvl>
    <w:lvl w:ilvl="8">
      <w:start w:val="1"/>
      <w:numFmt w:val="decimal"/>
      <w:lvlText w:val="%1.%2.%3.%4.%5.%6.%7.%8.%9."/>
      <w:lvlJc w:val="left"/>
      <w:pPr>
        <w:tabs>
          <w:tab w:val="num" w:pos="4320"/>
        </w:tabs>
        <w:ind w:left="4320" w:hanging="4320"/>
      </w:pPr>
    </w:lvl>
  </w:abstractNum>
  <w:abstractNum w:abstractNumId="11" w15:restartNumberingAfterBreak="0">
    <w:nsid w:val="39692AE2"/>
    <w:multiLevelType w:val="multilevel"/>
    <w:tmpl w:val="975EA0B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792"/>
      </w:pPr>
    </w:lvl>
    <w:lvl w:ilvl="2">
      <w:start w:val="1"/>
      <w:numFmt w:val="decimal"/>
      <w:lvlText w:val="%1.%2.%3."/>
      <w:lvlJc w:val="left"/>
      <w:pPr>
        <w:tabs>
          <w:tab w:val="num" w:pos="1224"/>
        </w:tabs>
        <w:ind w:left="1224" w:hanging="1224"/>
      </w:pPr>
    </w:lvl>
    <w:lvl w:ilvl="3">
      <w:start w:val="1"/>
      <w:numFmt w:val="decimal"/>
      <w:lvlText w:val="%1.%2.%3.%4."/>
      <w:lvlJc w:val="left"/>
      <w:pPr>
        <w:tabs>
          <w:tab w:val="num" w:pos="1728"/>
        </w:tabs>
        <w:ind w:left="1728" w:hanging="1728"/>
      </w:pPr>
    </w:lvl>
    <w:lvl w:ilvl="4">
      <w:start w:val="1"/>
      <w:numFmt w:val="decimal"/>
      <w:pStyle w:val="Heading5"/>
      <w:lvlText w:val="%1.%2.%3.%4.%5."/>
      <w:lvlJc w:val="left"/>
      <w:pPr>
        <w:tabs>
          <w:tab w:val="num" w:pos="2232"/>
        </w:tabs>
        <w:ind w:left="2232" w:hanging="2232"/>
      </w:pPr>
    </w:lvl>
    <w:lvl w:ilvl="5">
      <w:start w:val="1"/>
      <w:numFmt w:val="decimal"/>
      <w:lvlText w:val="%1.%2.%3.%4.%5.%6."/>
      <w:lvlJc w:val="left"/>
      <w:pPr>
        <w:tabs>
          <w:tab w:val="num" w:pos="2736"/>
        </w:tabs>
        <w:ind w:left="2736" w:hanging="2736"/>
      </w:pPr>
    </w:lvl>
    <w:lvl w:ilvl="6">
      <w:start w:val="1"/>
      <w:numFmt w:val="decimal"/>
      <w:lvlText w:val="%1.%2.%3.%4.%5.%6.%7."/>
      <w:lvlJc w:val="left"/>
      <w:pPr>
        <w:tabs>
          <w:tab w:val="num" w:pos="3240"/>
        </w:tabs>
        <w:ind w:left="3240" w:hanging="3240"/>
      </w:pPr>
    </w:lvl>
    <w:lvl w:ilvl="7">
      <w:start w:val="1"/>
      <w:numFmt w:val="decimal"/>
      <w:lvlText w:val="%1.%2.%3.%4.%5.%6.%7.%8."/>
      <w:lvlJc w:val="left"/>
      <w:pPr>
        <w:tabs>
          <w:tab w:val="num" w:pos="3744"/>
        </w:tabs>
        <w:ind w:left="3744" w:hanging="3744"/>
      </w:pPr>
    </w:lvl>
    <w:lvl w:ilvl="8">
      <w:start w:val="1"/>
      <w:numFmt w:val="decimal"/>
      <w:lvlText w:val="%1.%2.%3.%4.%5.%6.%7.%8.%9."/>
      <w:lvlJc w:val="left"/>
      <w:pPr>
        <w:tabs>
          <w:tab w:val="num" w:pos="4320"/>
        </w:tabs>
        <w:ind w:left="4320" w:hanging="4320"/>
      </w:pPr>
    </w:lvl>
  </w:abstractNum>
  <w:num w:numId="1">
    <w:abstractNumId w:val="9"/>
  </w:num>
  <w:num w:numId="2">
    <w:abstractNumId w:val="9"/>
  </w:num>
  <w:num w:numId="3">
    <w:abstractNumId w:val="7"/>
  </w:num>
  <w:num w:numId="4">
    <w:abstractNumId w:val="7"/>
  </w:num>
  <w:num w:numId="5">
    <w:abstractNumId w:val="6"/>
  </w:num>
  <w:num w:numId="6">
    <w:abstractNumId w:val="6"/>
  </w:num>
  <w:num w:numId="7">
    <w:abstractNumId w:val="5"/>
  </w:num>
  <w:num w:numId="8">
    <w:abstractNumId w:val="5"/>
  </w:num>
  <w:num w:numId="9">
    <w:abstractNumId w:val="4"/>
  </w:num>
  <w:num w:numId="10">
    <w:abstractNumId w:val="4"/>
  </w:num>
  <w:num w:numId="11">
    <w:abstractNumId w:val="8"/>
  </w:num>
  <w:num w:numId="12">
    <w:abstractNumId w:val="8"/>
  </w:num>
  <w:num w:numId="13">
    <w:abstractNumId w:val="3"/>
  </w:num>
  <w:num w:numId="14">
    <w:abstractNumId w:val="3"/>
  </w:num>
  <w:num w:numId="15">
    <w:abstractNumId w:val="2"/>
  </w:num>
  <w:num w:numId="16">
    <w:abstractNumId w:val="2"/>
  </w:num>
  <w:num w:numId="17">
    <w:abstractNumId w:val="1"/>
  </w:num>
  <w:num w:numId="18">
    <w:abstractNumId w:val="1"/>
  </w:num>
  <w:num w:numId="19">
    <w:abstractNumId w:val="0"/>
  </w:num>
  <w:num w:numId="20">
    <w:abstractNumId w:val="0"/>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9"/>
  </w:num>
  <w:num w:numId="32">
    <w:abstractNumId w:val="7"/>
  </w:num>
  <w:num w:numId="33">
    <w:abstractNumId w:val="6"/>
  </w:num>
  <w:num w:numId="34">
    <w:abstractNumId w:val="5"/>
  </w:num>
  <w:num w:numId="35">
    <w:abstractNumId w:val="4"/>
  </w:num>
  <w:num w:numId="36">
    <w:abstractNumId w:val="8"/>
  </w:num>
  <w:num w:numId="37">
    <w:abstractNumId w:val="3"/>
  </w:num>
  <w:num w:numId="38">
    <w:abstractNumId w:val="2"/>
  </w:num>
  <w:num w:numId="39">
    <w:abstractNumId w:val="1"/>
  </w:num>
  <w:num w:numId="40">
    <w:abstractNumId w:val="0"/>
  </w:num>
  <w:num w:numId="41">
    <w:abstractNumId w:val="10"/>
  </w:num>
  <w:num w:numId="42">
    <w:abstractNumId w:val="10"/>
  </w:num>
  <w:num w:numId="43">
    <w:abstractNumId w:val="10"/>
  </w:num>
  <w:num w:numId="4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vdocse" w:val="A9-0186/2023"/>
    <w:docVar w:name="dvlangue" w:val="CS"/>
    <w:docVar w:name="dvnumam" w:val="0"/>
    <w:docVar w:name="dvpe" w:val="739.586"/>
    <w:docVar w:name="dvrapporteur" w:val="Zpravodajka: "/>
    <w:docVar w:name="dvtitre" w:val="Usnesení Evropského parlamentu ze dne.... 2023 obsahující doporučení Komisi o kvalitních stážích v Unii(2020/2005(INL))"/>
  </w:docVars>
  <w:rsids>
    <w:rsidRoot w:val="00AA03E8"/>
    <w:rsid w:val="00001C9E"/>
    <w:rsid w:val="00002272"/>
    <w:rsid w:val="00042CF3"/>
    <w:rsid w:val="00064002"/>
    <w:rsid w:val="000677B9"/>
    <w:rsid w:val="000831BA"/>
    <w:rsid w:val="000918D9"/>
    <w:rsid w:val="000A42CC"/>
    <w:rsid w:val="000E011A"/>
    <w:rsid w:val="000E7DD9"/>
    <w:rsid w:val="0010095E"/>
    <w:rsid w:val="00125B37"/>
    <w:rsid w:val="00182BC7"/>
    <w:rsid w:val="00187494"/>
    <w:rsid w:val="001F32AE"/>
    <w:rsid w:val="002767FF"/>
    <w:rsid w:val="002B18FE"/>
    <w:rsid w:val="002B5493"/>
    <w:rsid w:val="00343214"/>
    <w:rsid w:val="00361C00"/>
    <w:rsid w:val="00395FA1"/>
    <w:rsid w:val="003E15D4"/>
    <w:rsid w:val="00411CCE"/>
    <w:rsid w:val="0041666E"/>
    <w:rsid w:val="00421060"/>
    <w:rsid w:val="00471C19"/>
    <w:rsid w:val="004807E5"/>
    <w:rsid w:val="004867E3"/>
    <w:rsid w:val="00494A28"/>
    <w:rsid w:val="004C0004"/>
    <w:rsid w:val="004C5D52"/>
    <w:rsid w:val="0050519A"/>
    <w:rsid w:val="005072A1"/>
    <w:rsid w:val="00514517"/>
    <w:rsid w:val="00545827"/>
    <w:rsid w:val="00560270"/>
    <w:rsid w:val="00590433"/>
    <w:rsid w:val="005C2568"/>
    <w:rsid w:val="005F2EEC"/>
    <w:rsid w:val="006037C0"/>
    <w:rsid w:val="006631B6"/>
    <w:rsid w:val="00680577"/>
    <w:rsid w:val="006F74FA"/>
    <w:rsid w:val="00731ADD"/>
    <w:rsid w:val="00734777"/>
    <w:rsid w:val="00747932"/>
    <w:rsid w:val="00751A4A"/>
    <w:rsid w:val="00756632"/>
    <w:rsid w:val="00762C74"/>
    <w:rsid w:val="00786EC0"/>
    <w:rsid w:val="007D1690"/>
    <w:rsid w:val="007E22AD"/>
    <w:rsid w:val="00817416"/>
    <w:rsid w:val="00842779"/>
    <w:rsid w:val="00865F67"/>
    <w:rsid w:val="00881A7B"/>
    <w:rsid w:val="008840E5"/>
    <w:rsid w:val="00887B3E"/>
    <w:rsid w:val="008C2AC6"/>
    <w:rsid w:val="008D44C1"/>
    <w:rsid w:val="00930C23"/>
    <w:rsid w:val="0093193B"/>
    <w:rsid w:val="009509D8"/>
    <w:rsid w:val="00950B64"/>
    <w:rsid w:val="00950C91"/>
    <w:rsid w:val="00966542"/>
    <w:rsid w:val="00981893"/>
    <w:rsid w:val="009F1468"/>
    <w:rsid w:val="00A1687D"/>
    <w:rsid w:val="00A43E52"/>
    <w:rsid w:val="00A4678D"/>
    <w:rsid w:val="00A653DF"/>
    <w:rsid w:val="00A778C7"/>
    <w:rsid w:val="00AA03E8"/>
    <w:rsid w:val="00AA2919"/>
    <w:rsid w:val="00AB441E"/>
    <w:rsid w:val="00AB6293"/>
    <w:rsid w:val="00AE0928"/>
    <w:rsid w:val="00AE4EE0"/>
    <w:rsid w:val="00AE54C6"/>
    <w:rsid w:val="00AF3B82"/>
    <w:rsid w:val="00B12E95"/>
    <w:rsid w:val="00B22876"/>
    <w:rsid w:val="00B558F0"/>
    <w:rsid w:val="00B74A9E"/>
    <w:rsid w:val="00B936A5"/>
    <w:rsid w:val="00B949D5"/>
    <w:rsid w:val="00BD48FE"/>
    <w:rsid w:val="00BD7BD8"/>
    <w:rsid w:val="00BE6ADC"/>
    <w:rsid w:val="00C05BFE"/>
    <w:rsid w:val="00C23CD4"/>
    <w:rsid w:val="00C537FB"/>
    <w:rsid w:val="00C61C0C"/>
    <w:rsid w:val="00C813FE"/>
    <w:rsid w:val="00C941CB"/>
    <w:rsid w:val="00CA5A2F"/>
    <w:rsid w:val="00CC2357"/>
    <w:rsid w:val="00CE0579"/>
    <w:rsid w:val="00CF071A"/>
    <w:rsid w:val="00D058B8"/>
    <w:rsid w:val="00D56C11"/>
    <w:rsid w:val="00D834A0"/>
    <w:rsid w:val="00D872DF"/>
    <w:rsid w:val="00D91E21"/>
    <w:rsid w:val="00DA7FCD"/>
    <w:rsid w:val="00DD020E"/>
    <w:rsid w:val="00DF4529"/>
    <w:rsid w:val="00E365E1"/>
    <w:rsid w:val="00E820A4"/>
    <w:rsid w:val="00E934CD"/>
    <w:rsid w:val="00EB006A"/>
    <w:rsid w:val="00EB4772"/>
    <w:rsid w:val="00ED169E"/>
    <w:rsid w:val="00ED4235"/>
    <w:rsid w:val="00F04346"/>
    <w:rsid w:val="00F058DB"/>
    <w:rsid w:val="00F075DC"/>
    <w:rsid w:val="00F149E9"/>
    <w:rsid w:val="00F5134D"/>
    <w:rsid w:val="00F5511C"/>
    <w:rsid w:val="00F74202"/>
    <w:rsid w:val="00F87713"/>
    <w:rsid w:val="00FB4360"/>
    <w:rsid w:val="00FD0C70"/>
  </w:rsids>
  <m:mathPr>
    <m:mathFont m:val="Cambria Math"/>
    <m:brkBin m:val="before"/>
    <m:brkBinSub m:val="--"/>
    <m:smallFrac m:val="0"/>
    <m:dispDef/>
    <m:lMargin m:val="0"/>
    <m:rMargin m:val="0"/>
    <m:defJc m:val="centerGroup"/>
    <m:wrapIndent m:val="1440"/>
    <m:intLim m:val="subSup"/>
    <m:naryLim m:val="undOvr"/>
  </m:mathPr>
  <w:themeFontLang w:val="en-GB"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54748B"/>
  <w15:chartTrackingRefBased/>
  <w15:docId w15:val="{5182DFFE-4EC0-4B53-BA1E-6895ABC20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7FCD"/>
    <w:pPr>
      <w:widowControl w:val="0"/>
    </w:pPr>
    <w:rPr>
      <w:sz w:val="24"/>
      <w:lang w:val="cs-CZ"/>
    </w:rPr>
  </w:style>
  <w:style w:type="paragraph" w:styleId="Heading1">
    <w:name w:val="heading 1"/>
    <w:basedOn w:val="Normal"/>
    <w:next w:val="Normal"/>
    <w:semiHidden/>
    <w:qFormat/>
    <w:rsid w:val="00395FA1"/>
    <w:pPr>
      <w:keepNext/>
      <w:keepLines/>
      <w:widowControl/>
      <w:spacing w:after="120"/>
      <w:ind w:left="510" w:hanging="510"/>
      <w:outlineLvl w:val="0"/>
    </w:pPr>
    <w:rPr>
      <w:b/>
      <w:kern w:val="28"/>
      <w:sz w:val="28"/>
      <w:lang w:val="fr-FR" w:eastAsia="fr-FR"/>
    </w:rPr>
  </w:style>
  <w:style w:type="paragraph" w:styleId="Heading2">
    <w:name w:val="heading 2"/>
    <w:basedOn w:val="Normal"/>
    <w:next w:val="Normal"/>
    <w:semiHidden/>
    <w:qFormat/>
    <w:rsid w:val="00395FA1"/>
    <w:pPr>
      <w:keepNext/>
      <w:widowControl/>
      <w:numPr>
        <w:ilvl w:val="1"/>
        <w:numId w:val="43"/>
      </w:numPr>
      <w:spacing w:before="240" w:after="60"/>
      <w:outlineLvl w:val="1"/>
    </w:pPr>
    <w:rPr>
      <w:lang w:val="fr-FR" w:eastAsia="fr-FR"/>
    </w:rPr>
  </w:style>
  <w:style w:type="paragraph" w:styleId="Heading3">
    <w:name w:val="heading 3"/>
    <w:basedOn w:val="Normal"/>
    <w:next w:val="Normal"/>
    <w:semiHidden/>
    <w:qFormat/>
    <w:rsid w:val="00395FA1"/>
    <w:pPr>
      <w:keepNext/>
      <w:widowControl/>
      <w:numPr>
        <w:ilvl w:val="2"/>
        <w:numId w:val="43"/>
      </w:numPr>
      <w:spacing w:before="240" w:after="60"/>
      <w:outlineLvl w:val="2"/>
    </w:pPr>
    <w:rPr>
      <w:rFonts w:ascii="Arial" w:hAnsi="Arial"/>
      <w:lang w:val="fr-FR" w:eastAsia="fr-FR"/>
    </w:rPr>
  </w:style>
  <w:style w:type="paragraph" w:styleId="Heading4">
    <w:name w:val="heading 4"/>
    <w:basedOn w:val="Normal"/>
    <w:next w:val="Normal"/>
    <w:semiHidden/>
    <w:qFormat/>
    <w:rsid w:val="00395FA1"/>
    <w:pPr>
      <w:keepNext/>
      <w:widowControl/>
      <w:numPr>
        <w:ilvl w:val="3"/>
        <w:numId w:val="43"/>
      </w:numPr>
      <w:spacing w:before="240" w:after="60"/>
      <w:outlineLvl w:val="3"/>
    </w:pPr>
    <w:rPr>
      <w:lang w:val="en-US" w:eastAsia="fr-FR"/>
    </w:rPr>
  </w:style>
  <w:style w:type="paragraph" w:styleId="Heading5">
    <w:name w:val="heading 5"/>
    <w:basedOn w:val="Normal"/>
    <w:next w:val="Normal"/>
    <w:semiHidden/>
    <w:qFormat/>
    <w:rsid w:val="00395FA1"/>
    <w:pPr>
      <w:widowControl/>
      <w:numPr>
        <w:ilvl w:val="4"/>
        <w:numId w:val="44"/>
      </w:numPr>
      <w:spacing w:before="240" w:after="60"/>
      <w:outlineLvl w:val="4"/>
    </w:pPr>
    <w:rPr>
      <w:lang w:val="en-US" w:eastAsia="fr-FR"/>
    </w:rPr>
  </w:style>
  <w:style w:type="paragraph" w:styleId="Heading6">
    <w:name w:val="heading 6"/>
    <w:basedOn w:val="Normal"/>
    <w:next w:val="Normal"/>
    <w:semiHidden/>
    <w:qFormat/>
    <w:pPr>
      <w:spacing w:before="240" w:after="60"/>
      <w:outlineLvl w:val="5"/>
    </w:pPr>
    <w:rPr>
      <w:i/>
      <w:sz w:val="22"/>
    </w:rPr>
  </w:style>
  <w:style w:type="paragraph" w:styleId="Heading7">
    <w:name w:val="heading 7"/>
    <w:basedOn w:val="Normal"/>
    <w:next w:val="Normal"/>
    <w:semiHidden/>
    <w:qFormat/>
    <w:pPr>
      <w:spacing w:before="240" w:after="60"/>
      <w:outlineLvl w:val="6"/>
    </w:pPr>
    <w:rPr>
      <w:rFonts w:ascii="Arial" w:hAnsi="Arial"/>
    </w:rPr>
  </w:style>
  <w:style w:type="paragraph" w:styleId="Heading8">
    <w:name w:val="heading 8"/>
    <w:basedOn w:val="Normal"/>
    <w:next w:val="Normal"/>
    <w:semiHidden/>
    <w:qFormat/>
    <w:pPr>
      <w:spacing w:before="240" w:after="60"/>
      <w:outlineLvl w:val="7"/>
    </w:pPr>
    <w:rPr>
      <w:rFonts w:ascii="Arial" w:hAnsi="Arial"/>
      <w:i/>
    </w:rPr>
  </w:style>
  <w:style w:type="paragraph" w:styleId="Heading9">
    <w:name w:val="heading 9"/>
    <w:basedOn w:val="Normal"/>
    <w:next w:val="Normal"/>
    <w:semiHidden/>
    <w:qFormat/>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ideTWBExt">
    <w:name w:val="HideTWBExt"/>
    <w:rPr>
      <w:rFonts w:ascii="Arial" w:hAnsi="Arial"/>
      <w:noProof/>
      <w:vanish/>
      <w:color w:val="000080"/>
      <w:sz w:val="20"/>
    </w:rPr>
  </w:style>
  <w:style w:type="paragraph" w:styleId="TOC1">
    <w:name w:val="toc 1"/>
    <w:basedOn w:val="Normal"/>
    <w:next w:val="Normal"/>
    <w:autoRedefine/>
    <w:semiHidden/>
    <w:rsid w:val="00395FA1"/>
    <w:pPr>
      <w:keepNext/>
      <w:keepLines/>
      <w:widowControl/>
      <w:spacing w:before="200"/>
    </w:pPr>
    <w:rPr>
      <w:b/>
      <w:noProof/>
      <w:lang w:val="fr-FR" w:eastAsia="fr-FR"/>
    </w:rPr>
  </w:style>
  <w:style w:type="character" w:customStyle="1" w:styleId="HideTWBInt">
    <w:name w:val="HideTWBInt"/>
    <w:rPr>
      <w:rFonts w:ascii="Arial" w:hAnsi="Arial" w:cs="Arial"/>
      <w:vanish/>
      <w:color w:val="808080"/>
      <w:sz w:val="20"/>
    </w:rPr>
  </w:style>
  <w:style w:type="paragraph" w:customStyle="1" w:styleId="EPBodyTA2">
    <w:name w:val="EPBodyTA2"/>
    <w:basedOn w:val="Normal"/>
    <w:rsid w:val="00AE0928"/>
    <w:pPr>
      <w:jc w:val="center"/>
    </w:pPr>
    <w:rPr>
      <w:rFonts w:ascii="Arial" w:hAnsi="Arial"/>
      <w:bCs/>
      <w:i/>
      <w:sz w:val="20"/>
    </w:rPr>
  </w:style>
  <w:style w:type="table" w:styleId="TableGrid">
    <w:name w:val="Table Grid"/>
    <w:basedOn w:val="TableNormal"/>
    <w:rsid w:val="00D058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BodyTA1">
    <w:name w:val="EPBodyTA1"/>
    <w:basedOn w:val="Normal"/>
    <w:rsid w:val="00AE0928"/>
    <w:pPr>
      <w:jc w:val="center"/>
    </w:pPr>
    <w:rPr>
      <w:rFonts w:ascii="Arial" w:hAnsi="Arial" w:cs="Arial"/>
      <w:b/>
      <w:sz w:val="22"/>
      <w:szCs w:val="22"/>
    </w:rPr>
  </w:style>
  <w:style w:type="paragraph" w:customStyle="1" w:styleId="LineTop">
    <w:name w:val="LineTop"/>
    <w:basedOn w:val="Normal"/>
    <w:next w:val="Normal"/>
    <w:rsid w:val="00D058B8"/>
    <w:pPr>
      <w:pBdr>
        <w:top w:val="single" w:sz="4" w:space="1" w:color="auto"/>
      </w:pBdr>
      <w:jc w:val="center"/>
    </w:pPr>
    <w:rPr>
      <w:rFonts w:ascii="Arial" w:hAnsi="Arial" w:cs="Arial"/>
      <w:sz w:val="16"/>
      <w:szCs w:val="16"/>
    </w:rPr>
  </w:style>
  <w:style w:type="paragraph" w:customStyle="1" w:styleId="LineBottom">
    <w:name w:val="LineBottom"/>
    <w:basedOn w:val="Normal"/>
    <w:next w:val="Normal"/>
    <w:rsid w:val="00A1687D"/>
    <w:pPr>
      <w:pBdr>
        <w:bottom w:val="single" w:sz="4" w:space="1" w:color="auto"/>
      </w:pBdr>
      <w:spacing w:after="240"/>
      <w:jc w:val="center"/>
    </w:pPr>
    <w:rPr>
      <w:rFonts w:ascii="Arial" w:hAnsi="Arial" w:cs="Arial"/>
      <w:sz w:val="16"/>
      <w:szCs w:val="16"/>
    </w:rPr>
  </w:style>
  <w:style w:type="paragraph" w:customStyle="1" w:styleId="ATHeading1">
    <w:name w:val="AT Heading 1"/>
    <w:basedOn w:val="Normal"/>
    <w:next w:val="Normal"/>
    <w:rsid w:val="00F5134D"/>
    <w:pPr>
      <w:keepNext/>
      <w:keepLines/>
      <w:widowControl/>
      <w:spacing w:before="480" w:after="120"/>
      <w:outlineLvl w:val="0"/>
    </w:pPr>
    <w:rPr>
      <w:b/>
      <w:sz w:val="28"/>
      <w:lang w:eastAsia="fr-FR"/>
    </w:rPr>
  </w:style>
  <w:style w:type="paragraph" w:customStyle="1" w:styleId="ATHeading2">
    <w:name w:val="AT Heading 2"/>
    <w:basedOn w:val="Normal"/>
    <w:next w:val="Normal"/>
    <w:rsid w:val="00395FA1"/>
    <w:pPr>
      <w:widowControl/>
      <w:spacing w:before="120" w:after="120"/>
      <w:outlineLvl w:val="1"/>
    </w:pPr>
    <w:rPr>
      <w:b/>
      <w:sz w:val="28"/>
      <w:lang w:eastAsia="fr-FR"/>
    </w:rPr>
  </w:style>
  <w:style w:type="paragraph" w:customStyle="1" w:styleId="ATHeading3">
    <w:name w:val="AT Heading 3"/>
    <w:basedOn w:val="Normal"/>
    <w:next w:val="Normal"/>
    <w:rsid w:val="00395FA1"/>
    <w:pPr>
      <w:keepNext/>
      <w:keepLines/>
      <w:widowControl/>
      <w:spacing w:before="120" w:after="120"/>
      <w:outlineLvl w:val="2"/>
    </w:pPr>
    <w:rPr>
      <w:b/>
      <w:lang w:eastAsia="fr-FR"/>
    </w:rPr>
  </w:style>
  <w:style w:type="paragraph" w:customStyle="1" w:styleId="ATHeadingMotiv">
    <w:name w:val="AT Heading Motiv"/>
    <w:basedOn w:val="Normal"/>
    <w:next w:val="Normal"/>
    <w:rsid w:val="00395FA1"/>
    <w:pPr>
      <w:keepNext/>
      <w:widowControl/>
      <w:spacing w:before="60" w:after="60"/>
      <w:jc w:val="center"/>
    </w:pPr>
    <w:rPr>
      <w:i/>
      <w:lang w:eastAsia="fr-FR"/>
    </w:rPr>
  </w:style>
  <w:style w:type="character" w:styleId="FootnoteReference">
    <w:name w:val="footnote reference"/>
    <w:rsid w:val="00395FA1"/>
    <w:rPr>
      <w:b w:val="0"/>
      <w:vertAlign w:val="superscript"/>
    </w:rPr>
  </w:style>
  <w:style w:type="paragraph" w:styleId="FootnoteText">
    <w:name w:val="footnote text"/>
    <w:basedOn w:val="Normal"/>
    <w:link w:val="FootnoteTextChar"/>
    <w:rsid w:val="00395FA1"/>
    <w:pPr>
      <w:keepLines/>
      <w:widowControl/>
      <w:spacing w:line="260" w:lineRule="exact"/>
      <w:ind w:left="425" w:hanging="425"/>
    </w:pPr>
    <w:rPr>
      <w:sz w:val="22"/>
      <w:lang w:val="fr-FR" w:eastAsia="fr-FR"/>
    </w:rPr>
  </w:style>
  <w:style w:type="character" w:customStyle="1" w:styleId="FootnoteTextChar">
    <w:name w:val="Footnote Text Char"/>
    <w:link w:val="FootnoteText"/>
    <w:rsid w:val="00762C74"/>
    <w:rPr>
      <w:sz w:val="22"/>
      <w:lang w:val="fr-FR" w:eastAsia="fr-FR"/>
    </w:rPr>
  </w:style>
  <w:style w:type="character" w:styleId="PageNumber">
    <w:name w:val="page number"/>
    <w:semiHidden/>
    <w:rsid w:val="00395FA1"/>
  </w:style>
  <w:style w:type="paragraph" w:styleId="TOC2">
    <w:name w:val="toc 2"/>
    <w:basedOn w:val="Normal"/>
    <w:next w:val="Normal"/>
    <w:autoRedefine/>
    <w:semiHidden/>
    <w:rsid w:val="00395FA1"/>
    <w:pPr>
      <w:keepNext/>
      <w:keepLines/>
      <w:widowControl/>
    </w:pPr>
    <w:rPr>
      <w:b/>
      <w:noProof/>
      <w:lang w:val="fr-FR" w:eastAsia="fr-FR"/>
    </w:rPr>
  </w:style>
  <w:style w:type="paragraph" w:styleId="TOC3">
    <w:name w:val="toc 3"/>
    <w:basedOn w:val="Normal"/>
    <w:next w:val="Normal"/>
    <w:autoRedefine/>
    <w:semiHidden/>
    <w:rsid w:val="00395FA1"/>
    <w:pPr>
      <w:keepLines/>
      <w:widowControl/>
      <w:ind w:right="510"/>
    </w:pPr>
    <w:rPr>
      <w:noProof/>
      <w:lang w:val="fr-FR" w:eastAsia="fr-FR"/>
    </w:rPr>
  </w:style>
  <w:style w:type="paragraph" w:customStyle="1" w:styleId="EPName">
    <w:name w:val="EPName"/>
    <w:basedOn w:val="Normal"/>
    <w:rsid w:val="00751A4A"/>
    <w:pPr>
      <w:spacing w:before="80" w:after="80"/>
    </w:pPr>
    <w:rPr>
      <w:rFonts w:ascii="Arial Narrow" w:hAnsi="Arial Narrow" w:cs="Arial"/>
      <w:b/>
      <w:sz w:val="32"/>
      <w:szCs w:val="22"/>
    </w:rPr>
  </w:style>
  <w:style w:type="paragraph" w:customStyle="1" w:styleId="EPTerm">
    <w:name w:val="EPTerm"/>
    <w:basedOn w:val="Normal"/>
    <w:next w:val="Normal"/>
    <w:rsid w:val="00751A4A"/>
    <w:pPr>
      <w:spacing w:after="80"/>
    </w:pPr>
    <w:rPr>
      <w:rFonts w:ascii="Arial" w:hAnsi="Arial" w:cs="Arial"/>
      <w:sz w:val="20"/>
      <w:szCs w:val="22"/>
    </w:rPr>
  </w:style>
  <w:style w:type="paragraph" w:customStyle="1" w:styleId="EPLogo">
    <w:name w:val="EPLogo"/>
    <w:basedOn w:val="Normal"/>
    <w:qFormat/>
    <w:rsid w:val="00751A4A"/>
    <w:pPr>
      <w:jc w:val="right"/>
    </w:pPr>
  </w:style>
  <w:style w:type="paragraph" w:customStyle="1" w:styleId="EPFooter2">
    <w:name w:val="EPFooter2"/>
    <w:basedOn w:val="Normal"/>
    <w:next w:val="Normal"/>
    <w:rsid w:val="00DF4529"/>
    <w:pPr>
      <w:widowControl/>
      <w:tabs>
        <w:tab w:val="center" w:pos="4535"/>
        <w:tab w:val="right" w:pos="9921"/>
      </w:tabs>
      <w:ind w:left="-850" w:right="-850"/>
    </w:pPr>
    <w:rPr>
      <w:rFonts w:ascii="Arial" w:hAnsi="Arial" w:cs="Arial"/>
      <w:b/>
      <w:sz w:val="48"/>
    </w:rPr>
  </w:style>
  <w:style w:type="paragraph" w:customStyle="1" w:styleId="EPComma">
    <w:name w:val="EPComma"/>
    <w:basedOn w:val="Normal"/>
    <w:rsid w:val="00DF4529"/>
    <w:pPr>
      <w:spacing w:before="480" w:after="240"/>
    </w:pPr>
  </w:style>
  <w:style w:type="paragraph" w:customStyle="1" w:styleId="PageHeading">
    <w:name w:val="PageHeading"/>
    <w:basedOn w:val="Normal"/>
    <w:rsid w:val="00DF4529"/>
    <w:pPr>
      <w:keepNext/>
      <w:spacing w:after="480"/>
      <w:jc w:val="center"/>
    </w:pPr>
    <w:rPr>
      <w:rFonts w:ascii="Arial" w:hAnsi="Arial" w:cs="Arial"/>
      <w:b/>
    </w:rPr>
  </w:style>
  <w:style w:type="paragraph" w:customStyle="1" w:styleId="NormalHanging12a">
    <w:name w:val="NormalHanging12a"/>
    <w:basedOn w:val="Normal"/>
    <w:link w:val="NormalHanging12aChar"/>
    <w:rsid w:val="00DF4529"/>
    <w:pPr>
      <w:spacing w:after="240"/>
      <w:ind w:left="567" w:hanging="567"/>
    </w:pPr>
  </w:style>
  <w:style w:type="paragraph" w:styleId="Header">
    <w:name w:val="header"/>
    <w:basedOn w:val="Normal"/>
    <w:link w:val="HeaderChar"/>
    <w:rsid w:val="00DF4529"/>
    <w:pPr>
      <w:tabs>
        <w:tab w:val="center" w:pos="4513"/>
        <w:tab w:val="right" w:pos="9026"/>
      </w:tabs>
    </w:pPr>
  </w:style>
  <w:style w:type="character" w:customStyle="1" w:styleId="HeaderChar">
    <w:name w:val="Header Char"/>
    <w:basedOn w:val="DefaultParagraphFont"/>
    <w:link w:val="Header"/>
    <w:rsid w:val="00DF4529"/>
    <w:rPr>
      <w:sz w:val="24"/>
      <w:lang w:val="cs-CZ"/>
    </w:rPr>
  </w:style>
  <w:style w:type="paragraph" w:customStyle="1" w:styleId="EPFooter">
    <w:name w:val="EPFooter"/>
    <w:basedOn w:val="Normal"/>
    <w:rsid w:val="00DF4529"/>
    <w:pPr>
      <w:tabs>
        <w:tab w:val="center" w:pos="4535"/>
        <w:tab w:val="right" w:pos="9071"/>
      </w:tabs>
      <w:spacing w:before="240" w:after="240"/>
    </w:pPr>
    <w:rPr>
      <w:color w:val="010000"/>
      <w:sz w:val="22"/>
    </w:rPr>
  </w:style>
  <w:style w:type="character" w:customStyle="1" w:styleId="NormalHanging12aChar">
    <w:name w:val="NormalHanging12a Char"/>
    <w:basedOn w:val="DefaultParagraphFont"/>
    <w:link w:val="NormalHanging12a"/>
    <w:locked/>
    <w:rsid w:val="00DF4529"/>
    <w:rPr>
      <w:sz w:val="24"/>
      <w:lang w:val="cs-CZ"/>
    </w:rPr>
  </w:style>
  <w:style w:type="paragraph" w:styleId="NormalWeb">
    <w:name w:val="Normal (Web)"/>
    <w:basedOn w:val="Normal"/>
    <w:uiPriority w:val="99"/>
    <w:rsid w:val="00DF4529"/>
    <w:rPr>
      <w:szCs w:val="24"/>
    </w:rPr>
  </w:style>
  <w:style w:type="paragraph" w:customStyle="1" w:styleId="CM4">
    <w:name w:val="CM4"/>
    <w:basedOn w:val="Normal"/>
    <w:next w:val="Normal"/>
    <w:uiPriority w:val="99"/>
    <w:rsid w:val="00DF4529"/>
    <w:pPr>
      <w:widowControl/>
      <w:autoSpaceDE w:val="0"/>
      <w:autoSpaceDN w:val="0"/>
      <w:adjustRightInd w:val="0"/>
    </w:pPr>
    <w:rPr>
      <w:rFonts w:ascii="EUAlbertina" w:eastAsiaTheme="minorHAnsi" w:hAnsi="EUAlbertina"/>
      <w:szCs w:val="24"/>
      <w:lang w:eastAsia="en-US"/>
    </w:rPr>
  </w:style>
  <w:style w:type="paragraph" w:styleId="ListParagraph">
    <w:name w:val="List Paragraph"/>
    <w:basedOn w:val="Normal"/>
    <w:uiPriority w:val="34"/>
    <w:qFormat/>
    <w:rsid w:val="00DF4529"/>
    <w:pPr>
      <w:widowControl/>
      <w:ind w:left="720"/>
      <w:contextualSpacing/>
      <w:jc w:val="both"/>
    </w:pPr>
    <w:rPr>
      <w:rFonts w:eastAsiaTheme="minorHAnsi"/>
      <w:szCs w:val="24"/>
      <w:lang w:eastAsia="en-US"/>
    </w:rPr>
  </w:style>
  <w:style w:type="paragraph" w:customStyle="1" w:styleId="Default">
    <w:name w:val="Default"/>
    <w:rsid w:val="00DF4529"/>
    <w:pPr>
      <w:autoSpaceDE w:val="0"/>
      <w:autoSpaceDN w:val="0"/>
      <w:adjustRightInd w:val="0"/>
    </w:pPr>
    <w:rPr>
      <w:rFonts w:ascii="EUAlbertina" w:eastAsiaTheme="minorHAnsi" w:hAnsi="EUAlbertina" w:cs="EUAlbertina"/>
      <w:color w:val="000000"/>
      <w:sz w:val="24"/>
      <w:szCs w:val="24"/>
      <w:lang w:val="cs-CZ" w:eastAsia="en-US"/>
    </w:rPr>
  </w:style>
  <w:style w:type="paragraph" w:customStyle="1" w:styleId="CM3">
    <w:name w:val="CM3"/>
    <w:basedOn w:val="Default"/>
    <w:next w:val="Default"/>
    <w:uiPriority w:val="99"/>
    <w:rsid w:val="00DF4529"/>
    <w:rPr>
      <w:rFonts w:cs="Times New Roman"/>
      <w:color w:val="auto"/>
    </w:rPr>
  </w:style>
  <w:style w:type="character" w:customStyle="1" w:styleId="highlight-diff1">
    <w:name w:val="highlight-diff1"/>
    <w:basedOn w:val="DefaultParagraphFont"/>
    <w:rsid w:val="00DF4529"/>
    <w:rPr>
      <w:b/>
      <w:bCs/>
      <w:i/>
      <w:iCs/>
    </w:rPr>
  </w:style>
  <w:style w:type="paragraph" w:styleId="Footer">
    <w:name w:val="footer"/>
    <w:basedOn w:val="Normal"/>
    <w:link w:val="FooterChar"/>
    <w:rsid w:val="00DD020E"/>
    <w:pPr>
      <w:tabs>
        <w:tab w:val="center" w:pos="4513"/>
        <w:tab w:val="right" w:pos="9026"/>
      </w:tabs>
    </w:pPr>
  </w:style>
  <w:style w:type="character" w:customStyle="1" w:styleId="FooterChar">
    <w:name w:val="Footer Char"/>
    <w:basedOn w:val="DefaultParagraphFont"/>
    <w:link w:val="Footer"/>
    <w:rsid w:val="00DD020E"/>
    <w:rPr>
      <w:sz w:val="24"/>
      <w:lang w:val="cs-CZ"/>
    </w:rPr>
  </w:style>
  <w:style w:type="character" w:styleId="Hyperlink">
    <w:name w:val="Hyperlink"/>
    <w:basedOn w:val="DefaultParagraphFont"/>
    <w:rsid w:val="00DD020E"/>
    <w:rPr>
      <w:color w:val="0563C1" w:themeColor="hyperlink"/>
      <w:u w:val="single"/>
    </w:rPr>
  </w:style>
  <w:style w:type="paragraph" w:styleId="BalloonText">
    <w:name w:val="Balloon Text"/>
    <w:basedOn w:val="Normal"/>
    <w:link w:val="BalloonTextChar"/>
    <w:rsid w:val="00001C9E"/>
    <w:rPr>
      <w:rFonts w:ascii="Segoe UI" w:hAnsi="Segoe UI" w:cs="Segoe UI"/>
      <w:sz w:val="18"/>
      <w:szCs w:val="18"/>
    </w:rPr>
  </w:style>
  <w:style w:type="character" w:customStyle="1" w:styleId="BalloonTextChar">
    <w:name w:val="Balloon Text Char"/>
    <w:basedOn w:val="DefaultParagraphFont"/>
    <w:link w:val="BalloonText"/>
    <w:rsid w:val="00001C9E"/>
    <w:rPr>
      <w:rFonts w:ascii="Segoe UI" w:hAnsi="Segoe UI" w:cs="Segoe UI"/>
      <w:sz w:val="18"/>
      <w:szCs w:val="18"/>
      <w:lang w:val="cs-CZ"/>
    </w:rPr>
  </w:style>
  <w:style w:type="character" w:styleId="FollowedHyperlink">
    <w:name w:val="FollowedHyperlink"/>
    <w:basedOn w:val="DefaultParagraphFont"/>
    <w:rsid w:val="00AE4EE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01E571-3FBF-4FEC-B92D-6391BFFAB2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23</Pages>
  <Words>8081</Words>
  <Characters>47618</Characters>
  <Application>Microsoft Office Word</Application>
  <DocSecurity>0</DocSecurity>
  <Lines>1904</Lines>
  <Paragraphs>515</Paragraphs>
  <ScaleCrop>false</ScaleCrop>
  <HeadingPairs>
    <vt:vector size="2" baseType="variant">
      <vt:variant>
        <vt:lpstr>Title</vt:lpstr>
      </vt:variant>
      <vt:variant>
        <vt:i4>1</vt:i4>
      </vt:variant>
    </vt:vector>
  </HeadingPairs>
  <TitlesOfParts>
    <vt:vector size="1" baseType="lpstr">
      <vt:lpstr>TA</vt:lpstr>
    </vt:vector>
  </TitlesOfParts>
  <Company/>
  <LinksUpToDate>false</LinksUpToDate>
  <CharactersWithSpaces>55184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dc:title>
  <dc:subject/>
  <dc:creator>HILL Romana</dc:creator>
  <cp:keywords/>
  <cp:lastModifiedBy>HILL Romana</cp:lastModifiedBy>
  <cp:revision>2</cp:revision>
  <cp:lastPrinted>2004-11-19T15:42:00Z</cp:lastPrinted>
  <dcterms:created xsi:type="dcterms:W3CDTF">2023-09-08T13:06:00Z</dcterms:created>
  <dcterms:modified xsi:type="dcterms:W3CDTF">2023-09-08T13:06:00Z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t;Extension&gt;">
    <vt:lpwstr>CS</vt:lpwstr>
  </property>
  <property fmtid="{D5CDD505-2E9C-101B-9397-08002B2CF9AE}" pid="3" name="&lt;FdR&gt;">
    <vt:lpwstr>P9_TA(2023)0239_</vt:lpwstr>
  </property>
  <property fmtid="{D5CDD505-2E9C-101B-9397-08002B2CF9AE}" pid="4" name="&lt;Type&gt;">
    <vt:lpwstr>RR</vt:lpwstr>
  </property>
</Properties>
</file>